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644"/>
        <w:gridCol w:w="4709"/>
        <w:gridCol w:w="677"/>
        <w:gridCol w:w="882"/>
        <w:gridCol w:w="709"/>
        <w:gridCol w:w="5245"/>
        <w:gridCol w:w="567"/>
        <w:gridCol w:w="1386"/>
      </w:tblGrid>
      <w:tr>
        <w:tblPrEx>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6030" w:type="dxa"/>
            <w:gridSpan w:val="3"/>
            <w:tcBorders>
              <w:top w:val="single" w:sz="4" w:space="0" w:color="auto"/>
              <w:left w:val="single" w:sz="4" w:space="0" w:color="auto"/>
              <w:bottom w:val="single" w:sz="4" w:space="0" w:color="auto"/>
              <w:right w:val="single" w:sz="4" w:space="0" w:color="auto"/>
            </w:tcBorders>
            <w:textDirection w:val="lrTb"/>
            <w:vAlign w:val="top"/>
          </w:tcPr>
          <w:p w:rsidR="008D290D" w:rsidP="008D290D">
            <w:pPr>
              <w:autoSpaceDE w:val="0"/>
              <w:autoSpaceDN w:val="0"/>
              <w:bidi w:val="0"/>
              <w:adjustRightInd w:val="0"/>
              <w:spacing w:after="0" w:line="240" w:lineRule="auto"/>
              <w:jc w:val="center"/>
              <w:rPr>
                <w:rFonts w:ascii="EUAlbertina_Bold" w:hAnsi="EUAlbertina_Bold" w:cs="EUAlbertina_Bold"/>
                <w:b/>
                <w:bCs/>
                <w:sz w:val="19"/>
                <w:szCs w:val="19"/>
              </w:rPr>
            </w:pPr>
            <w:r>
              <w:rPr>
                <w:rFonts w:ascii="EUAlbertina_Bold" w:hAnsi="EUAlbertina_Bold" w:cs="EUAlbertina_Bold"/>
                <w:b/>
                <w:bCs/>
                <w:sz w:val="19"/>
                <w:szCs w:val="19"/>
              </w:rPr>
              <w:t>SMERNICA EURÓPSKEHO PARLAMENTU A RADY 2008/57/ES</w:t>
            </w:r>
          </w:p>
          <w:p w:rsidR="008D290D" w:rsidP="008D290D">
            <w:pPr>
              <w:autoSpaceDE w:val="0"/>
              <w:autoSpaceDN w:val="0"/>
              <w:bidi w:val="0"/>
              <w:adjustRightInd w:val="0"/>
              <w:spacing w:after="0" w:line="240" w:lineRule="auto"/>
              <w:jc w:val="center"/>
              <w:rPr>
                <w:rFonts w:ascii="EUAlbertina_Bold" w:hAnsi="EUAlbertina_Bold" w:cs="EUAlbertina_Bold"/>
                <w:b/>
                <w:bCs/>
                <w:sz w:val="19"/>
                <w:szCs w:val="19"/>
              </w:rPr>
            </w:pPr>
            <w:r>
              <w:rPr>
                <w:rFonts w:ascii="EUAlbertina_Bold" w:hAnsi="EUAlbertina_Bold" w:cs="EUAlbertina_Bold"/>
                <w:b/>
                <w:bCs/>
                <w:sz w:val="19"/>
                <w:szCs w:val="19"/>
              </w:rPr>
              <w:t>zo 17. júna 2008</w:t>
            </w:r>
          </w:p>
          <w:p w:rsidR="008D290D" w:rsidP="008D290D">
            <w:pPr>
              <w:autoSpaceDE w:val="0"/>
              <w:autoSpaceDN w:val="0"/>
              <w:bidi w:val="0"/>
              <w:adjustRightInd w:val="0"/>
              <w:spacing w:after="0" w:line="240" w:lineRule="auto"/>
              <w:jc w:val="center"/>
              <w:rPr>
                <w:rFonts w:ascii="EUAlbertina_Bold" w:hAnsi="EUAlbertina_Bold" w:cs="EUAlbertina_Bold"/>
                <w:b/>
                <w:bCs/>
                <w:sz w:val="19"/>
                <w:szCs w:val="19"/>
              </w:rPr>
            </w:pPr>
            <w:r>
              <w:rPr>
                <w:rFonts w:ascii="EUAlbertina_Bold" w:hAnsi="EUAlbertina_Bold" w:cs="EUAlbertina_Bold"/>
                <w:b/>
                <w:bCs/>
                <w:sz w:val="19"/>
                <w:szCs w:val="19"/>
              </w:rPr>
              <w:t xml:space="preserve">o interoperabilite systému </w:t>
            </w:r>
            <w:r>
              <w:rPr>
                <w:rFonts w:ascii="EUAlbertina_Bold+01" w:hAnsi="EUAlbertina_Bold+01" w:cs="EUAlbertina_Bold+01"/>
                <w:b/>
                <w:bCs/>
                <w:sz w:val="19"/>
                <w:szCs w:val="19"/>
              </w:rPr>
              <w:t>ž</w:t>
            </w:r>
            <w:r>
              <w:rPr>
                <w:rFonts w:ascii="EUAlbertina_Bold" w:hAnsi="EUAlbertina_Bold" w:cs="EUAlbertina_Bold"/>
                <w:b/>
                <w:bCs/>
                <w:sz w:val="19"/>
                <w:szCs w:val="19"/>
              </w:rPr>
              <w:t>elezníc v Spolo</w:t>
            </w:r>
            <w:r>
              <w:rPr>
                <w:rFonts w:ascii="EUAlbertina_Bold+01" w:hAnsi="EUAlbertina_Bold+01" w:cs="EUAlbertina_Bold+01"/>
                <w:b/>
                <w:bCs/>
                <w:sz w:val="19"/>
                <w:szCs w:val="19"/>
              </w:rPr>
              <w:t>č</w:t>
            </w:r>
            <w:r>
              <w:rPr>
                <w:rFonts w:ascii="EUAlbertina_Bold" w:hAnsi="EUAlbertina_Bold" w:cs="EUAlbertina_Bold"/>
                <w:b/>
                <w:bCs/>
                <w:sz w:val="19"/>
                <w:szCs w:val="19"/>
              </w:rPr>
              <w:t>enstve</w:t>
            </w:r>
          </w:p>
          <w:p w:rsidR="008D290D" w:rsidRPr="008F5034" w:rsidP="008D290D">
            <w:pPr>
              <w:bidi w:val="0"/>
              <w:spacing w:after="0" w:line="240" w:lineRule="auto"/>
              <w:jc w:val="center"/>
              <w:rPr>
                <w:rFonts w:ascii="Times New Roman" w:hAnsi="Times New Roman"/>
                <w:sz w:val="20"/>
                <w:szCs w:val="20"/>
              </w:rPr>
            </w:pPr>
            <w:r>
              <w:rPr>
                <w:rFonts w:ascii="EUAlbertina_Bold" w:hAnsi="EUAlbertina_Bold" w:cs="EUAlbertina_Bold"/>
                <w:b/>
                <w:bCs/>
                <w:sz w:val="19"/>
                <w:szCs w:val="19"/>
              </w:rPr>
              <w:t>(prepracované znenie)</w:t>
            </w:r>
          </w:p>
        </w:tc>
        <w:tc>
          <w:tcPr>
            <w:tcW w:w="8789" w:type="dxa"/>
            <w:gridSpan w:val="5"/>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pStyle w:val="Heading8"/>
              <w:bidi w:val="0"/>
              <w:spacing w:after="0" w:line="240" w:lineRule="auto"/>
              <w:rPr>
                <w:rFonts w:ascii="Times New Roman" w:hAnsi="Times New Roman"/>
                <w:sz w:val="20"/>
                <w:szCs w:val="20"/>
              </w:rPr>
            </w:pPr>
            <w:r w:rsidRPr="008F5034">
              <w:rPr>
                <w:rFonts w:ascii="Times New Roman" w:hAnsi="Times New Roman"/>
                <w:sz w:val="20"/>
                <w:szCs w:val="20"/>
              </w:rPr>
              <w:t>(Návrh)</w:t>
            </w:r>
          </w:p>
          <w:p w:rsidR="008D290D" w:rsidRPr="008F5034" w:rsidP="007C04CF">
            <w:pPr>
              <w:bidi w:val="0"/>
              <w:spacing w:after="0" w:line="240" w:lineRule="auto"/>
              <w:rPr>
                <w:rFonts w:ascii="Times New Roman" w:hAnsi="Times New Roman"/>
                <w:sz w:val="20"/>
                <w:szCs w:val="20"/>
                <w:lang w:eastAsia="cs-CZ"/>
              </w:rPr>
            </w:pPr>
          </w:p>
          <w:p w:rsidR="008D290D" w:rsidRPr="008F5034" w:rsidP="007C04CF">
            <w:pPr>
              <w:pStyle w:val="Heading8"/>
              <w:bidi w:val="0"/>
              <w:spacing w:after="0" w:line="240" w:lineRule="auto"/>
              <w:rPr>
                <w:rFonts w:ascii="Times New Roman" w:hAnsi="Times New Roman"/>
                <w:sz w:val="20"/>
                <w:szCs w:val="20"/>
              </w:rPr>
            </w:pPr>
            <w:r w:rsidRPr="008F5034">
              <w:rPr>
                <w:rFonts w:ascii="Times New Roman" w:hAnsi="Times New Roman"/>
                <w:sz w:val="20"/>
                <w:szCs w:val="20"/>
              </w:rPr>
              <w:t>Zákon, ktorým sa mení a dopĺňa zákon č. 513/2009 Z. z. o dráhach a o zmene a doplnení niektorých zákonov v znení neskorších predpisov a ktorým sa menia a dopĺňajú niektoré zákony</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2</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3</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7</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8</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 xml:space="preserve">Člá-nok </w:t>
            </w:r>
          </w:p>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(Č, O, V, P)</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Text</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Spô-sob</w:t>
            </w:r>
          </w:p>
          <w:p w:rsidR="008D290D" w:rsidRPr="008F5034" w:rsidP="007C04CF">
            <w:pPr>
              <w:bidi w:val="0"/>
              <w:spacing w:after="0" w:line="240" w:lineRule="auto"/>
              <w:ind w:right="-9"/>
              <w:jc w:val="both"/>
              <w:rPr>
                <w:rFonts w:ascii="Times New Roman" w:hAnsi="Times New Roman"/>
                <w:sz w:val="20"/>
                <w:szCs w:val="20"/>
              </w:rPr>
            </w:pPr>
            <w:r w:rsidRPr="008F5034">
              <w:rPr>
                <w:rFonts w:ascii="Times New Roman" w:hAnsi="Times New Roman"/>
                <w:sz w:val="20"/>
                <w:szCs w:val="20"/>
              </w:rPr>
              <w:t>transpozície</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23"/>
              <w:jc w:val="both"/>
              <w:rPr>
                <w:rFonts w:ascii="Times New Roman" w:hAnsi="Times New Roman"/>
                <w:sz w:val="20"/>
                <w:szCs w:val="20"/>
              </w:rPr>
            </w:pPr>
            <w:r w:rsidRPr="008F5034">
              <w:rPr>
                <w:rFonts w:ascii="Times New Roman" w:hAnsi="Times New Roman"/>
                <w:sz w:val="20"/>
                <w:szCs w:val="20"/>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pStyle w:val="EnvelopeReturn"/>
              <w:bidi w:val="0"/>
              <w:spacing w:after="0" w:line="240" w:lineRule="auto"/>
              <w:jc w:val="both"/>
              <w:rPr>
                <w:rFonts w:ascii="Times New Roman" w:hAnsi="Times New Roman"/>
                <w:b w:val="0"/>
                <w:bCs w:val="0"/>
                <w:color w:val="auto"/>
              </w:rPr>
            </w:pPr>
            <w:r w:rsidRPr="008F5034">
              <w:rPr>
                <w:rFonts w:ascii="Times New Roman" w:hAnsi="Times New Roman"/>
                <w:b w:val="0"/>
                <w:bCs w:val="0"/>
                <w:color w:val="auto"/>
              </w:rPr>
              <w:t>Člá-nok (Č, §,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Zhoda</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Poznámky</w:t>
            </w: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Č:2</w:t>
            </w:r>
            <w:r w:rsidRPr="008F5034">
              <w:rPr>
                <w:rFonts w:ascii="Times New Roman" w:hAnsi="Times New Roman"/>
                <w:sz w:val="20"/>
                <w:szCs w:val="20"/>
              </w:rPr>
              <w:t>1</w:t>
            </w:r>
          </w:p>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O: 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6B1F98">
              <w:rPr>
                <w:rFonts w:ascii="Times New Roman" w:hAnsi="Times New Roman"/>
                <w:sz w:val="20"/>
                <w:szCs w:val="20"/>
              </w:rPr>
              <w:t>KAPITOLA V</w:t>
            </w:r>
          </w:p>
          <w:p w:rsidR="008D290D" w:rsidRPr="006B1F98" w:rsidP="008D290D">
            <w:pPr>
              <w:autoSpaceDE w:val="0"/>
              <w:autoSpaceDN w:val="0"/>
              <w:bidi w:val="0"/>
              <w:adjustRightInd w:val="0"/>
              <w:spacing w:after="0" w:line="240" w:lineRule="auto"/>
              <w:jc w:val="both"/>
              <w:rPr>
                <w:rFonts w:ascii="Times New Roman" w:hAnsi="Times New Roman"/>
                <w:b/>
                <w:bCs/>
                <w:sz w:val="20"/>
                <w:szCs w:val="20"/>
              </w:rPr>
            </w:pPr>
            <w:r w:rsidRPr="006B1F98">
              <w:rPr>
                <w:rFonts w:ascii="Times New Roman" w:hAnsi="Times New Roman"/>
                <w:b/>
                <w:bCs/>
                <w:sz w:val="20"/>
                <w:szCs w:val="20"/>
              </w:rPr>
              <w:t>VOZIDLÁ</w:t>
            </w:r>
          </w:p>
          <w:p w:rsidR="008D290D" w:rsidRPr="006B1F98" w:rsidP="008D290D">
            <w:pPr>
              <w:autoSpaceDE w:val="0"/>
              <w:autoSpaceDN w:val="0"/>
              <w:bidi w:val="0"/>
              <w:adjustRightInd w:val="0"/>
              <w:spacing w:after="0" w:line="240" w:lineRule="auto"/>
              <w:jc w:val="both"/>
              <w:rPr>
                <w:rFonts w:ascii="Times New Roman" w:hAnsi="Times New Roman"/>
                <w:i/>
                <w:iCs/>
                <w:sz w:val="20"/>
                <w:szCs w:val="20"/>
              </w:rPr>
            </w:pPr>
            <w:r w:rsidRPr="006B1F98">
              <w:rPr>
                <w:rFonts w:ascii="Times New Roman" w:hAnsi="Times New Roman"/>
                <w:i/>
                <w:iCs/>
                <w:sz w:val="20"/>
                <w:szCs w:val="20"/>
              </w:rPr>
              <w:t>Článok 21</w:t>
            </w:r>
          </w:p>
          <w:p w:rsidR="008D290D" w:rsidRPr="006B1F98" w:rsidP="008D290D">
            <w:pPr>
              <w:autoSpaceDE w:val="0"/>
              <w:autoSpaceDN w:val="0"/>
              <w:bidi w:val="0"/>
              <w:adjustRightInd w:val="0"/>
              <w:spacing w:after="0" w:line="240" w:lineRule="auto"/>
              <w:jc w:val="both"/>
              <w:rPr>
                <w:rFonts w:ascii="Times New Roman" w:hAnsi="Times New Roman"/>
                <w:b/>
                <w:bCs/>
                <w:sz w:val="20"/>
                <w:szCs w:val="20"/>
              </w:rPr>
            </w:pPr>
            <w:r w:rsidRPr="006B1F98">
              <w:rPr>
                <w:rFonts w:ascii="Times New Roman" w:hAnsi="Times New Roman"/>
                <w:b/>
                <w:bCs/>
                <w:sz w:val="20"/>
                <w:szCs w:val="20"/>
              </w:rPr>
              <w:t>Povolenie na uvedenie vozidiel do prevádzky</w:t>
            </w:r>
          </w:p>
          <w:p w:rsidR="008D290D" w:rsidRPr="008F5034" w:rsidP="008D290D">
            <w:pPr>
              <w:bidi w:val="0"/>
              <w:spacing w:after="0" w:line="240" w:lineRule="auto"/>
              <w:jc w:val="both"/>
              <w:rPr>
                <w:rFonts w:ascii="Times New Roman" w:hAnsi="Times New Roman"/>
                <w:sz w:val="20"/>
                <w:szCs w:val="20"/>
              </w:rPr>
            </w:pPr>
            <w:r w:rsidRPr="006B1F98">
              <w:rPr>
                <w:rFonts w:ascii="Times New Roman" w:hAnsi="Times New Roman"/>
                <w:sz w:val="20"/>
                <w:szCs w:val="20"/>
              </w:rPr>
              <w:t>1. Pokiaľ sa v tejto kapitole neurčí inak, uvedenie vozidla do prevádzky povoľuje pred jeho použitím v sieti národný, pre túto sieť príslušný bezpečnostný orgán.</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sidRPr="006B1F98">
              <w:rPr>
                <w:rFonts w:ascii="Times New Roman" w:hAnsi="Times New Roman"/>
                <w:b w:val="0"/>
                <w:bCs w:val="0"/>
                <w:color w:val="auto"/>
              </w:rPr>
              <w:t xml:space="preserve">§ </w:t>
            </w:r>
            <w:r>
              <w:rPr>
                <w:rFonts w:ascii="Times New Roman" w:hAnsi="Times New Roman"/>
                <w:b w:val="0"/>
                <w:bCs w:val="0"/>
                <w:color w:val="auto"/>
              </w:rPr>
              <w:t>103</w:t>
            </w:r>
          </w:p>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2</w:t>
            </w:r>
          </w:p>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P: r)</w:t>
            </w:r>
          </w:p>
          <w:p w:rsidR="008D290D" w:rsidRPr="008F5034" w:rsidP="007C04CF">
            <w:pPr>
              <w:pStyle w:val="EnvelopeReturn"/>
              <w:bidi w:val="0"/>
              <w:spacing w:after="0" w:line="240" w:lineRule="auto"/>
              <w:jc w:val="both"/>
              <w:rPr>
                <w:rFonts w:ascii="Times New Roman" w:hAnsi="Times New Roman"/>
                <w:b w:val="0"/>
                <w:bCs w:val="0"/>
                <w:color w:val="auto"/>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B04595" w:rsidP="008D290D">
            <w:pPr>
              <w:bidi w:val="0"/>
              <w:spacing w:after="0" w:line="240" w:lineRule="auto"/>
              <w:jc w:val="both"/>
              <w:rPr>
                <w:rFonts w:ascii="Times New Roman" w:hAnsi="Times New Roman"/>
                <w:sz w:val="20"/>
                <w:szCs w:val="20"/>
              </w:rPr>
            </w:pPr>
            <w:r w:rsidRPr="00B04595">
              <w:rPr>
                <w:rFonts w:ascii="Times New Roman" w:hAnsi="Times New Roman"/>
                <w:sz w:val="20"/>
                <w:szCs w:val="20"/>
              </w:rPr>
              <w:t>86. V § 103 ods. 2 písmeno r) znie:</w:t>
            </w:r>
          </w:p>
          <w:p w:rsidR="008D290D" w:rsidRPr="008F5034" w:rsidP="008D290D">
            <w:pPr>
              <w:bidi w:val="0"/>
              <w:spacing w:after="0" w:line="240" w:lineRule="auto"/>
              <w:jc w:val="both"/>
              <w:rPr>
                <w:rFonts w:ascii="Times New Roman" w:hAnsi="Times New Roman"/>
                <w:sz w:val="20"/>
                <w:szCs w:val="20"/>
              </w:rPr>
            </w:pPr>
            <w:r w:rsidRPr="00B04595">
              <w:rPr>
                <w:rFonts w:ascii="Times New Roman" w:hAnsi="Times New Roman"/>
                <w:sz w:val="20"/>
                <w:szCs w:val="20"/>
              </w:rPr>
              <w:t xml:space="preserve">„r) vydáva a odníma povolenia a dodatočné povolenia na uvedenie železničného vozidla do prevádzky a udeľuje povolenia typu železničného vozidla,“.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Pr="008F5034">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7C04CF">
            <w:pPr>
              <w:bidi w:val="0"/>
              <w:spacing w:after="0" w:line="240" w:lineRule="auto"/>
              <w:jc w:val="both"/>
              <w:rPr>
                <w:rFonts w:ascii="Times New Roman" w:hAnsi="Times New Roman"/>
                <w:sz w:val="20"/>
                <w:szCs w:val="20"/>
              </w:rPr>
            </w:pPr>
            <w:r>
              <w:rPr>
                <w:rFonts w:ascii="Times New Roman" w:hAnsi="Times New Roman"/>
                <w:sz w:val="20"/>
                <w:szCs w:val="20"/>
              </w:rPr>
              <w:t>O: 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7. Ak národný bezpečnostný orgán vydá rozhodnutie o zamietnutí uvedenia do prevádzky vozidla, toto rozhodnutie riadne odôvodní. Žiadateľ môže do jedného mesiaca od doručenia rozhodnutia o zamietnutí požiadať príslušný národný bezpečnostný orgán, aby rozhodnutie preskúmal z riadne odôvodnených príčin. Národný bezpečnostný orgán má od prijatia dva mesiace čas na potvrdenie alebo zmenu svojho rozhodnutia. Ak sa rozhodnutie o zamietnutí potvrdí, žiadateľ môže od odvolacieho orgánu určeného príslušným členským štátom podľa článku 17 ods. 3 smernice 2004/49/ES žiadať o prehodnotenie pre riadne odôvodnené príčiny. Členské štáty môžu vymenovať svoje regulačné orgány zriadené v súlade s článkom 30 smernice 2001/14/ES na účely tohto odvolacieho konania.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bidi w:val="0"/>
              <w:spacing w:after="0" w:line="240" w:lineRule="auto"/>
              <w:ind w:left="-76" w:right="-108"/>
              <w:jc w:val="both"/>
              <w:rPr>
                <w:rFonts w:ascii="Times New Roman" w:hAnsi="Times New Roman"/>
                <w:sz w:val="20"/>
                <w:szCs w:val="20"/>
              </w:rPr>
            </w:pPr>
            <w:r>
              <w:rPr>
                <w:rFonts w:ascii="Times New Roman" w:hAnsi="Times New Roman"/>
                <w:sz w:val="20"/>
                <w:szCs w:val="20"/>
              </w:rPr>
              <w:t>513/2009 Z.z.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xml:space="preserve">§ 76 </w:t>
            </w:r>
          </w:p>
          <w:p w:rsidR="008D290D"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O:7,8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bidi w:val="0"/>
              <w:spacing w:after="0" w:line="240" w:lineRule="auto"/>
              <w:ind w:right="110" w:firstLine="360"/>
              <w:jc w:val="both"/>
              <w:rPr>
                <w:rFonts w:ascii="Times New Roman" w:hAnsi="Times New Roman"/>
                <w:sz w:val="20"/>
                <w:szCs w:val="20"/>
              </w:rPr>
            </w:pPr>
            <w:r w:rsidRPr="00587F75">
              <w:rPr>
                <w:rFonts w:ascii="Times New Roman" w:hAnsi="Times New Roman"/>
                <w:sz w:val="20"/>
                <w:szCs w:val="20"/>
              </w:rPr>
              <w:t xml:space="preserve">(7) Rozhodnutie bezpečnostného orgánu, ktorým sa zamieta žiadosť o povolenie, musí byť odôvodnené. Žiadateľ môže do jedného mesiaca odo dňa doručenia písomného vyhotovenia rozhodnutia požiadať bezpečnostný orgán, aby svoje rozhodnutie preskúmal v rozsahu riadne odôvodnených dôvodov, ktoré žiadateľ uvedie v žiadosti. Bezpečnostný orgán do dvoch mesiacov odo dňa podania žiadosti preskúma svoje rozhodnutie a buď ho potvrdí, alebo zmení. </w:t>
            </w:r>
          </w:p>
          <w:p w:rsidR="008D290D" w:rsidRPr="00B04595" w:rsidP="008D290D">
            <w:pPr>
              <w:bidi w:val="0"/>
              <w:spacing w:after="0" w:line="240" w:lineRule="auto"/>
              <w:jc w:val="both"/>
              <w:rPr>
                <w:rFonts w:ascii="Times New Roman" w:hAnsi="Times New Roman"/>
                <w:sz w:val="20"/>
                <w:szCs w:val="20"/>
              </w:rPr>
            </w:pPr>
            <w:r w:rsidRPr="007E1099">
              <w:rPr>
                <w:rFonts w:ascii="Times New Roman" w:hAnsi="Times New Roman"/>
                <w:sz w:val="20"/>
                <w:szCs w:val="20"/>
              </w:rPr>
              <w:t xml:space="preserve">(8)Ak bezpečnostný orgán po preskúmaní svojho rozhodnutia podľa odseku 7 potvrdí svoje pôvodné rozhodnutie, žiadateľ môže podať rozklad (§ 111 ods. </w:t>
            </w:r>
            <w:r>
              <w:rPr>
                <w:rFonts w:ascii="Times New Roman" w:hAnsi="Times New Roman"/>
                <w:sz w:val="20"/>
                <w:szCs w:val="20"/>
              </w:rPr>
              <w:t>3</w:t>
            </w:r>
            <w:r w:rsidRPr="007E1099">
              <w:rPr>
                <w:rFonts w:ascii="Times New Roman" w:hAnsi="Times New Roman"/>
                <w:sz w:val="20"/>
                <w:szCs w:val="20"/>
              </w:rPr>
              <w:t>) v lehote 15 dní odo dňa doručenia oznámenia o potvrdení rozhodnutia.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7C04CF">
            <w:pPr>
              <w:bidi w:val="0"/>
              <w:spacing w:after="0" w:line="240" w:lineRule="auto"/>
              <w:jc w:val="both"/>
              <w:rPr>
                <w:rFonts w:ascii="Times New Roman" w:hAnsi="Times New Roman"/>
                <w:sz w:val="20"/>
                <w:szCs w:val="20"/>
              </w:rPr>
            </w:pPr>
            <w:r>
              <w:rPr>
                <w:rFonts w:ascii="Times New Roman" w:hAnsi="Times New Roman"/>
                <w:sz w:val="20"/>
                <w:szCs w:val="20"/>
              </w:rPr>
              <w:t>O: 9</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A2706B">
              <w:rPr>
                <w:rFonts w:ascii="Times New Roman" w:hAnsi="Times New Roman"/>
                <w:sz w:val="20"/>
                <w:szCs w:val="20"/>
              </w:rPr>
              <w:t>9. Národný bezpečnostný orgán, ktorý má v úmysle odobrať povolenie o uvedení vozidiel do prevádzky, ktoré udelil on sám, alebo povolenie udelené žiadateľovi podľa odseku 8, použije postup revízie bezpečnostných certifikátov uvedený v článku 10 ods. 5 smernice 2004/49/ES alebo v prípade potreby postup revízie bezpečnostných povolení uvedený v článku 11 ods. 2 uvedenej smernice.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76</w:t>
            </w:r>
          </w:p>
          <w:p w:rsidR="008D290D"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10</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F51F45" w:rsidP="008D290D">
            <w:pPr>
              <w:bidi w:val="0"/>
              <w:spacing w:after="0" w:line="240" w:lineRule="auto"/>
              <w:jc w:val="both"/>
              <w:rPr>
                <w:rFonts w:ascii="Times New Roman" w:hAnsi="Times New Roman"/>
                <w:sz w:val="20"/>
                <w:szCs w:val="20"/>
              </w:rPr>
            </w:pPr>
            <w:r w:rsidRPr="00F51F45">
              <w:rPr>
                <w:rFonts w:ascii="Times New Roman" w:hAnsi="Times New Roman"/>
                <w:sz w:val="20"/>
                <w:szCs w:val="20"/>
              </w:rPr>
              <w:t>69. V § 76 sa za odsek 9 vkladá nový odsek 10, ktorý znie:</w:t>
            </w:r>
          </w:p>
          <w:p w:rsidR="008D290D" w:rsidRPr="00F51F45" w:rsidP="008D290D">
            <w:pPr>
              <w:bidi w:val="0"/>
              <w:spacing w:after="0" w:line="240" w:lineRule="auto"/>
              <w:jc w:val="both"/>
              <w:rPr>
                <w:rFonts w:ascii="Times New Roman" w:hAnsi="Times New Roman"/>
                <w:sz w:val="20"/>
                <w:szCs w:val="20"/>
              </w:rPr>
            </w:pPr>
            <w:r w:rsidRPr="00F51F45" w:rsidR="00F51F45">
              <w:rPr>
                <w:rFonts w:ascii="Times New Roman" w:hAnsi="Times New Roman"/>
                <w:sz w:val="20"/>
                <w:szCs w:val="20"/>
              </w:rPr>
              <w:t>„(10) Ak bezpečnostný orgán zistí, že držiteľ železničného vozidla nespĺňa podmienky určené v povolení na uvedenie železničného vozidla do prevádzky, začne konanie o zrušení povolenia na uvedenie železničného vozidla do prevádzky, pri ktorom použije postup revízie bezpečnostných osvedčení podľa § 86 ods. 11 alebo postup revízie bezpečnostných povolení podľa § 87 ods. 6. V rozhodnutí o zrušení povolenia sa musí uviesť dôvod zrušenia.“.</w:t>
            </w:r>
          </w:p>
          <w:p w:rsidR="008D290D" w:rsidRPr="00F51F45" w:rsidP="008D290D">
            <w:pPr>
              <w:bidi w:val="0"/>
              <w:spacing w:after="0" w:line="240" w:lineRule="auto"/>
              <w:jc w:val="both"/>
              <w:rPr>
                <w:rFonts w:ascii="Times New Roman" w:hAnsi="Times New Roman"/>
                <w:sz w:val="20"/>
                <w:szCs w:val="20"/>
              </w:rPr>
            </w:pPr>
            <w:r w:rsidRPr="00F51F45">
              <w:rPr>
                <w:rFonts w:ascii="Times New Roman" w:hAnsi="Times New Roman"/>
                <w:sz w:val="20"/>
                <w:szCs w:val="20"/>
              </w:rPr>
              <w:t>Doterajší odsek 10 sa označuje ako odsek 11.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bidi w:val="0"/>
              <w:spacing w:after="0" w:line="240" w:lineRule="auto"/>
              <w:ind w:left="-25"/>
              <w:jc w:val="both"/>
              <w:rPr>
                <w:rFonts w:ascii="Times New Roman" w:hAnsi="Times New Roman"/>
                <w:sz w:val="20"/>
                <w:szCs w:val="20"/>
              </w:rPr>
            </w:pPr>
            <w:r>
              <w:rPr>
                <w:rFonts w:ascii="Times New Roman" w:hAnsi="Times New Roman"/>
                <w:sz w:val="20"/>
                <w:szCs w:val="20"/>
              </w:rPr>
              <w:t>O: 12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327E41" w:rsidP="007C04CF">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12. Povolenia na uvedenie do prevádzky, ktoré sa udelili pred 19. júlom 2008, vrátane povolení vydaných podľa medzinárodných dohôd, najmä RIC (Regolamento Internazionale Carrozze) a RIV (Regolamento Internazionale Veicoli), ostávajú v platnosti v súlade s podmienkami, podľa ktorých boli udelené. Toto ustanovenie má prednosť pred článkami 22 až 25.</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r>
              <w:rPr>
                <w:rFonts w:ascii="Times New Roman" w:hAnsi="Times New Roman"/>
                <w:sz w:val="20"/>
                <w:szCs w:val="20"/>
              </w:rPr>
              <w:t>513/2009 Z.z. v znení návrhu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78</w:t>
            </w:r>
          </w:p>
          <w:p w:rsidR="008D290D"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P="007C04CF">
            <w:pPr>
              <w:bidi w:val="0"/>
              <w:spacing w:after="0" w:line="240" w:lineRule="auto"/>
              <w:ind w:right="110"/>
              <w:jc w:val="both"/>
              <w:rPr>
                <w:rFonts w:ascii="Times New Roman" w:hAnsi="Times New Roman"/>
                <w:sz w:val="20"/>
                <w:szCs w:val="20"/>
              </w:rPr>
            </w:pPr>
            <w:r w:rsidRPr="0038491F">
              <w:rPr>
                <w:rFonts w:ascii="Times New Roman" w:hAnsi="Times New Roman"/>
                <w:sz w:val="20"/>
                <w:szCs w:val="20"/>
              </w:rPr>
              <w:t>(3) Ak ide o železničné vozidlo s povolením podľa odseku 1 udeleným v inom členskom štáte, bezpečnostný orgán môže podmieniť jeho prevádzkovanie v existujúcom železničnom systéme dodatočným povolením. V takom prípade vyzve držiteľa železničného vozidla, aby predložil technickú dokumentáciu týkajúcu sa železničného vozidla alebo typu železničného vozidla a aby uviedol predpokladaný účel používania železničného vozidla v existujúcom železničnom systéme.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bidi w:val="0"/>
              <w:spacing w:after="0" w:line="240" w:lineRule="auto"/>
              <w:ind w:right="-139"/>
              <w:jc w:val="both"/>
              <w:rPr>
                <w:rFonts w:ascii="Times New Roman" w:hAnsi="Times New Roman"/>
                <w:sz w:val="20"/>
                <w:szCs w:val="20"/>
              </w:rPr>
            </w:pPr>
            <w:r>
              <w:rPr>
                <w:rFonts w:ascii="Times New Roman" w:hAnsi="Times New Roman"/>
                <w:sz w:val="20"/>
                <w:szCs w:val="20"/>
              </w:rPr>
              <w:t>Č: 22</w:t>
            </w:r>
          </w:p>
          <w:p w:rsidR="008D290D" w:rsidP="008D290D">
            <w:pPr>
              <w:bidi w:val="0"/>
              <w:spacing w:after="0" w:line="240" w:lineRule="auto"/>
              <w:ind w:right="-139"/>
              <w:jc w:val="both"/>
              <w:rPr>
                <w:rFonts w:ascii="Times New Roman" w:hAnsi="Times New Roman"/>
                <w:sz w:val="20"/>
                <w:szCs w:val="20"/>
              </w:rPr>
            </w:pPr>
          </w:p>
          <w:p w:rsidR="008D290D" w:rsidP="008D290D">
            <w:pPr>
              <w:bidi w:val="0"/>
              <w:spacing w:after="0" w:line="240" w:lineRule="auto"/>
              <w:ind w:right="-139"/>
              <w:jc w:val="both"/>
              <w:rPr>
                <w:rFonts w:ascii="Times New Roman" w:hAnsi="Times New Roman"/>
                <w:sz w:val="20"/>
                <w:szCs w:val="20"/>
              </w:rPr>
            </w:pPr>
          </w:p>
          <w:p w:rsidR="008D290D" w:rsidP="008D290D">
            <w:pPr>
              <w:bidi w:val="0"/>
              <w:spacing w:after="0" w:line="240" w:lineRule="auto"/>
              <w:ind w:right="-139"/>
              <w:jc w:val="both"/>
              <w:rPr>
                <w:rFonts w:ascii="Times New Roman" w:hAnsi="Times New Roman"/>
                <w:sz w:val="20"/>
                <w:szCs w:val="20"/>
              </w:rPr>
            </w:pPr>
            <w:r>
              <w:rPr>
                <w:rFonts w:ascii="Times New Roman" w:hAnsi="Times New Roman"/>
                <w:sz w:val="20"/>
                <w:szCs w:val="20"/>
              </w:rPr>
              <w:t>O: 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6B1F98" w:rsidP="008D290D">
            <w:pPr>
              <w:autoSpaceDE w:val="0"/>
              <w:autoSpaceDN w:val="0"/>
              <w:bidi w:val="0"/>
              <w:adjustRightInd w:val="0"/>
              <w:spacing w:after="0" w:line="240" w:lineRule="auto"/>
              <w:jc w:val="both"/>
              <w:rPr>
                <w:rFonts w:ascii="Times New Roman" w:hAnsi="Times New Roman"/>
                <w:i/>
                <w:iCs/>
                <w:sz w:val="20"/>
                <w:szCs w:val="20"/>
              </w:rPr>
            </w:pPr>
            <w:r>
              <w:rPr>
                <w:rFonts w:ascii="Times New Roman" w:hAnsi="Times New Roman"/>
                <w:i/>
                <w:iCs/>
                <w:sz w:val="20"/>
                <w:szCs w:val="20"/>
              </w:rPr>
              <w:t>Článok 22</w:t>
            </w:r>
          </w:p>
          <w:p w:rsidR="008D290D" w:rsidRPr="00327E41" w:rsidP="008D290D">
            <w:pPr>
              <w:autoSpaceDE w:val="0"/>
              <w:autoSpaceDN w:val="0"/>
              <w:bidi w:val="0"/>
              <w:adjustRightInd w:val="0"/>
              <w:spacing w:after="0" w:line="240" w:lineRule="auto"/>
              <w:jc w:val="both"/>
              <w:rPr>
                <w:rFonts w:ascii="Times New Roman" w:hAnsi="Times New Roman"/>
                <w:b/>
                <w:bCs/>
                <w:sz w:val="20"/>
                <w:szCs w:val="20"/>
              </w:rPr>
            </w:pPr>
            <w:r w:rsidRPr="00327E41">
              <w:rPr>
                <w:rFonts w:ascii="Times New Roman" w:hAnsi="Times New Roman"/>
                <w:b/>
                <w:bCs/>
                <w:sz w:val="20"/>
                <w:szCs w:val="20"/>
              </w:rPr>
              <w:t>Prvé povolenie na uvedenie vozidiel, ktoré sú v zhode s TSI, do prevádzky</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xml:space="preserve">2. Prvé povolenie udelí národný bezpečnostný úrad takto: </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a) ak všetky štrukturálne subsystémy vozidla dostali povolenie v súlade s ustanoveniami uvedenými v kapitole IV, povolenie sa udelí bez ďalšieho overovania;</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b) v prípade vozidiel so všetkými potrebnými vyhláseniami ES o overení v zmysle článku 18 sa kritériá, ktoré bezpečnostný orgán overuje na účely udelenia povolenia na uvedenie do prevádzky, môžu týkať iba:</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xml:space="preserve">— technickej kompatibility medzi príslušnými subsystémami vozidla a ich bezpečnou integráciou v súlade </w:t>
            </w:r>
            <w:r>
              <w:rPr>
                <w:rFonts w:ascii="Times New Roman" w:hAnsi="Times New Roman"/>
                <w:sz w:val="20"/>
                <w:szCs w:val="20"/>
              </w:rPr>
              <w:t>s článkom 15 ods.</w:t>
            </w:r>
            <w:r w:rsidRPr="00327E41">
              <w:rPr>
                <w:rFonts w:ascii="Times New Roman" w:hAnsi="Times New Roman"/>
                <w:sz w:val="20"/>
                <w:szCs w:val="20"/>
              </w:rPr>
              <w:t>1,</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technickej kompatibility medzi vozidlom a príslušnou sieťou,</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vnútroštátnych predpisov platných pre otvorené body,</w:t>
            </w:r>
          </w:p>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vnútroštátnych predpisov uplatniteľných na špecifické prípady náležite určené v príslušných TSI.</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77</w:t>
            </w:r>
          </w:p>
          <w:p w:rsidR="008D290D"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B04595" w:rsidP="008D290D">
            <w:pPr>
              <w:bidi w:val="0"/>
              <w:spacing w:after="0" w:line="240" w:lineRule="auto"/>
              <w:jc w:val="both"/>
              <w:rPr>
                <w:rFonts w:ascii="Times New Roman" w:hAnsi="Times New Roman"/>
                <w:sz w:val="20"/>
                <w:szCs w:val="20"/>
              </w:rPr>
            </w:pPr>
            <w:r w:rsidRPr="00B04595">
              <w:rPr>
                <w:rFonts w:ascii="Times New Roman" w:hAnsi="Times New Roman"/>
                <w:sz w:val="20"/>
                <w:szCs w:val="20"/>
              </w:rPr>
              <w:t>70. V § 77 odsek 2 znie:</w:t>
            </w:r>
          </w:p>
          <w:p w:rsidR="008D290D" w:rsidRPr="00B04595" w:rsidP="008D290D">
            <w:pPr>
              <w:bidi w:val="0"/>
              <w:spacing w:after="0" w:line="240" w:lineRule="auto"/>
              <w:jc w:val="both"/>
              <w:rPr>
                <w:rFonts w:ascii="Times New Roman" w:hAnsi="Times New Roman"/>
                <w:sz w:val="20"/>
                <w:szCs w:val="20"/>
              </w:rPr>
            </w:pPr>
            <w:r w:rsidRPr="00B04595">
              <w:rPr>
                <w:rFonts w:ascii="Times New Roman" w:hAnsi="Times New Roman"/>
                <w:sz w:val="20"/>
                <w:szCs w:val="20"/>
              </w:rPr>
              <w:t>„(2) Bezpečnostný orgán posúdi technickú kompatibilitu podľa odseku 1 písm. b) druhého bodu.“.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bidi w:val="0"/>
              <w:spacing w:after="0" w:line="240" w:lineRule="auto"/>
              <w:ind w:right="-139"/>
              <w:jc w:val="both"/>
              <w:rPr>
                <w:rFonts w:ascii="Times New Roman" w:hAnsi="Times New Roman"/>
                <w:sz w:val="20"/>
                <w:szCs w:val="20"/>
              </w:rPr>
            </w:pPr>
            <w:r>
              <w:rPr>
                <w:rFonts w:ascii="Times New Roman" w:hAnsi="Times New Roman"/>
                <w:sz w:val="20"/>
                <w:szCs w:val="20"/>
              </w:rPr>
              <w:t>Č: 24</w:t>
            </w:r>
          </w:p>
          <w:p w:rsidR="008D290D" w:rsidP="008D290D">
            <w:pPr>
              <w:bidi w:val="0"/>
              <w:spacing w:after="0" w:line="240" w:lineRule="auto"/>
              <w:ind w:right="-139"/>
              <w:jc w:val="both"/>
              <w:rPr>
                <w:rFonts w:ascii="Times New Roman" w:hAnsi="Times New Roman"/>
                <w:sz w:val="20"/>
                <w:szCs w:val="20"/>
              </w:rPr>
            </w:pPr>
            <w:r>
              <w:rPr>
                <w:rFonts w:ascii="Times New Roman" w:hAnsi="Times New Roman"/>
                <w:sz w:val="20"/>
                <w:szCs w:val="20"/>
              </w:rPr>
              <w:t>O: 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327E41" w:rsidP="008D290D">
            <w:pPr>
              <w:autoSpaceDE w:val="0"/>
              <w:autoSpaceDN w:val="0"/>
              <w:bidi w:val="0"/>
              <w:adjustRightInd w:val="0"/>
              <w:spacing w:after="0" w:line="240" w:lineRule="auto"/>
              <w:jc w:val="both"/>
              <w:rPr>
                <w:rFonts w:ascii="Times New Roman" w:hAnsi="Times New Roman"/>
                <w:i/>
                <w:iCs/>
                <w:sz w:val="20"/>
                <w:szCs w:val="20"/>
              </w:rPr>
            </w:pPr>
            <w:r w:rsidRPr="00327E41">
              <w:rPr>
                <w:rFonts w:ascii="Times New Roman" w:hAnsi="Times New Roman"/>
                <w:i/>
                <w:iCs/>
                <w:sz w:val="20"/>
                <w:szCs w:val="20"/>
              </w:rPr>
              <w:t>Článok 24</w:t>
            </w:r>
          </w:p>
          <w:p w:rsidR="008D290D" w:rsidRPr="00327E41" w:rsidP="008D290D">
            <w:pPr>
              <w:autoSpaceDE w:val="0"/>
              <w:autoSpaceDN w:val="0"/>
              <w:bidi w:val="0"/>
              <w:adjustRightInd w:val="0"/>
              <w:spacing w:after="0" w:line="240" w:lineRule="auto"/>
              <w:jc w:val="both"/>
              <w:rPr>
                <w:rFonts w:ascii="Times New Roman" w:hAnsi="Times New Roman"/>
                <w:b/>
                <w:bCs/>
                <w:sz w:val="20"/>
                <w:szCs w:val="20"/>
              </w:rPr>
            </w:pPr>
            <w:r w:rsidRPr="00327E41">
              <w:rPr>
                <w:rFonts w:ascii="Times New Roman" w:hAnsi="Times New Roman"/>
                <w:b/>
                <w:bCs/>
                <w:sz w:val="20"/>
                <w:szCs w:val="20"/>
              </w:rPr>
              <w:t>Prvé povolenie na uvedenie vozidiel, ktoré nevyhovujú TSI, do prevádzky</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2. Prvé povolenie udelí národný bezpečnostný úrad takto:</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xml:space="preserve">— na prípadne technické aspekty, ktoré sú pokryté v TSI, sa vzťahuje postup overovania ES, </w:t>
            </w:r>
          </w:p>
          <w:p w:rsidR="008D290D" w:rsidRPr="00327E41"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 xml:space="preserve">— na ostatné technické aspekty sa vzťahujú vnútroštátne predpisy notifikované podľa článku 17 ods. 3 tejto smernice a článku 8 smernice 2004/49/ES. </w:t>
            </w:r>
          </w:p>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Prvé povolenie je platné len v sieti členského štátu, ktorý ho udeľuje.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78</w:t>
            </w:r>
          </w:p>
          <w:p w:rsidR="008D290D"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B04595" w:rsidP="008D290D">
            <w:pPr>
              <w:bidi w:val="0"/>
              <w:spacing w:after="0" w:line="240" w:lineRule="auto"/>
              <w:jc w:val="both"/>
              <w:rPr>
                <w:rFonts w:ascii="Times New Roman" w:hAnsi="Times New Roman"/>
                <w:sz w:val="20"/>
                <w:szCs w:val="20"/>
              </w:rPr>
            </w:pPr>
            <w:r w:rsidRPr="00B04595">
              <w:rPr>
                <w:rFonts w:ascii="Times New Roman" w:hAnsi="Times New Roman"/>
                <w:sz w:val="20"/>
                <w:szCs w:val="20"/>
              </w:rPr>
              <w:t>73. V § 78 odsek 5 znie:</w:t>
            </w:r>
          </w:p>
          <w:p w:rsidR="008D290D" w:rsidRPr="00B04595" w:rsidP="008D290D">
            <w:pPr>
              <w:bidi w:val="0"/>
              <w:spacing w:after="0" w:line="240" w:lineRule="auto"/>
              <w:jc w:val="both"/>
              <w:rPr>
                <w:rFonts w:ascii="Times New Roman" w:hAnsi="Times New Roman"/>
                <w:sz w:val="20"/>
                <w:szCs w:val="20"/>
              </w:rPr>
            </w:pPr>
            <w:r w:rsidRPr="00B04595">
              <w:rPr>
                <w:rFonts w:ascii="Times New Roman" w:hAnsi="Times New Roman"/>
                <w:sz w:val="20"/>
                <w:szCs w:val="20"/>
              </w:rPr>
              <w:t>„(5) Bezpečnostný orgán posúdi technickú kompatibilitu podľa odseku 4 písm. 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bidi w:val="0"/>
              <w:spacing w:after="0" w:line="240" w:lineRule="auto"/>
              <w:ind w:right="-139"/>
              <w:jc w:val="both"/>
              <w:rPr>
                <w:rFonts w:ascii="Times New Roman" w:hAnsi="Times New Roman"/>
                <w:sz w:val="20"/>
                <w:szCs w:val="20"/>
              </w:rPr>
            </w:pPr>
            <w:r>
              <w:rPr>
                <w:rFonts w:ascii="Times New Roman" w:hAnsi="Times New Roman"/>
                <w:sz w:val="20"/>
                <w:szCs w:val="20"/>
              </w:rPr>
              <w:t>Č: 26</w:t>
            </w:r>
          </w:p>
          <w:p w:rsidR="008D290D" w:rsidP="008D290D">
            <w:pPr>
              <w:bidi w:val="0"/>
              <w:spacing w:after="0" w:line="240" w:lineRule="auto"/>
              <w:ind w:right="-139"/>
              <w:jc w:val="both"/>
              <w:rPr>
                <w:rFonts w:ascii="Times New Roman" w:hAnsi="Times New Roman"/>
                <w:sz w:val="20"/>
                <w:szCs w:val="20"/>
              </w:rPr>
            </w:pPr>
            <w:r>
              <w:rPr>
                <w:rFonts w:ascii="Times New Roman" w:hAnsi="Times New Roman"/>
                <w:sz w:val="20"/>
                <w:szCs w:val="20"/>
              </w:rPr>
              <w:t>O: 1</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327E41" w:rsidP="008D290D">
            <w:pPr>
              <w:autoSpaceDE w:val="0"/>
              <w:autoSpaceDN w:val="0"/>
              <w:bidi w:val="0"/>
              <w:adjustRightInd w:val="0"/>
              <w:spacing w:after="0" w:line="240" w:lineRule="auto"/>
              <w:jc w:val="both"/>
              <w:rPr>
                <w:rFonts w:ascii="Times New Roman" w:hAnsi="Times New Roman"/>
                <w:i/>
                <w:iCs/>
                <w:sz w:val="20"/>
                <w:szCs w:val="20"/>
              </w:rPr>
            </w:pPr>
            <w:r w:rsidRPr="00327E41">
              <w:rPr>
                <w:rFonts w:ascii="Times New Roman" w:hAnsi="Times New Roman"/>
                <w:i/>
                <w:iCs/>
                <w:sz w:val="20"/>
                <w:szCs w:val="20"/>
              </w:rPr>
              <w:t>Článok 26</w:t>
            </w:r>
          </w:p>
          <w:p w:rsidR="008D290D" w:rsidRPr="00327E41" w:rsidP="008D290D">
            <w:pPr>
              <w:autoSpaceDE w:val="0"/>
              <w:autoSpaceDN w:val="0"/>
              <w:bidi w:val="0"/>
              <w:adjustRightInd w:val="0"/>
              <w:spacing w:after="0" w:line="240" w:lineRule="auto"/>
              <w:jc w:val="both"/>
              <w:rPr>
                <w:rFonts w:ascii="Times New Roman" w:hAnsi="Times New Roman"/>
                <w:b/>
                <w:bCs/>
                <w:sz w:val="20"/>
                <w:szCs w:val="20"/>
              </w:rPr>
            </w:pPr>
            <w:r w:rsidRPr="00327E41">
              <w:rPr>
                <w:rFonts w:ascii="Times New Roman" w:hAnsi="Times New Roman"/>
                <w:b/>
                <w:bCs/>
                <w:sz w:val="20"/>
                <w:szCs w:val="20"/>
              </w:rPr>
              <w:t>Povolenie pre typy vozidiel</w:t>
            </w:r>
          </w:p>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1. Členské štáty môžu udeliť povolenia pre typy vozidiel.</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78a</w:t>
            </w:r>
          </w:p>
          <w:p w:rsidR="008D290D"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3D588C" w:rsidP="008D290D">
            <w:pPr>
              <w:bidi w:val="0"/>
              <w:spacing w:after="0" w:line="240" w:lineRule="auto"/>
              <w:jc w:val="both"/>
              <w:rPr>
                <w:rFonts w:ascii="Times New Roman" w:hAnsi="Times New Roman"/>
                <w:sz w:val="20"/>
                <w:szCs w:val="20"/>
              </w:rPr>
            </w:pPr>
            <w:r w:rsidRPr="003D588C" w:rsidR="003D588C">
              <w:rPr>
                <w:rFonts w:ascii="Times New Roman" w:hAnsi="Times New Roman"/>
                <w:sz w:val="20"/>
                <w:szCs w:val="20"/>
              </w:rPr>
              <w:t>(1) Bezpečnostný orgán môže udeliť povolenie typu železničného vozidla. Ak bezpečnostný orgán udelí povolenie na uvedenie železničného vozidla do prevádzky, zároveň udelí povolenie typu železničného vozidla.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D588C" w:rsidP="007C04CF">
            <w:pPr>
              <w:bidi w:val="0"/>
              <w:spacing w:after="0" w:line="240" w:lineRule="auto"/>
              <w:jc w:val="both"/>
              <w:rPr>
                <w:rFonts w:ascii="Times New Roman" w:hAnsi="Times New Roman"/>
                <w:sz w:val="20"/>
                <w:szCs w:val="20"/>
              </w:rPr>
            </w:pPr>
            <w:r>
              <w:rPr>
                <w:rFonts w:ascii="Times New Roman" w:hAnsi="Times New Roman"/>
                <w:sz w:val="20"/>
                <w:szCs w:val="20"/>
              </w:rPr>
              <w:t>O: 2</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3D588C"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2. Ak však členské štáty udelia povolenie vozidlu, zároveň udelia povolenie typu vozidla.</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3D588C"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3D588C"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D588C" w:rsidP="006A30A5">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78a</w:t>
            </w:r>
          </w:p>
          <w:p w:rsidR="003D588C" w:rsidRPr="006B1F98" w:rsidP="006A30A5">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3D588C" w:rsidRPr="003D588C" w:rsidP="00AF18CA">
            <w:pPr>
              <w:bidi w:val="0"/>
              <w:spacing w:after="0" w:line="240" w:lineRule="auto"/>
              <w:jc w:val="both"/>
              <w:rPr>
                <w:rFonts w:ascii="Times New Roman" w:hAnsi="Times New Roman"/>
                <w:sz w:val="20"/>
                <w:szCs w:val="20"/>
              </w:rPr>
            </w:pPr>
            <w:r w:rsidRPr="003D588C">
              <w:rPr>
                <w:rFonts w:ascii="Times New Roman" w:hAnsi="Times New Roman"/>
                <w:sz w:val="20"/>
                <w:szCs w:val="20"/>
              </w:rPr>
              <w:t>(1) Bezpečnostný orgán môže udeliť povolenie typu železničného vozidla. Ak bezpečnostný orgán udelí povolenie na uvedenie železničného vozidla do prevádzky, zároveň udelí povolenie typu železničného vozidla.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D588C" w:rsidRPr="008F5034" w:rsidP="001038FC">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3D588C"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7C04CF">
            <w:pPr>
              <w:bidi w:val="0"/>
              <w:spacing w:after="0" w:line="240" w:lineRule="auto"/>
              <w:jc w:val="both"/>
              <w:rPr>
                <w:rFonts w:ascii="Times New Roman" w:hAnsi="Times New Roman"/>
                <w:sz w:val="20"/>
                <w:szCs w:val="20"/>
              </w:rPr>
            </w:pPr>
            <w:r>
              <w:rPr>
                <w:rFonts w:ascii="Times New Roman" w:hAnsi="Times New Roman"/>
                <w:sz w:val="20"/>
                <w:szCs w:val="20"/>
              </w:rPr>
              <w:t>O: 3</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3. Vozidlu, ktoré je zhodné s typom, ktorému už členský štát udelil povolenie, tento členský štát udelí povolenie na základe vyhlásenia o zhode s týmto typom, ktoré predloží žiadateľ, bez ďalších kontrol. Ak sa však príslušné ustanovenia TSI a vnútroštátnych predpisov, na základe ktorých bolo typu vozidiel udelené povolenie, zmenili, členské štáty rozhodnú, či povolenia typu vozidiel, ktoré sa už udelili, zostanú platné alebo ich treba obnoviť. Kritériá, ktoré národný bezpečnostný orgán kontroluje v prípade obnovenia povolenia typu, sa môžu týkať len zmenených predpisov. Obnovenie povolenia typu nemá vplyv na povolenia, ktoré sa vozidlám udelili skôr na základe predchádzajúcich povolených typov.</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78a</w:t>
            </w:r>
          </w:p>
          <w:p w:rsidR="008D290D" w:rsidRPr="006B1F98" w:rsidP="006B280A">
            <w:pPr>
              <w:pStyle w:val="EnvelopeReturn"/>
              <w:bidi w:val="0"/>
              <w:spacing w:after="0" w:line="240" w:lineRule="auto"/>
              <w:ind w:right="-108"/>
              <w:jc w:val="both"/>
              <w:rPr>
                <w:rFonts w:ascii="Times New Roman" w:hAnsi="Times New Roman"/>
                <w:b w:val="0"/>
                <w:bCs w:val="0"/>
                <w:color w:val="auto"/>
              </w:rPr>
            </w:pPr>
            <w:r>
              <w:rPr>
                <w:rFonts w:ascii="Times New Roman" w:hAnsi="Times New Roman"/>
                <w:b w:val="0"/>
                <w:bCs w:val="0"/>
                <w:color w:val="auto"/>
              </w:rPr>
              <w:t>O: 2</w:t>
            </w:r>
            <w:r w:rsidR="006B280A">
              <w:rPr>
                <w:rFonts w:ascii="Times New Roman" w:hAnsi="Times New Roman"/>
                <w:b w:val="0"/>
                <w:bCs w:val="0"/>
                <w:color w:val="auto"/>
              </w:rPr>
              <w:t>,3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3D588C" w:rsidRPr="003D588C" w:rsidP="003D588C">
            <w:pPr>
              <w:bidi w:val="0"/>
              <w:spacing w:after="0" w:line="240" w:lineRule="auto"/>
              <w:jc w:val="both"/>
              <w:rPr>
                <w:rFonts w:ascii="Times New Roman" w:hAnsi="Times New Roman"/>
                <w:sz w:val="20"/>
                <w:szCs w:val="20"/>
              </w:rPr>
            </w:pPr>
            <w:r w:rsidRPr="003D588C">
              <w:rPr>
                <w:rFonts w:ascii="Times New Roman" w:hAnsi="Times New Roman"/>
                <w:sz w:val="20"/>
                <w:szCs w:val="20"/>
              </w:rPr>
              <w:t xml:space="preserve">(2) Železničnému vozidlu, ktoré je zhodné s typom, ktorému už bezpečnostný orgán udelil povolenie typu železničného vozidla, udelí povolenie na uvedenie železničného vozidla do prevádzky na základe predloženia vyhlásenia o zhode s povoleným typom železničného vozidla bez ďalších kontrol. Zhodu železničného vozidla s povoleným typom železničného vozidla vyhlasuje výrobca, alebo jeho splnomocnený zástupca so sídlom v členskom štáte a ak ide o železničné vozidlo z tretieho štátu, jeho dovozca. </w:t>
            </w:r>
          </w:p>
          <w:p w:rsidR="006B280A" w:rsidRPr="003D588C" w:rsidP="00C95571">
            <w:pPr>
              <w:bidi w:val="0"/>
              <w:spacing w:after="0" w:line="240" w:lineRule="auto"/>
              <w:jc w:val="both"/>
              <w:rPr>
                <w:rFonts w:ascii="Times New Roman" w:hAnsi="Times New Roman"/>
                <w:sz w:val="20"/>
                <w:szCs w:val="20"/>
              </w:rPr>
            </w:pPr>
            <w:r w:rsidRPr="003D588C" w:rsidR="003D588C">
              <w:rPr>
                <w:rFonts w:ascii="Times New Roman" w:hAnsi="Times New Roman"/>
                <w:sz w:val="20"/>
                <w:szCs w:val="20"/>
              </w:rPr>
              <w:t xml:space="preserve">(3) Ak sa zmenili príslušné technické špecifikácie interoperability alebo technické a bezpečnostné predpisy, na základe ktorých bol povolený typ železničného vozidla, bezpečnostný orgán určí, či povolenie typu železničného vozidla zostane v platnosti, alebo je potrebné nové povolenie typu železničného vozidla. Ak určí, že je potrebné nové povolenie typu železničného vozidla, predmetom kontroly sú len kritériá vyplývajúce zo zmenených predpisov. Obnovenie povolenia typu železničného vozidla nemá vplyv na povolenia, ktoré sa železničným vozidlám už udelili na základe predchádzajúcich povolených typov železničného vozidla.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D290D" w:rsidP="007C04CF">
            <w:pPr>
              <w:bidi w:val="0"/>
              <w:spacing w:after="0" w:line="240" w:lineRule="auto"/>
              <w:jc w:val="both"/>
              <w:rPr>
                <w:rFonts w:ascii="Times New Roman" w:hAnsi="Times New Roman"/>
                <w:sz w:val="20"/>
                <w:szCs w:val="20"/>
              </w:rPr>
            </w:pPr>
            <w:r w:rsidR="006B280A">
              <w:rPr>
                <w:rFonts w:ascii="Times New Roman" w:hAnsi="Times New Roman"/>
                <w:sz w:val="20"/>
                <w:szCs w:val="20"/>
              </w:rPr>
              <w:t>O:6</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8D290D" w:rsidRPr="006B1F98" w:rsidP="008D290D">
            <w:pPr>
              <w:autoSpaceDE w:val="0"/>
              <w:autoSpaceDN w:val="0"/>
              <w:bidi w:val="0"/>
              <w:adjustRightInd w:val="0"/>
              <w:spacing w:after="0" w:line="240" w:lineRule="auto"/>
              <w:jc w:val="both"/>
              <w:rPr>
                <w:rFonts w:ascii="Times New Roman" w:hAnsi="Times New Roman"/>
                <w:sz w:val="20"/>
                <w:szCs w:val="20"/>
              </w:rPr>
            </w:pPr>
            <w:r w:rsidRPr="00327E41" w:rsidR="006B280A">
              <w:rPr>
                <w:rFonts w:ascii="Times New Roman" w:hAnsi="Times New Roman"/>
                <w:sz w:val="20"/>
                <w:szCs w:val="20"/>
              </w:rPr>
              <w:t>6. Žiadateľ môže požiadať o povolenie typu vo viacerých členských štátoch súčasne. Národné bezpečnostné orgány v tom prípade spolupracujú, aby sa zjednodušil postup a minimalizovala administratívna činnosť.</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006B280A">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D290D" w:rsidP="008D290D">
            <w:pPr>
              <w:pStyle w:val="EnvelopeReturn"/>
              <w:bidi w:val="0"/>
              <w:spacing w:after="0" w:line="240" w:lineRule="auto"/>
              <w:jc w:val="both"/>
              <w:rPr>
                <w:rFonts w:ascii="Times New Roman" w:hAnsi="Times New Roman"/>
                <w:b w:val="0"/>
                <w:bCs w:val="0"/>
                <w:color w:val="auto"/>
              </w:rPr>
            </w:pPr>
            <w:r w:rsidR="006B280A">
              <w:rPr>
                <w:rFonts w:ascii="Times New Roman" w:hAnsi="Times New Roman"/>
                <w:b w:val="0"/>
                <w:bCs w:val="0"/>
                <w:color w:val="auto"/>
              </w:rPr>
              <w:t>§ 78a</w:t>
            </w:r>
          </w:p>
          <w:p w:rsidR="006B280A"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D290D" w:rsidRPr="003D588C" w:rsidP="00C95571">
            <w:pPr>
              <w:bidi w:val="0"/>
              <w:spacing w:after="0" w:line="240" w:lineRule="auto"/>
              <w:jc w:val="both"/>
              <w:rPr>
                <w:rFonts w:ascii="Times New Roman" w:hAnsi="Times New Roman"/>
                <w:sz w:val="20"/>
                <w:szCs w:val="20"/>
              </w:rPr>
            </w:pPr>
            <w:r w:rsidRPr="003D588C" w:rsidR="003D588C">
              <w:rPr>
                <w:rFonts w:ascii="Times New Roman" w:hAnsi="Times New Roman"/>
                <w:sz w:val="20"/>
                <w:szCs w:val="20"/>
              </w:rPr>
              <w:t>(4) Ak žiadateľ požiadal o povolenie typu železničného vozidla súčasne aj v inom členskom štáte, bezpečnostný orgán v záujme zjednodušenia postupu a minimalizovania administratívnej činnosti spolupracuje s bezpečnostným orgánom členského štátu, v ktorom žiadateľ požiadal o udelenie povolenia typu železničného vozidla.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r w:rsidR="006B280A">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8D290D" w:rsidRPr="008F5034" w:rsidP="007C04CF">
            <w:pPr>
              <w:bidi w:val="0"/>
              <w:spacing w:after="0" w:line="240" w:lineRule="auto"/>
              <w:jc w:val="both"/>
              <w:rPr>
                <w:rFonts w:ascii="Times New Roman" w:hAnsi="Times New Roman"/>
                <w:sz w:val="20"/>
                <w:szCs w:val="20"/>
              </w:rPr>
            </w:pPr>
          </w:p>
        </w:tc>
      </w:tr>
      <w:tr>
        <w:tblPrEx>
          <w:tblW w:w="14819" w:type="dxa"/>
          <w:tblLayout w:type="fixed"/>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B280A" w:rsidP="007C04CF">
            <w:pPr>
              <w:bidi w:val="0"/>
              <w:spacing w:after="0" w:line="240" w:lineRule="auto"/>
              <w:jc w:val="both"/>
              <w:rPr>
                <w:rFonts w:ascii="Times New Roman" w:hAnsi="Times New Roman"/>
                <w:sz w:val="20"/>
                <w:szCs w:val="20"/>
              </w:rPr>
            </w:pPr>
            <w:r>
              <w:rPr>
                <w:rFonts w:ascii="Times New Roman" w:hAnsi="Times New Roman"/>
                <w:sz w:val="20"/>
                <w:szCs w:val="20"/>
              </w:rPr>
              <w:t>O:7</w:t>
            </w:r>
          </w:p>
        </w:tc>
        <w:tc>
          <w:tcPr>
            <w:tcW w:w="4709" w:type="dxa"/>
            <w:tcBorders>
              <w:top w:val="single" w:sz="4" w:space="0" w:color="auto"/>
              <w:left w:val="single" w:sz="4" w:space="0" w:color="auto"/>
              <w:bottom w:val="single" w:sz="4" w:space="0" w:color="auto"/>
              <w:right w:val="single" w:sz="4" w:space="0" w:color="auto"/>
            </w:tcBorders>
            <w:textDirection w:val="lrTb"/>
            <w:vAlign w:val="top"/>
          </w:tcPr>
          <w:p w:rsidR="006B280A" w:rsidRPr="006B1F98" w:rsidP="008D290D">
            <w:pPr>
              <w:autoSpaceDE w:val="0"/>
              <w:autoSpaceDN w:val="0"/>
              <w:bidi w:val="0"/>
              <w:adjustRightInd w:val="0"/>
              <w:spacing w:after="0" w:line="240" w:lineRule="auto"/>
              <w:jc w:val="both"/>
              <w:rPr>
                <w:rFonts w:ascii="Times New Roman" w:hAnsi="Times New Roman"/>
                <w:sz w:val="20"/>
                <w:szCs w:val="20"/>
              </w:rPr>
            </w:pPr>
            <w:r w:rsidRPr="00327E41">
              <w:rPr>
                <w:rFonts w:ascii="Times New Roman" w:hAnsi="Times New Roman"/>
                <w:sz w:val="20"/>
                <w:szCs w:val="20"/>
              </w:rPr>
              <w:t>7. Povolenia typov sa zaregistrujú v Európskom registri povolených typov vozidiel uvedenom v článku 34. V tomto registri sa spresní, ktoré členské štáty udelili typu vozidiel povolenie.</w:t>
            </w:r>
          </w:p>
        </w:tc>
        <w:tc>
          <w:tcPr>
            <w:tcW w:w="677" w:type="dxa"/>
            <w:tcBorders>
              <w:top w:val="single" w:sz="4" w:space="0" w:color="auto"/>
              <w:left w:val="single" w:sz="4" w:space="0" w:color="auto"/>
              <w:bottom w:val="single" w:sz="4" w:space="0" w:color="auto"/>
              <w:right w:val="single" w:sz="4" w:space="0" w:color="auto"/>
            </w:tcBorders>
            <w:textDirection w:val="lrTb"/>
            <w:vAlign w:val="top"/>
          </w:tcPr>
          <w:p w:rsidR="006B280A"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N</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6B280A" w:rsidRPr="008F5034" w:rsidP="007C04CF">
            <w:pPr>
              <w:bidi w:val="0"/>
              <w:spacing w:after="0" w:line="240" w:lineRule="auto"/>
              <w:ind w:left="-76" w:right="-108"/>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B280A"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 78a</w:t>
            </w:r>
          </w:p>
          <w:p w:rsidR="006B280A" w:rsidRPr="006B1F98" w:rsidP="008D290D">
            <w:pPr>
              <w:pStyle w:val="EnvelopeReturn"/>
              <w:bidi w:val="0"/>
              <w:spacing w:after="0" w:line="240" w:lineRule="auto"/>
              <w:jc w:val="both"/>
              <w:rPr>
                <w:rFonts w:ascii="Times New Roman" w:hAnsi="Times New Roman"/>
                <w:b w:val="0"/>
                <w:bCs w:val="0"/>
                <w:color w:val="auto"/>
              </w:rPr>
            </w:pPr>
            <w:r>
              <w:rPr>
                <w:rFonts w:ascii="Times New Roman" w:hAnsi="Times New Roman"/>
                <w:b w:val="0"/>
                <w:bCs w:val="0"/>
                <w:color w:val="auto"/>
              </w:rPr>
              <w:t>O:5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6B280A" w:rsidRPr="003D588C" w:rsidP="008D290D">
            <w:pPr>
              <w:bidi w:val="0"/>
              <w:spacing w:after="0" w:line="240" w:lineRule="auto"/>
              <w:jc w:val="both"/>
              <w:rPr>
                <w:rFonts w:ascii="Times New Roman" w:hAnsi="Times New Roman"/>
                <w:sz w:val="20"/>
                <w:szCs w:val="20"/>
              </w:rPr>
            </w:pPr>
            <w:r w:rsidRPr="003D588C" w:rsidR="003D588C">
              <w:rPr>
                <w:rFonts w:ascii="Times New Roman" w:hAnsi="Times New Roman"/>
                <w:sz w:val="20"/>
                <w:szCs w:val="20"/>
              </w:rPr>
              <w:t>(5) Povolenia typov železničných vozidiel sa registrujú v Európskom registri povolených typov železničného vozidla. Bezpečnostný orgán informuje Európsku železničnú agentúru o udelení, zmene, pozastavení a zrušení povolenia typu železničného vozidla.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B280A" w:rsidRPr="008F5034" w:rsidP="007C04CF">
            <w:pPr>
              <w:bidi w:val="0"/>
              <w:spacing w:after="0" w:line="240" w:lineRule="auto"/>
              <w:jc w:val="both"/>
              <w:rPr>
                <w:rFonts w:ascii="Times New Roman" w:hAnsi="Times New Roman"/>
                <w:sz w:val="20"/>
                <w:szCs w:val="20"/>
              </w:rPr>
            </w:pPr>
            <w:r>
              <w:rPr>
                <w:rFonts w:ascii="Times New Roman" w:hAnsi="Times New Roman"/>
                <w:sz w:val="20"/>
                <w:szCs w:val="20"/>
              </w:rPr>
              <w:t>Ú</w:t>
            </w:r>
          </w:p>
        </w:tc>
        <w:tc>
          <w:tcPr>
            <w:tcW w:w="1386" w:type="dxa"/>
            <w:tcBorders>
              <w:top w:val="single" w:sz="4" w:space="0" w:color="auto"/>
              <w:left w:val="single" w:sz="4" w:space="0" w:color="auto"/>
              <w:bottom w:val="single" w:sz="4" w:space="0" w:color="auto"/>
              <w:right w:val="single" w:sz="4" w:space="0" w:color="auto"/>
            </w:tcBorders>
            <w:textDirection w:val="lrTb"/>
            <w:vAlign w:val="top"/>
          </w:tcPr>
          <w:p w:rsidR="006B280A" w:rsidRPr="008F5034" w:rsidP="007C04CF">
            <w:pPr>
              <w:bidi w:val="0"/>
              <w:spacing w:after="0" w:line="240" w:lineRule="auto"/>
              <w:jc w:val="both"/>
              <w:rPr>
                <w:rFonts w:ascii="Times New Roman" w:hAnsi="Times New Roman"/>
                <w:sz w:val="20"/>
                <w:szCs w:val="20"/>
              </w:rPr>
            </w:pPr>
          </w:p>
        </w:tc>
      </w:tr>
    </w:tbl>
    <w:p w:rsidR="002D46B2">
      <w:pPr>
        <w:bidi w:val="0"/>
        <w:rPr>
          <w:rFonts w:ascii="Times New Roman" w:hAnsi="Times New Roman"/>
        </w:rPr>
      </w:pPr>
    </w:p>
    <w:sectPr w:rsidSect="008D290D">
      <w:footerReference w:type="default" r:id="rId4"/>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EUAlbertina_Bold">
    <w:panose1 w:val="00000000000000000000"/>
    <w:charset w:val="EE"/>
    <w:family w:val="auto"/>
    <w:pitch w:val="default"/>
    <w:sig w:usb0="00000000" w:usb1="00000000" w:usb2="00000000" w:usb3="00000000" w:csb0="00000002" w:csb1="00000000"/>
  </w:font>
  <w:font w:name="EUAlbertina_Bold+01">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0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D724F">
      <w:rPr>
        <w:rFonts w:ascii="Times New Roman" w:hAnsi="Times New Roman"/>
        <w:noProof/>
      </w:rPr>
      <w:t>1</w:t>
    </w:r>
    <w:r>
      <w:rPr>
        <w:rFonts w:ascii="Times New Roman" w:hAnsi="Times New Roman"/>
      </w:rPr>
      <w:fldChar w:fldCharType="end"/>
    </w:r>
  </w:p>
  <w:p w:rsidR="006B280A">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8D290D"/>
    <w:rsid w:val="001038FC"/>
    <w:rsid w:val="002D46B2"/>
    <w:rsid w:val="00327E41"/>
    <w:rsid w:val="00335FCF"/>
    <w:rsid w:val="0038491F"/>
    <w:rsid w:val="003D588C"/>
    <w:rsid w:val="00514315"/>
    <w:rsid w:val="00587F75"/>
    <w:rsid w:val="005C568F"/>
    <w:rsid w:val="006A30A5"/>
    <w:rsid w:val="006B1F98"/>
    <w:rsid w:val="006B280A"/>
    <w:rsid w:val="00714BD9"/>
    <w:rsid w:val="007C04CF"/>
    <w:rsid w:val="007E1099"/>
    <w:rsid w:val="008D290D"/>
    <w:rsid w:val="008F5034"/>
    <w:rsid w:val="00A2706B"/>
    <w:rsid w:val="00AF18CA"/>
    <w:rsid w:val="00B04595"/>
    <w:rsid w:val="00BD724F"/>
    <w:rsid w:val="00C95571"/>
    <w:rsid w:val="00CE5509"/>
    <w:rsid w:val="00F51F45"/>
    <w:rsid w:val="00FA77A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0D"/>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8">
    <w:name w:val="heading 8"/>
    <w:basedOn w:val="Normal"/>
    <w:next w:val="Normal"/>
    <w:link w:val="Heading8Char"/>
    <w:qFormat/>
    <w:rsid w:val="008D290D"/>
    <w:pPr>
      <w:keepNext/>
      <w:jc w:val="center"/>
      <w:outlineLvl w:val="7"/>
    </w:pPr>
    <w:rPr>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8Char">
    <w:name w:val="Heading 8 Char"/>
    <w:basedOn w:val="DefaultParagraphFont"/>
    <w:link w:val="Heading8"/>
    <w:locked/>
    <w:rsid w:val="008D290D"/>
    <w:rPr>
      <w:rFonts w:eastAsia="Times New Roman" w:cs="Times New Roman"/>
      <w:sz w:val="28"/>
      <w:szCs w:val="28"/>
      <w:rtl w:val="0"/>
      <w:cs w:val="0"/>
      <w:lang w:val="x-none" w:eastAsia="cs-CZ"/>
    </w:rPr>
  </w:style>
  <w:style w:type="paragraph" w:styleId="EnvelopeReturn">
    <w:name w:val="envelope return"/>
    <w:basedOn w:val="Normal"/>
    <w:semiHidden/>
    <w:rsid w:val="008D290D"/>
    <w:pPr>
      <w:jc w:val="left"/>
    </w:pPr>
    <w:rPr>
      <w:b/>
      <w:bCs/>
      <w:shadow/>
      <w:color w:val="000000"/>
      <w:sz w:val="20"/>
      <w:szCs w:val="20"/>
      <w:lang w:eastAsia="cs-CZ"/>
    </w:rPr>
  </w:style>
  <w:style w:type="paragraph" w:styleId="FootnoteText">
    <w:name w:val="footnote text"/>
    <w:basedOn w:val="Normal"/>
    <w:link w:val="FootnoteTextChar"/>
    <w:semiHidden/>
    <w:rsid w:val="008D290D"/>
    <w:pPr>
      <w:jc w:val="left"/>
    </w:pPr>
    <w:rPr>
      <w:sz w:val="20"/>
      <w:szCs w:val="20"/>
      <w:lang w:eastAsia="cs-CZ"/>
    </w:rPr>
  </w:style>
  <w:style w:type="character" w:customStyle="1" w:styleId="FootnoteTextChar">
    <w:name w:val="Footnote Text Char"/>
    <w:basedOn w:val="DefaultParagraphFont"/>
    <w:link w:val="FootnoteText"/>
    <w:semiHidden/>
    <w:locked/>
    <w:rsid w:val="008D290D"/>
    <w:rPr>
      <w:rFonts w:eastAsia="Times New Roman" w:cs="Times New Roman"/>
      <w:sz w:val="20"/>
      <w:szCs w:val="20"/>
      <w:rtl w:val="0"/>
      <w:cs w:val="0"/>
      <w:lang w:val="x-none" w:eastAsia="cs-CZ"/>
    </w:rPr>
  </w:style>
  <w:style w:type="paragraph" w:styleId="Header">
    <w:name w:val="header"/>
    <w:basedOn w:val="Normal"/>
    <w:link w:val="HeaderChar"/>
    <w:uiPriority w:val="99"/>
    <w:unhideWhenUsed/>
    <w:rsid w:val="006B280A"/>
    <w:pPr>
      <w:tabs>
        <w:tab w:val="center" w:pos="4536"/>
        <w:tab w:val="right" w:pos="9072"/>
      </w:tabs>
      <w:jc w:val="left"/>
    </w:pPr>
  </w:style>
  <w:style w:type="character" w:customStyle="1" w:styleId="HeaderChar">
    <w:name w:val="Header Char"/>
    <w:basedOn w:val="DefaultParagraphFont"/>
    <w:link w:val="Header"/>
    <w:uiPriority w:val="99"/>
    <w:locked/>
    <w:rsid w:val="006B280A"/>
    <w:rPr>
      <w:rFonts w:eastAsia="Times New Roman" w:cs="Times New Roman"/>
      <w:sz w:val="24"/>
      <w:szCs w:val="24"/>
      <w:rtl w:val="0"/>
      <w:cs w:val="0"/>
      <w:lang w:val="x-none" w:eastAsia="sk-SK"/>
    </w:rPr>
  </w:style>
  <w:style w:type="paragraph" w:styleId="Footer">
    <w:name w:val="footer"/>
    <w:basedOn w:val="Normal"/>
    <w:link w:val="FooterChar"/>
    <w:uiPriority w:val="99"/>
    <w:unhideWhenUsed/>
    <w:rsid w:val="006B280A"/>
    <w:pPr>
      <w:tabs>
        <w:tab w:val="center" w:pos="4536"/>
        <w:tab w:val="right" w:pos="9072"/>
      </w:tabs>
      <w:jc w:val="left"/>
    </w:pPr>
  </w:style>
  <w:style w:type="character" w:customStyle="1" w:styleId="FooterChar">
    <w:name w:val="Footer Char"/>
    <w:basedOn w:val="DefaultParagraphFont"/>
    <w:link w:val="Footer"/>
    <w:uiPriority w:val="99"/>
    <w:locked/>
    <w:rsid w:val="006B280A"/>
    <w:rPr>
      <w:rFonts w:eastAsia="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1380</Words>
  <Characters>7870</Characters>
  <Application>Microsoft Office Word</Application>
  <DocSecurity>0</DocSecurity>
  <Lines>0</Lines>
  <Paragraphs>0</Paragraphs>
  <ScaleCrop>false</ScaleCrop>
  <Company>Hewlett-Packard Company</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Zemanová, Ivana</dc:creator>
  <cp:lastModifiedBy>Gašparíková, Jarmila</cp:lastModifiedBy>
  <cp:revision>2</cp:revision>
  <dcterms:created xsi:type="dcterms:W3CDTF">2015-05-29T11:15:00Z</dcterms:created>
  <dcterms:modified xsi:type="dcterms:W3CDTF">2015-05-29T11:15:00Z</dcterms:modified>
</cp:coreProperties>
</file>