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C415DB" w:rsidRPr="00E34366" w:rsidP="00C415DB">
      <w:pPr>
        <w:bidi w:val="0"/>
        <w:jc w:val="both"/>
        <w:rPr>
          <w:rFonts w:ascii="Times New Roman" w:hAnsi="Times New Roman"/>
          <w:color w:val="000000"/>
        </w:rPr>
      </w:pPr>
    </w:p>
    <w:p w:rsidR="00C415DB" w:rsidRPr="00E34366" w:rsidP="00C415DB">
      <w:pPr>
        <w:bidi w:val="0"/>
        <w:jc w:val="both"/>
        <w:rPr>
          <w:rFonts w:ascii="Times New Roman" w:hAnsi="Times New Roman"/>
          <w:b/>
          <w:color w:val="000000"/>
        </w:rPr>
      </w:pPr>
      <w:r w:rsidRPr="00E34366">
        <w:rPr>
          <w:rFonts w:ascii="Times New Roman" w:hAnsi="Times New Roman"/>
          <w:b/>
          <w:color w:val="000000"/>
        </w:rPr>
        <w:t>A. Všeobecná časť</w:t>
      </w:r>
    </w:p>
    <w:p w:rsidR="00C415DB" w:rsidRPr="00E34366" w:rsidP="00C415DB">
      <w:pPr>
        <w:bidi w:val="0"/>
        <w:rPr>
          <w:rFonts w:ascii="Times New Roman" w:hAnsi="Times New Roman"/>
          <w:bCs/>
        </w:rPr>
      </w:pPr>
    </w:p>
    <w:p w:rsidR="00C415DB" w:rsidRPr="00E34366" w:rsidP="00C415DB">
      <w:pPr>
        <w:bidi w:val="0"/>
        <w:ind w:firstLine="567"/>
        <w:jc w:val="both"/>
        <w:rPr>
          <w:rFonts w:ascii="Times New Roman" w:hAnsi="Times New Roman"/>
        </w:rPr>
      </w:pPr>
      <w:r w:rsidRPr="00E34366">
        <w:rPr>
          <w:rFonts w:ascii="Times New Roman" w:hAnsi="Times New Roman"/>
          <w:bCs/>
        </w:rPr>
        <w:t xml:space="preserve">S účinnosťou od 1. októbra 2014 sa zaviedol do praxe nový systém tlače a distribúcie </w:t>
      </w:r>
      <w:r w:rsidRPr="00E34366">
        <w:rPr>
          <w:rFonts w:ascii="Times New Roman" w:hAnsi="Times New Roman"/>
        </w:rPr>
        <w:t xml:space="preserve">kontrolných známok určených na označovanie spotrebiteľských tabakových výrobkov, na základe ktorého sa umožňuje </w:t>
      </w:r>
      <w:r w:rsidRPr="00E34366">
        <w:rPr>
          <w:rFonts w:ascii="Times New Roman" w:hAnsi="Times New Roman"/>
          <w:bCs/>
        </w:rPr>
        <w:t xml:space="preserve">tlač kontrolných známok len v štátnej tlačiarni. Východiskovým zámerom tohto systému je </w:t>
      </w:r>
      <w:r w:rsidRPr="00E34366">
        <w:rPr>
          <w:rFonts w:ascii="Times New Roman" w:hAnsi="Times New Roman"/>
        </w:rPr>
        <w:t>zvýšenie bezpečnosti tlače kontrolných známok vyhotovovaním kontrolných známok s vyššou úrovňou ochranných prvkov a následne prostredníctvom informačného systému na odber kontrolných známok a na oznamovanie údajov odberateľom kontrolných známok (ďalej len „elektronický systém kontrolných známok“) vytvorenie prehľadného systému poskytujúceho údaje správcovi dane o pohybe spotrebiteľských balení tabakových výrobkov od odberateľa kontrolných známok až po konečného spotrebiteľa.</w:t>
      </w:r>
    </w:p>
    <w:p w:rsidR="00C415DB" w:rsidRPr="00E34366" w:rsidP="00C415DB">
      <w:pPr>
        <w:bidi w:val="0"/>
        <w:jc w:val="both"/>
        <w:rPr>
          <w:rFonts w:ascii="Times New Roman" w:hAnsi="Times New Roman"/>
        </w:rPr>
      </w:pPr>
    </w:p>
    <w:p w:rsidR="00C415DB" w:rsidRPr="00E34366" w:rsidP="00C415DB">
      <w:pPr>
        <w:bidi w:val="0"/>
        <w:ind w:firstLine="567"/>
        <w:jc w:val="both"/>
        <w:rPr>
          <w:rFonts w:ascii="Times New Roman" w:hAnsi="Times New Roman"/>
        </w:rPr>
      </w:pPr>
      <w:r w:rsidRPr="00E34366">
        <w:rPr>
          <w:rFonts w:ascii="Times New Roman" w:hAnsi="Times New Roman"/>
        </w:rPr>
        <w:t xml:space="preserve">Realizácia tlače kontrolných známok v štátnej tlačiarni priniesla nové skúsenosti </w:t>
      </w:r>
      <w:r>
        <w:rPr>
          <w:rFonts w:ascii="Times New Roman" w:hAnsi="Times New Roman"/>
        </w:rPr>
        <w:t xml:space="preserve">               </w:t>
      </w:r>
      <w:r w:rsidRPr="00E34366">
        <w:rPr>
          <w:rFonts w:ascii="Times New Roman" w:hAnsi="Times New Roman"/>
        </w:rPr>
        <w:t xml:space="preserve">a poznatky, na základe ktorých je potrebné presnejšie vymedziť práva a povinnosti štátnej tlačiarne a Finančného riaditeľstva SR (ďalej len „finančné riaditeľstvo“) a zároveň umožniť zjednodušenie nastavených procesov a zníženie administratívnej záťaže odberateľov kontrolných známok. Z toho dôvodu Ministerstvo financií Slovenskej republiky </w:t>
      </w:r>
      <w:r w:rsidRPr="00E34366">
        <w:rPr>
          <w:rFonts w:ascii="Times New Roman" w:hAnsi="Times New Roman"/>
          <w:bCs/>
        </w:rPr>
        <w:t>predkladá návrh zákona, ktorým sa mení a dopĺňa zákon č.</w:t>
      </w:r>
      <w:r w:rsidRPr="00E34366">
        <w:rPr>
          <w:rFonts w:ascii="Times New Roman" w:hAnsi="Times New Roman"/>
        </w:rPr>
        <w:t xml:space="preserve"> 106/2004 Z. z. o spotrebnej dani z tabakových výrobkov v znení neskorších </w:t>
      </w:r>
      <w:r w:rsidRPr="00DA472A">
        <w:rPr>
          <w:rFonts w:ascii="Times New Roman" w:hAnsi="Times New Roman"/>
        </w:rPr>
        <w:t xml:space="preserve">predpisov </w:t>
      </w:r>
      <w:r w:rsidRPr="00DA472A">
        <w:rPr>
          <w:rFonts w:ascii="Times New Roman" w:hAnsi="Times New Roman"/>
          <w:bCs/>
        </w:rPr>
        <w:t>a ktorým sa m</w:t>
      </w:r>
      <w:r>
        <w:rPr>
          <w:rFonts w:ascii="Times New Roman" w:hAnsi="Times New Roman"/>
          <w:bCs/>
        </w:rPr>
        <w:t xml:space="preserve">ení a dopĺňa zákon           </w:t>
      </w:r>
      <w:r w:rsidRPr="00DA472A">
        <w:rPr>
          <w:rFonts w:ascii="Times New Roman" w:hAnsi="Times New Roman"/>
          <w:bCs/>
        </w:rPr>
        <w:t>č. 377/2004 Z. z. o ochrane nefajčiarov a o zmene a doplnení niektorých zákonov v znení neskorších predpisov</w:t>
      </w:r>
      <w:r w:rsidRPr="00DA472A">
        <w:rPr>
          <w:rFonts w:ascii="Times New Roman" w:hAnsi="Times New Roman"/>
        </w:rPr>
        <w:t xml:space="preserve"> </w:t>
      </w:r>
      <w:r w:rsidRPr="00E34366">
        <w:rPr>
          <w:rFonts w:ascii="Times New Roman" w:hAnsi="Times New Roman"/>
        </w:rPr>
        <w:t>(ďalej len „návrh zákona“).</w:t>
      </w:r>
    </w:p>
    <w:p w:rsidR="00C415DB" w:rsidRPr="00E34366" w:rsidP="00C415DB">
      <w:pPr>
        <w:bidi w:val="0"/>
        <w:jc w:val="both"/>
        <w:rPr>
          <w:rFonts w:ascii="Times New Roman" w:hAnsi="Times New Roman"/>
        </w:rPr>
      </w:pPr>
    </w:p>
    <w:p w:rsidR="00C415DB" w:rsidRPr="00E34366" w:rsidP="00C415DB">
      <w:pPr>
        <w:pStyle w:val="Zkladntext"/>
        <w:bidi w:val="0"/>
        <w:ind w:firstLine="567"/>
        <w:jc w:val="both"/>
        <w:rPr>
          <w:rFonts w:ascii="Times New Roman" w:hAnsi="Times New Roman" w:cs="Times New Roman"/>
        </w:rPr>
      </w:pPr>
      <w:r w:rsidRPr="00E34366">
        <w:rPr>
          <w:rFonts w:ascii="Times New Roman" w:hAnsi="Times New Roman" w:cs="Times New Roman"/>
        </w:rPr>
        <w:t>Cieľom návrhu zákona je:</w:t>
      </w:r>
    </w:p>
    <w:p w:rsidR="00C415DB" w:rsidRPr="00E34366" w:rsidP="00C415DB">
      <w:pPr>
        <w:bidi w:val="0"/>
        <w:jc w:val="both"/>
        <w:rPr>
          <w:rFonts w:ascii="Times New Roman" w:hAnsi="Times New Roman"/>
        </w:rPr>
      </w:pPr>
    </w:p>
    <w:p w:rsidR="00C415DB" w:rsidRPr="00E34366" w:rsidP="00C415DB">
      <w:pPr>
        <w:widowControl/>
        <w:numPr>
          <w:numId w:val="1"/>
        </w:numPr>
        <w:bidi w:val="0"/>
        <w:adjustRightInd/>
        <w:ind w:left="567" w:hanging="567"/>
        <w:jc w:val="both"/>
        <w:rPr>
          <w:rFonts w:ascii="Times New Roman" w:hAnsi="Times New Roman"/>
        </w:rPr>
      </w:pPr>
      <w:r w:rsidRPr="00E34366">
        <w:rPr>
          <w:rFonts w:ascii="Times New Roman" w:hAnsi="Times New Roman"/>
        </w:rPr>
        <w:t>upraviť zdaňovanie cigár a cigariek tak, aby bol pre tento tabakový výrobok základ dane vyjadrený v kilogramoch a ustanoviť sadzbu dane na cigary a cigarky na kilogram tohto výrobku,</w:t>
      </w:r>
    </w:p>
    <w:p w:rsidR="00C415DB" w:rsidRPr="00E34366" w:rsidP="00C415DB">
      <w:pPr>
        <w:widowControl/>
        <w:numPr>
          <w:numId w:val="1"/>
        </w:numPr>
        <w:bidi w:val="0"/>
        <w:adjustRightInd/>
        <w:ind w:left="567" w:hanging="567"/>
        <w:jc w:val="both"/>
        <w:rPr>
          <w:rFonts w:ascii="Times New Roman" w:hAnsi="Times New Roman"/>
        </w:rPr>
      </w:pPr>
      <w:r w:rsidRPr="00E34366">
        <w:rPr>
          <w:rFonts w:ascii="Times New Roman" w:hAnsi="Times New Roman"/>
        </w:rPr>
        <w:t>znížiť administratívnu záťaž pri oznamovaní údajov o prijatých kontrolných známkach prostredníctvom informačného systému na odber kontrolných známok,</w:t>
      </w:r>
    </w:p>
    <w:p w:rsidR="00C415DB" w:rsidRPr="00E34366" w:rsidP="00C415DB">
      <w:pPr>
        <w:widowControl/>
        <w:numPr>
          <w:numId w:val="1"/>
        </w:numPr>
        <w:bidi w:val="0"/>
        <w:adjustRightInd/>
        <w:ind w:left="567" w:hanging="567"/>
        <w:jc w:val="both"/>
        <w:rPr>
          <w:rFonts w:ascii="Times New Roman" w:hAnsi="Times New Roman"/>
        </w:rPr>
      </w:pPr>
      <w:r>
        <w:rPr>
          <w:rFonts w:ascii="Times New Roman" w:hAnsi="Times New Roman"/>
        </w:rPr>
        <w:t xml:space="preserve">spresniť práva a povinnosti finančného riaditeľstva </w:t>
      </w:r>
      <w:r w:rsidRPr="00E34366">
        <w:rPr>
          <w:rFonts w:ascii="Times New Roman" w:hAnsi="Times New Roman"/>
        </w:rPr>
        <w:t>a</w:t>
      </w:r>
      <w:r>
        <w:rPr>
          <w:rFonts w:ascii="Times New Roman" w:hAnsi="Times New Roman"/>
        </w:rPr>
        <w:t xml:space="preserve"> štátnej</w:t>
      </w:r>
      <w:r w:rsidRPr="00E34366">
        <w:rPr>
          <w:rFonts w:ascii="Times New Roman" w:hAnsi="Times New Roman"/>
        </w:rPr>
        <w:t> tlačiarne,</w:t>
      </w:r>
    </w:p>
    <w:p w:rsidR="00C415DB" w:rsidRPr="00E34366" w:rsidP="00C415DB">
      <w:pPr>
        <w:widowControl/>
        <w:numPr>
          <w:numId w:val="1"/>
        </w:numPr>
        <w:bidi w:val="0"/>
        <w:adjustRightInd/>
        <w:ind w:left="567" w:hanging="567"/>
        <w:jc w:val="both"/>
        <w:rPr>
          <w:rFonts w:ascii="Times New Roman" w:hAnsi="Times New Roman"/>
          <w:color w:val="000000"/>
        </w:rPr>
      </w:pPr>
      <w:r w:rsidRPr="00E34366">
        <w:rPr>
          <w:rStyle w:val="PlaceholderText"/>
          <w:color w:val="000000"/>
        </w:rPr>
        <w:t>zosúladiť mechanizmus dočasného pozastavenia prístupu do elektronického systému prepráv tabakových výr</w:t>
      </w:r>
      <w:r>
        <w:rPr>
          <w:rStyle w:val="PlaceholderText"/>
          <w:color w:val="000000"/>
        </w:rPr>
        <w:t>obkov daňovému subjektu, ktorým je</w:t>
      </w:r>
      <w:r w:rsidRPr="00E34366">
        <w:rPr>
          <w:rStyle w:val="PlaceholderText"/>
          <w:color w:val="000000"/>
        </w:rPr>
        <w:t xml:space="preserve"> prevádzkovateľ daňového skladu, oprávnený príjemca alebo registrovaný odosielateľ, </w:t>
      </w:r>
      <w:r>
        <w:rPr>
          <w:rStyle w:val="PlaceholderText"/>
          <w:color w:val="000000"/>
        </w:rPr>
        <w:t xml:space="preserve">a to </w:t>
      </w:r>
      <w:r w:rsidRPr="00E34366">
        <w:rPr>
          <w:rStyle w:val="PlaceholderText"/>
          <w:color w:val="000000"/>
        </w:rPr>
        <w:t>so zákonom o spotrebnej dani z minerálneho oleja a alkoholických nápojov,</w:t>
      </w:r>
    </w:p>
    <w:p w:rsidR="00C415DB" w:rsidP="00C415DB">
      <w:pPr>
        <w:widowControl/>
        <w:numPr>
          <w:numId w:val="1"/>
        </w:numPr>
        <w:bidi w:val="0"/>
        <w:adjustRightInd/>
        <w:ind w:left="567" w:hanging="567"/>
        <w:jc w:val="both"/>
        <w:rPr>
          <w:rFonts w:ascii="Times New Roman" w:hAnsi="Times New Roman"/>
        </w:rPr>
      </w:pPr>
      <w:r w:rsidRPr="00E34366">
        <w:rPr>
          <w:rFonts w:ascii="Times New Roman" w:hAnsi="Times New Roman"/>
        </w:rPr>
        <w:t>upraviť sankcie za porušenie ustanovení upravujúcich niektoré povinnosti</w:t>
      </w:r>
      <w:r>
        <w:rPr>
          <w:rFonts w:ascii="Times New Roman" w:hAnsi="Times New Roman"/>
        </w:rPr>
        <w:t xml:space="preserve"> pri tlači         a nakladaní s kontrolnými známkami,</w:t>
      </w:r>
    </w:p>
    <w:p w:rsidR="00C415DB" w:rsidRPr="00E34366" w:rsidP="00C415DB">
      <w:pPr>
        <w:widowControl/>
        <w:numPr>
          <w:numId w:val="1"/>
        </w:numPr>
        <w:bidi w:val="0"/>
        <w:adjustRightInd/>
        <w:ind w:left="567" w:hanging="567"/>
        <w:jc w:val="both"/>
        <w:rPr>
          <w:rFonts w:ascii="Times New Roman" w:hAnsi="Times New Roman"/>
        </w:rPr>
      </w:pPr>
      <w:r>
        <w:rPr>
          <w:rFonts w:ascii="Times New Roman" w:hAnsi="Times New Roman"/>
        </w:rPr>
        <w:t>zakázať predaj spotrebiteľského balenia cigariet s iným počtom ako 20 kusov cigariet             a  spotrebiteľského balenia tabaku s hmotnosťou menšou ako 30 gramov.</w:t>
      </w:r>
    </w:p>
    <w:p w:rsidR="00C415DB" w:rsidRPr="00E34366" w:rsidP="00C415DB">
      <w:pPr>
        <w:bidi w:val="0"/>
        <w:jc w:val="both"/>
        <w:rPr>
          <w:rFonts w:ascii="Times New Roman" w:hAnsi="Times New Roman"/>
        </w:rPr>
      </w:pPr>
    </w:p>
    <w:p w:rsidR="00C415DB" w:rsidRPr="00E34366" w:rsidP="00C415DB">
      <w:pPr>
        <w:bidi w:val="0"/>
        <w:ind w:firstLine="567"/>
        <w:jc w:val="both"/>
        <w:rPr>
          <w:rStyle w:val="PlaceholderText"/>
          <w:color w:val="000000"/>
        </w:rPr>
      </w:pPr>
      <w:r w:rsidRPr="00E34366">
        <w:rPr>
          <w:rStyle w:val="PlaceholderText"/>
          <w:color w:val="000000"/>
        </w:rPr>
        <w:t xml:space="preserve">Účinnosť zákona sa navrhuje od 1. novembra 2015 okrem ustanovení súvisiacich </w:t>
      </w:r>
      <w:r>
        <w:rPr>
          <w:rStyle w:val="PlaceholderText"/>
          <w:color w:val="000000"/>
        </w:rPr>
        <w:t xml:space="preserve">                    </w:t>
      </w:r>
      <w:r w:rsidRPr="00E34366">
        <w:rPr>
          <w:rStyle w:val="PlaceholderText"/>
          <w:color w:val="000000"/>
        </w:rPr>
        <w:t>s úpravou zdaňovania cigár a cigariek, ktoré nadobúdajú účinnosť 1. januára 2016</w:t>
      </w:r>
      <w:r w:rsidR="0055669E">
        <w:rPr>
          <w:rStyle w:val="PlaceholderText"/>
          <w:color w:val="000000"/>
        </w:rPr>
        <w:t xml:space="preserve"> a </w:t>
      </w:r>
      <w:r w:rsidR="0055669E">
        <w:rPr>
          <w:rFonts w:ascii="Times New Roman" w:hAnsi="Times New Roman"/>
        </w:rPr>
        <w:t>úprav</w:t>
      </w:r>
      <w:r w:rsidR="0070224E">
        <w:rPr>
          <w:rFonts w:ascii="Times New Roman" w:hAnsi="Times New Roman"/>
        </w:rPr>
        <w:t>o</w:t>
      </w:r>
      <w:r w:rsidR="0055669E">
        <w:rPr>
          <w:rFonts w:ascii="Times New Roman" w:hAnsi="Times New Roman"/>
        </w:rPr>
        <w:t xml:space="preserve">u počtu kusov cigariet a hmotnosti tabaku v spotrebiteľskom balení a ich dopredaje, ktoré </w:t>
      </w:r>
      <w:r w:rsidRPr="00E34366" w:rsidR="0055669E">
        <w:rPr>
          <w:rStyle w:val="PlaceholderText"/>
          <w:color w:val="000000"/>
        </w:rPr>
        <w:t xml:space="preserve">nadobúdajú účinnosť 1. </w:t>
      </w:r>
      <w:r w:rsidR="0055669E">
        <w:rPr>
          <w:rStyle w:val="PlaceholderText"/>
          <w:color w:val="000000"/>
        </w:rPr>
        <w:t>marca</w:t>
      </w:r>
      <w:r w:rsidRPr="00E34366" w:rsidR="0055669E">
        <w:rPr>
          <w:rStyle w:val="PlaceholderText"/>
          <w:color w:val="000000"/>
        </w:rPr>
        <w:t xml:space="preserve"> 2016</w:t>
      </w:r>
      <w:r w:rsidR="0055669E">
        <w:rPr>
          <w:rStyle w:val="PlaceholderText"/>
          <w:color w:val="000000"/>
        </w:rPr>
        <w:t>.</w:t>
      </w:r>
    </w:p>
    <w:p w:rsidR="00C415DB" w:rsidRPr="00E34366" w:rsidP="00C415DB">
      <w:pPr>
        <w:bidi w:val="0"/>
        <w:jc w:val="both"/>
        <w:rPr>
          <w:rFonts w:ascii="Times New Roman" w:hAnsi="Times New Roman"/>
        </w:rPr>
      </w:pPr>
    </w:p>
    <w:p w:rsidR="00C415DB" w:rsidRPr="0055669E" w:rsidP="0055669E">
      <w:pPr>
        <w:bidi w:val="0"/>
        <w:spacing w:line="280" w:lineRule="atLeast"/>
        <w:ind w:firstLine="567"/>
        <w:jc w:val="both"/>
        <w:rPr>
          <w:rFonts w:ascii="Times New Roman" w:hAnsi="Times New Roman"/>
          <w:color w:val="000000"/>
        </w:rPr>
      </w:pPr>
      <w:r w:rsidRPr="00E34366">
        <w:rPr>
          <w:rStyle w:val="PlaceholderText"/>
          <w:color w:val="000000"/>
        </w:rPr>
        <w:t xml:space="preserve">Vplyvy návrhu zákona na rozpočet verejnej správy, na podnikateľské prostredie, </w:t>
      </w:r>
      <w:r w:rsidRPr="00E34366">
        <w:rPr>
          <w:rFonts w:ascii="Times New Roman" w:hAnsi="Times New Roman"/>
        </w:rPr>
        <w:t>na sociálne prostredie</w:t>
      </w:r>
      <w:r w:rsidRPr="00E34366">
        <w:rPr>
          <w:rStyle w:val="PlaceholderText"/>
          <w:color w:val="000000"/>
        </w:rPr>
        <w:t>, vplyv na životné prostredie a vplyv na informatizáciu spoločnosti je uvedený v doložke vybraných vplyvov.</w:t>
      </w:r>
    </w:p>
    <w:p w:rsidR="00C415DB" w:rsidRPr="00E34366" w:rsidP="00C415DB">
      <w:pPr>
        <w:bidi w:val="0"/>
        <w:spacing w:line="280" w:lineRule="atLeast"/>
        <w:ind w:firstLine="567"/>
        <w:jc w:val="both"/>
        <w:rPr>
          <w:rStyle w:val="PlaceholderText"/>
          <w:color w:val="000000"/>
        </w:rPr>
      </w:pPr>
      <w:r w:rsidRPr="00E34366">
        <w:rPr>
          <w:rStyle w:val="PlaceholderText"/>
          <w:color w:val="000000"/>
        </w:rPr>
        <w:t>Predkladaný návrh zákona nebude mať vplyv na rozpočty obcí a rozpočty vyšších územných celkov.</w:t>
      </w:r>
    </w:p>
    <w:p w:rsidR="00C415DB" w:rsidRPr="00E34366" w:rsidP="00C415DB">
      <w:pPr>
        <w:bidi w:val="0"/>
        <w:jc w:val="both"/>
        <w:rPr>
          <w:rFonts w:ascii="Times New Roman" w:hAnsi="Times New Roman"/>
          <w:strike/>
        </w:rPr>
      </w:pPr>
    </w:p>
    <w:p w:rsidR="00C415DB" w:rsidRPr="00E34366" w:rsidP="00C415DB">
      <w:pPr>
        <w:pStyle w:val="BodyText"/>
        <w:bidi w:val="0"/>
        <w:spacing w:after="0"/>
        <w:ind w:firstLine="567"/>
        <w:jc w:val="both"/>
        <w:rPr>
          <w:rFonts w:ascii="Times New Roman" w:hAnsi="Times New Roman"/>
        </w:rPr>
      </w:pPr>
      <w:r w:rsidRPr="00E34366">
        <w:rPr>
          <w:rFonts w:ascii="Times New Roman" w:hAnsi="Times New Roman"/>
        </w:rPr>
        <w:t xml:space="preserve">Predkladaný návrh zákon je v súlade s Ústavou Slovenskej republiky a inými právnymi predpismi, medzinárodnými zmluvami a dokumentmi, ktorými je Slovenská republika viazaná, ako aj v súlade s právom Európskej únie. </w:t>
      </w:r>
    </w:p>
    <w:p w:rsidR="00C415DB" w:rsidP="00C415DB">
      <w:pPr>
        <w:bidi w:val="0"/>
        <w:rPr>
          <w:rFonts w:ascii="Times New Roman" w:hAnsi="Times New Roman"/>
        </w:rPr>
      </w:pPr>
    </w:p>
    <w:p w:rsidR="00C415DB"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RPr="00E34366" w:rsidP="00C415DB">
      <w:pPr>
        <w:bidi w:val="0"/>
        <w:rPr>
          <w:rFonts w:ascii="Times New Roman" w:hAnsi="Times New Roman"/>
        </w:rPr>
      </w:pPr>
    </w:p>
    <w:p w:rsidR="00C415DB" w:rsidRPr="003135C3" w:rsidP="00C415DB">
      <w:pPr>
        <w:bidi w:val="0"/>
        <w:jc w:val="center"/>
        <w:rPr>
          <w:rFonts w:ascii="Times New Roman" w:hAnsi="Times New Roman"/>
          <w:b/>
          <w:bCs/>
          <w:caps/>
          <w:color w:val="000000"/>
          <w:spacing w:val="30"/>
        </w:rPr>
      </w:pPr>
      <w:r w:rsidRPr="003135C3">
        <w:rPr>
          <w:rFonts w:ascii="Times New Roman" w:hAnsi="Times New Roman"/>
          <w:b/>
          <w:bCs/>
          <w:color w:val="000000"/>
        </w:rPr>
        <w:t>Doložka vybraných vplyvov</w:t>
      </w:r>
    </w:p>
    <w:p w:rsidR="00C415DB" w:rsidRPr="003135C3" w:rsidP="00C415DB">
      <w:pPr>
        <w:bidi w:val="0"/>
        <w:rPr>
          <w:rFonts w:ascii="Times New Roman" w:hAnsi="Times New Roman"/>
          <w:color w:val="000000"/>
        </w:rPr>
      </w:pPr>
    </w:p>
    <w:p w:rsidR="00C415DB" w:rsidRPr="003135C3" w:rsidP="00C415DB">
      <w:pPr>
        <w:bidi w:val="0"/>
        <w:rPr>
          <w:rFonts w:ascii="Times New Roman" w:hAnsi="Times New Roman"/>
          <w:color w:val="000000"/>
        </w:rPr>
      </w:pPr>
    </w:p>
    <w:p w:rsidR="00C415DB" w:rsidRPr="002F4A31" w:rsidP="00C415DB">
      <w:pPr>
        <w:bidi w:val="0"/>
        <w:jc w:val="both"/>
        <w:rPr>
          <w:rFonts w:ascii="Times New Roman" w:hAnsi="Times New Roman"/>
          <w:bCs/>
          <w:color w:val="000000"/>
        </w:rPr>
      </w:pPr>
      <w:r w:rsidRPr="003135C3">
        <w:rPr>
          <w:rFonts w:ascii="Times New Roman" w:hAnsi="Times New Roman"/>
          <w:b/>
          <w:bCs/>
          <w:color w:val="000000"/>
        </w:rPr>
        <w:t xml:space="preserve">A.1. Názov materiálu: </w:t>
      </w:r>
      <w:r w:rsidRPr="003135C3">
        <w:rPr>
          <w:rFonts w:ascii="Times New Roman" w:hAnsi="Times New Roman"/>
          <w:bCs/>
          <w:color w:val="000000"/>
        </w:rPr>
        <w:t xml:space="preserve">návrh zákona, ktorým sa mení a dopĺňa zákon č. 106/2004 Z. z. o spotrebnej dani z tabakových výrobkov v znení neskorších </w:t>
      </w:r>
      <w:r w:rsidRPr="002F4A31">
        <w:rPr>
          <w:rFonts w:ascii="Times New Roman" w:hAnsi="Times New Roman"/>
          <w:bCs/>
          <w:color w:val="000000"/>
        </w:rPr>
        <w:t xml:space="preserve">predpisov </w:t>
      </w:r>
      <w:r w:rsidRPr="002F4A31">
        <w:rPr>
          <w:rFonts w:ascii="Times New Roman" w:hAnsi="Times New Roman"/>
          <w:bCs/>
        </w:rPr>
        <w:t>a ktorým sa mení a dopĺňa zákon č. 377/2004 Z. z. o ochrane nefajčiarov a o zmene a doplnení niektorých zákonov v znení neskorších predpisov</w:t>
      </w:r>
    </w:p>
    <w:p w:rsidR="00C415DB" w:rsidRPr="003135C3" w:rsidP="00C415DB">
      <w:pPr>
        <w:bidi w:val="0"/>
        <w:jc w:val="both"/>
        <w:rPr>
          <w:rFonts w:ascii="Times New Roman" w:hAnsi="Times New Roman"/>
          <w:color w:val="000000"/>
        </w:rPr>
      </w:pPr>
    </w:p>
    <w:p w:rsidR="00C415DB" w:rsidRPr="003135C3" w:rsidP="00C415DB">
      <w:pPr>
        <w:bidi w:val="0"/>
        <w:ind w:firstLine="426"/>
        <w:jc w:val="both"/>
        <w:rPr>
          <w:rFonts w:ascii="Times New Roman" w:hAnsi="Times New Roman"/>
          <w:color w:val="000000"/>
        </w:rPr>
      </w:pPr>
      <w:r w:rsidRPr="003135C3">
        <w:rPr>
          <w:rFonts w:ascii="Times New Roman" w:hAnsi="Times New Roman"/>
          <w:b/>
          <w:bCs/>
          <w:color w:val="000000"/>
        </w:rPr>
        <w:t>Termín začatia a ukončenia PPK:</w:t>
      </w:r>
      <w:r w:rsidRPr="003135C3">
        <w:rPr>
          <w:rFonts w:ascii="Times New Roman" w:hAnsi="Times New Roman"/>
          <w:color w:val="000000"/>
        </w:rPr>
        <w:t xml:space="preserve"> bezpredmetné</w:t>
      </w:r>
    </w:p>
    <w:p w:rsidR="00C415DB" w:rsidRPr="003135C3" w:rsidP="00C415DB">
      <w:pPr>
        <w:bidi w:val="0"/>
        <w:jc w:val="both"/>
        <w:rPr>
          <w:rFonts w:ascii="Times New Roman" w:hAnsi="Times New Roman"/>
          <w:b/>
          <w:bCs/>
          <w:color w:val="000000"/>
        </w:rPr>
      </w:pPr>
    </w:p>
    <w:p w:rsidR="00C415DB" w:rsidRPr="003135C3" w:rsidP="00C415DB">
      <w:pPr>
        <w:bidi w:val="0"/>
        <w:jc w:val="both"/>
        <w:rPr>
          <w:rFonts w:ascii="Times New Roman" w:hAnsi="Times New Roman"/>
          <w:b/>
          <w:bCs/>
          <w:color w:val="000000"/>
        </w:rPr>
      </w:pPr>
      <w:r w:rsidRPr="003135C3">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20"/>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r w:rsidRPr="003135C3">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r w:rsidRPr="003135C3">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r w:rsidRPr="003135C3">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ind w:left="149"/>
              <w:rPr>
                <w:rFonts w:ascii="Times New Roman" w:hAnsi="Times New Roman"/>
                <w:color w:val="000000"/>
              </w:rPr>
            </w:pPr>
            <w:r w:rsidRPr="003135C3">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r w:rsidRPr="003135C3">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ind w:left="149"/>
              <w:rPr>
                <w:rFonts w:ascii="Times New Roman" w:hAnsi="Times New Roman"/>
                <w:color w:val="000000"/>
              </w:rPr>
            </w:pPr>
            <w:r w:rsidRPr="003135C3">
              <w:rPr>
                <w:rFonts w:ascii="Times New Roman" w:hAnsi="Times New Roman"/>
                <w:color w:val="000000"/>
              </w:rPr>
              <w:t xml:space="preserve">2. Vplyvy na podnikateľské prostredie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r w:rsidRPr="003135C3">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r w:rsidRPr="003135C3">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ind w:left="149"/>
              <w:rPr>
                <w:rFonts w:ascii="Times New Roman" w:hAnsi="Times New Roman"/>
                <w:color w:val="000000"/>
              </w:rPr>
            </w:pPr>
            <w:r w:rsidRPr="003135C3">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r w:rsidRPr="003135C3">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ind w:left="149"/>
              <w:rPr>
                <w:rFonts w:ascii="Times New Roman" w:hAnsi="Times New Roman"/>
                <w:color w:val="000000"/>
              </w:rPr>
            </w:pPr>
            <w:r w:rsidRPr="003135C3">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ind w:left="149"/>
              <w:rPr>
                <w:rFonts w:ascii="Times New Roman" w:hAnsi="Times New Roman"/>
                <w:color w:val="000000"/>
              </w:rPr>
            </w:pPr>
            <w:r w:rsidRPr="003135C3">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ind w:left="149"/>
              <w:rPr>
                <w:rFonts w:ascii="Times New Roman" w:hAnsi="Times New Roman"/>
                <w:color w:val="000000"/>
              </w:rPr>
            </w:pPr>
            <w:r w:rsidRPr="003135C3">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ind w:left="149"/>
              <w:rPr>
                <w:rFonts w:ascii="Times New Roman" w:hAnsi="Times New Roman"/>
                <w:color w:val="000000"/>
              </w:rPr>
            </w:pPr>
            <w:r w:rsidRPr="003135C3">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r w:rsidRPr="003135C3">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ind w:left="149"/>
              <w:rPr>
                <w:rFonts w:ascii="Times New Roman" w:hAnsi="Times New Roman"/>
                <w:color w:val="000000"/>
              </w:rPr>
            </w:pPr>
            <w:r w:rsidRPr="003135C3">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r w:rsidRPr="003135C3">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15DB" w:rsidRPr="003135C3" w:rsidP="00D6194D">
            <w:pPr>
              <w:bidi w:val="0"/>
              <w:jc w:val="center"/>
              <w:rPr>
                <w:rFonts w:ascii="Times New Roman" w:hAnsi="Times New Roman"/>
                <w:color w:val="000000"/>
              </w:rPr>
            </w:pPr>
          </w:p>
        </w:tc>
      </w:tr>
    </w:tbl>
    <w:p w:rsidR="00C415DB" w:rsidRPr="003135C3" w:rsidP="00C415DB">
      <w:pPr>
        <w:bidi w:val="0"/>
        <w:rPr>
          <w:rFonts w:ascii="Times New Roman" w:hAnsi="Times New Roman"/>
          <w:color w:val="000000"/>
        </w:rPr>
      </w:pPr>
    </w:p>
    <w:p w:rsidR="00C415DB" w:rsidRPr="003135C3" w:rsidP="00C415DB">
      <w:pPr>
        <w:bidi w:val="0"/>
        <w:jc w:val="both"/>
        <w:rPr>
          <w:rFonts w:ascii="Times New Roman" w:hAnsi="Times New Roman"/>
          <w:b/>
          <w:bCs/>
          <w:color w:val="000000"/>
        </w:rPr>
      </w:pPr>
    </w:p>
    <w:p w:rsidR="00C415DB" w:rsidRPr="003135C3" w:rsidP="00C415DB">
      <w:pPr>
        <w:bidi w:val="0"/>
        <w:jc w:val="both"/>
        <w:rPr>
          <w:rFonts w:ascii="Times New Roman" w:hAnsi="Times New Roman"/>
          <w:b/>
          <w:bCs/>
          <w:color w:val="000000"/>
        </w:rPr>
      </w:pPr>
      <w:r w:rsidRPr="003135C3">
        <w:rPr>
          <w:rFonts w:ascii="Times New Roman" w:hAnsi="Times New Roman"/>
          <w:b/>
          <w:bCs/>
          <w:color w:val="000000"/>
        </w:rPr>
        <w:t>A.3. Poznámky</w:t>
      </w:r>
    </w:p>
    <w:p w:rsidR="00C415DB" w:rsidRPr="003135C3" w:rsidP="00C415DB">
      <w:pPr>
        <w:bidi w:val="0"/>
        <w:jc w:val="both"/>
        <w:rPr>
          <w:rFonts w:ascii="Times New Roman" w:hAnsi="Times New Roman"/>
          <w:bCs/>
        </w:rPr>
      </w:pPr>
    </w:p>
    <w:p w:rsidR="00C415DB" w:rsidRPr="003135C3" w:rsidP="00C415DB">
      <w:pPr>
        <w:bidi w:val="0"/>
        <w:jc w:val="both"/>
        <w:rPr>
          <w:rFonts w:ascii="Times New Roman" w:hAnsi="Times New Roman"/>
          <w:bCs/>
        </w:rPr>
      </w:pPr>
      <w:r w:rsidRPr="003135C3">
        <w:rPr>
          <w:rFonts w:ascii="Times New Roman" w:hAnsi="Times New Roman"/>
          <w:bCs/>
        </w:rPr>
        <w:t xml:space="preserve">Návrh zákona predpokladá pozitívny vplyv na rozpočet verejnej správy, ktorý je uvedený </w:t>
      </w:r>
      <w:r>
        <w:rPr>
          <w:rFonts w:ascii="Times New Roman" w:hAnsi="Times New Roman"/>
          <w:bCs/>
        </w:rPr>
        <w:t xml:space="preserve">                </w:t>
      </w:r>
      <w:r w:rsidRPr="003135C3">
        <w:rPr>
          <w:rFonts w:ascii="Times New Roman" w:hAnsi="Times New Roman"/>
          <w:bCs/>
        </w:rPr>
        <w:t xml:space="preserve">v tabuľke – </w:t>
      </w:r>
      <w:r w:rsidRPr="003135C3">
        <w:rPr>
          <w:rFonts w:ascii="Times New Roman" w:hAnsi="Times New Roman"/>
        </w:rPr>
        <w:t xml:space="preserve">Zhrnutie vplyvov na rozpočet verejnej správy </w:t>
      </w:r>
      <w:r w:rsidRPr="003135C3">
        <w:rPr>
          <w:rFonts w:ascii="Times New Roman" w:hAnsi="Times New Roman"/>
          <w:bCs/>
        </w:rPr>
        <w:t>(tabuľka č. 1). Uvedená tabuľka neobsahuje vyčíslenie pozitívneho vplyvu na rozpočet verejnej správy</w:t>
      </w:r>
      <w:r w:rsidRPr="003135C3">
        <w:rPr>
          <w:rFonts w:ascii="Times New Roman" w:hAnsi="Times New Roman"/>
        </w:rPr>
        <w:t xml:space="preserve"> v súvislosti s rozšírením okruhom deliktov a úpravou sankcií, keďže tieto vplyvy nie je možné kvantifikovať.</w:t>
      </w:r>
    </w:p>
    <w:p w:rsidR="00C415DB" w:rsidRPr="003135C3" w:rsidP="00C415DB">
      <w:pPr>
        <w:bidi w:val="0"/>
        <w:jc w:val="both"/>
        <w:rPr>
          <w:rFonts w:ascii="Times New Roman" w:hAnsi="Times New Roman"/>
          <w:color w:val="000000"/>
        </w:rPr>
      </w:pPr>
    </w:p>
    <w:p w:rsidR="00C415DB" w:rsidRPr="003135C3" w:rsidP="00C415DB">
      <w:pPr>
        <w:bidi w:val="0"/>
        <w:jc w:val="both"/>
        <w:rPr>
          <w:rFonts w:ascii="Times New Roman" w:hAnsi="Times New Roman"/>
          <w:b/>
          <w:bCs/>
          <w:color w:val="000000"/>
        </w:rPr>
      </w:pPr>
      <w:r w:rsidRPr="003135C3">
        <w:rPr>
          <w:rFonts w:ascii="Times New Roman" w:hAnsi="Times New Roman"/>
          <w:b/>
          <w:bCs/>
          <w:color w:val="000000"/>
        </w:rPr>
        <w:t>A.4. Alternatívne riešenia</w:t>
      </w:r>
    </w:p>
    <w:p w:rsidR="00C415DB" w:rsidRPr="003135C3" w:rsidP="00C415DB">
      <w:pPr>
        <w:bidi w:val="0"/>
        <w:jc w:val="both"/>
        <w:rPr>
          <w:rFonts w:ascii="Times New Roman" w:hAnsi="Times New Roman"/>
          <w:b/>
          <w:bCs/>
          <w:color w:val="000000"/>
        </w:rPr>
      </w:pPr>
    </w:p>
    <w:p w:rsidR="00C415DB" w:rsidRPr="003135C3" w:rsidP="00C415DB">
      <w:pPr>
        <w:bidi w:val="0"/>
        <w:jc w:val="both"/>
        <w:rPr>
          <w:rFonts w:ascii="Times New Roman" w:hAnsi="Times New Roman"/>
          <w:color w:val="000000"/>
        </w:rPr>
      </w:pPr>
      <w:r w:rsidRPr="003135C3">
        <w:rPr>
          <w:rFonts w:ascii="Times New Roman" w:hAnsi="Times New Roman"/>
          <w:color w:val="000000"/>
        </w:rPr>
        <w:t>bezpredmetné</w:t>
      </w:r>
    </w:p>
    <w:p w:rsidR="00C415DB" w:rsidRPr="003135C3" w:rsidP="00C415DB">
      <w:pPr>
        <w:bidi w:val="0"/>
        <w:jc w:val="both"/>
        <w:rPr>
          <w:rFonts w:ascii="Times New Roman" w:hAnsi="Times New Roman"/>
          <w:b/>
          <w:bCs/>
          <w:color w:val="000000"/>
        </w:rPr>
      </w:pPr>
    </w:p>
    <w:p w:rsidR="00C415DB" w:rsidRPr="003135C3" w:rsidP="00C415DB">
      <w:pPr>
        <w:bidi w:val="0"/>
        <w:jc w:val="both"/>
        <w:rPr>
          <w:rFonts w:ascii="Times New Roman" w:hAnsi="Times New Roman"/>
          <w:b/>
          <w:bCs/>
          <w:color w:val="000000"/>
        </w:rPr>
      </w:pPr>
      <w:r w:rsidRPr="003135C3">
        <w:rPr>
          <w:rFonts w:ascii="Times New Roman" w:hAnsi="Times New Roman"/>
          <w:b/>
          <w:bCs/>
          <w:color w:val="000000"/>
        </w:rPr>
        <w:t>A.5. Stanovisko gestorov</w:t>
      </w:r>
    </w:p>
    <w:p w:rsidR="00C415DB" w:rsidRPr="003135C3" w:rsidP="00C415DB">
      <w:pPr>
        <w:bidi w:val="0"/>
        <w:jc w:val="both"/>
        <w:rPr>
          <w:rFonts w:ascii="Times New Roman" w:hAnsi="Times New Roman"/>
          <w:b/>
          <w:bCs/>
        </w:rPr>
      </w:pPr>
    </w:p>
    <w:p w:rsidR="00C415DB" w:rsidRPr="003135C3" w:rsidP="00C415DB">
      <w:pPr>
        <w:bidi w:val="0"/>
        <w:jc w:val="both"/>
        <w:rPr>
          <w:rFonts w:ascii="Times New Roman" w:hAnsi="Times New Roman"/>
          <w:color w:val="000000"/>
        </w:rPr>
      </w:pPr>
      <w:r w:rsidRPr="003135C3">
        <w:rPr>
          <w:rFonts w:ascii="Times New Roman" w:hAnsi="Times New Roman"/>
          <w:color w:val="000000"/>
        </w:rPr>
        <w:t>bezpredmetné</w:t>
      </w:r>
    </w:p>
    <w:p w:rsidR="00C415DB" w:rsidRPr="003135C3" w:rsidP="00C415DB">
      <w:pPr>
        <w:bidi w:val="0"/>
        <w:rPr>
          <w:rFonts w:ascii="Times New Roman" w:hAnsi="Times New Roman"/>
        </w:rPr>
      </w:pPr>
    </w:p>
    <w:p w:rsidR="00C415DB" w:rsidRPr="003135C3" w:rsidP="00C415DB">
      <w:pPr>
        <w:bidi w:val="0"/>
        <w:rPr>
          <w:rFonts w:ascii="Times New Roman" w:hAnsi="Times New Roman"/>
        </w:rPr>
      </w:pPr>
    </w:p>
    <w:p w:rsidR="00C415DB" w:rsidRPr="003135C3" w:rsidP="00C415DB">
      <w:pPr>
        <w:bidi w:val="0"/>
        <w:rPr>
          <w:rFonts w:ascii="Times New Roman" w:hAnsi="Times New Roman"/>
        </w:rPr>
      </w:pPr>
    </w:p>
    <w:p w:rsidR="00C415DB" w:rsidRPr="003135C3" w:rsidP="00C415DB">
      <w:pPr>
        <w:bidi w:val="0"/>
        <w:rPr>
          <w:rFonts w:ascii="Times New Roman" w:hAnsi="Times New Roman"/>
        </w:rPr>
      </w:pPr>
    </w:p>
    <w:p w:rsidR="00C415DB"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P="00C415DB">
      <w:pPr>
        <w:bidi w:val="0"/>
        <w:rPr>
          <w:rFonts w:ascii="Times New Roman" w:hAnsi="Times New Roman"/>
        </w:rPr>
      </w:pPr>
    </w:p>
    <w:p w:rsidR="00222767" w:rsidRPr="003135C3" w:rsidP="00C415DB">
      <w:pPr>
        <w:bidi w:val="0"/>
        <w:rPr>
          <w:rFonts w:ascii="Times New Roman" w:hAnsi="Times New Roman"/>
        </w:rPr>
      </w:pPr>
    </w:p>
    <w:p w:rsidR="00C415DB" w:rsidRPr="003135C3" w:rsidP="00C415DB">
      <w:pPr>
        <w:bidi w:val="0"/>
        <w:rPr>
          <w:rFonts w:ascii="Times New Roman" w:hAnsi="Times New Roman"/>
        </w:rPr>
      </w:pPr>
    </w:p>
    <w:p w:rsidR="00C415DB" w:rsidRPr="003135C3" w:rsidP="00C415DB">
      <w:pPr>
        <w:bidi w:val="0"/>
        <w:rPr>
          <w:rFonts w:ascii="Times New Roman" w:hAnsi="Times New Roman"/>
        </w:rPr>
      </w:pPr>
    </w:p>
    <w:p w:rsidR="00C415DB" w:rsidRPr="003135C3" w:rsidP="00C415DB">
      <w:pPr>
        <w:bidi w:val="0"/>
        <w:jc w:val="center"/>
        <w:rPr>
          <w:rFonts w:ascii="Times New Roman" w:hAnsi="Times New Roman"/>
          <w:b/>
          <w:bCs/>
        </w:rPr>
      </w:pPr>
      <w:r w:rsidRPr="003135C3">
        <w:rPr>
          <w:rFonts w:ascii="Times New Roman" w:hAnsi="Times New Roman"/>
          <w:b/>
          <w:bCs/>
        </w:rPr>
        <w:t>Vplyvy na rozpočet verejnej správy,</w:t>
      </w:r>
    </w:p>
    <w:p w:rsidR="00C415DB" w:rsidRPr="003135C3" w:rsidP="00C415DB">
      <w:pPr>
        <w:bidi w:val="0"/>
        <w:jc w:val="center"/>
        <w:rPr>
          <w:rFonts w:ascii="Times New Roman" w:hAnsi="Times New Roman"/>
          <w:b/>
          <w:bCs/>
        </w:rPr>
      </w:pPr>
      <w:r w:rsidRPr="003135C3">
        <w:rPr>
          <w:rFonts w:ascii="Times New Roman" w:hAnsi="Times New Roman"/>
          <w:b/>
          <w:bCs/>
        </w:rPr>
        <w:t>na zamestnanosť vo verejnej správe a financovanie návrhu</w:t>
      </w:r>
    </w:p>
    <w:p w:rsidR="00C415DB" w:rsidRPr="003135C3" w:rsidP="00C415DB">
      <w:pPr>
        <w:bidi w:val="0"/>
        <w:rPr>
          <w:rFonts w:ascii="Times New Roman" w:hAnsi="Times New Roman"/>
        </w:rPr>
      </w:pPr>
    </w:p>
    <w:p w:rsidR="00C415DB" w:rsidRPr="003135C3" w:rsidP="00C415DB">
      <w:pPr>
        <w:bidi w:val="0"/>
        <w:rPr>
          <w:rFonts w:ascii="Times New Roman" w:hAnsi="Times New Roman"/>
          <w:b/>
        </w:rPr>
      </w:pPr>
      <w:r w:rsidRPr="003135C3">
        <w:rPr>
          <w:rFonts w:ascii="Times New Roman" w:hAnsi="Times New Roman"/>
          <w:b/>
        </w:rPr>
        <w:t>2.1. Zhrnutie vplyvov na rozpočet verejnej správy v návrhu</w:t>
      </w:r>
    </w:p>
    <w:p w:rsidR="00C415DB" w:rsidRPr="003135C3" w:rsidP="00C415DB">
      <w:pPr>
        <w:bidi w:val="0"/>
        <w:jc w:val="right"/>
        <w:rPr>
          <w:rFonts w:ascii="Times New Roman" w:hAnsi="Times New Roman"/>
        </w:rPr>
      </w:pPr>
      <w:r w:rsidRPr="003135C3">
        <w:rPr>
          <w:rFonts w:ascii="Times New Roman" w:hAnsi="Times New Roman"/>
        </w:rPr>
        <w:t xml:space="preserve">Tabuľka č. 1 </w:t>
      </w:r>
    </w:p>
    <w:tbl>
      <w:tblPr>
        <w:tblStyle w:val="TableNormal"/>
        <w:tblW w:w="9542"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474"/>
        <w:gridCol w:w="1267"/>
        <w:gridCol w:w="1267"/>
        <w:gridCol w:w="1267"/>
        <w:gridCol w:w="1267"/>
      </w:tblGrid>
      <w:tr>
        <w:tblPrEx>
          <w:tblW w:w="9542"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47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415DB" w:rsidRPr="003135C3" w:rsidP="00D6194D">
            <w:pPr>
              <w:bidi w:val="0"/>
              <w:jc w:val="center"/>
              <w:rPr>
                <w:rFonts w:ascii="Times New Roman" w:hAnsi="Times New Roman"/>
                <w:b/>
                <w:bCs/>
                <w:color w:val="FFFFFF"/>
              </w:rPr>
            </w:pPr>
            <w:bookmarkStart w:id="0" w:name="OLE_LINK1"/>
            <w:r w:rsidRPr="003135C3">
              <w:rPr>
                <w:rFonts w:ascii="Times New Roman" w:hAnsi="Times New Roman"/>
                <w:b/>
                <w:bCs/>
                <w:color w:val="FFFFFF"/>
              </w:rPr>
              <w:t xml:space="preserve">Vplyvy na </w:t>
            </w:r>
            <w:r w:rsidRPr="003135C3">
              <w:rPr>
                <w:rFonts w:ascii="Times New Roman" w:hAnsi="Times New Roman"/>
                <w:b/>
                <w:bCs/>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 xml:space="preserve">Vplyv na rozpočet verejnej správy </w:t>
            </w:r>
            <w:r w:rsidRPr="003135C3">
              <w:rPr>
                <w:rFonts w:ascii="Times New Roman" w:hAnsi="Times New Roman"/>
                <w:b/>
                <w:bCs/>
              </w:rPr>
              <w:t>(v mil. eur)</w:t>
            </w:r>
          </w:p>
        </w:tc>
      </w:tr>
      <w:tr>
        <w:tblPrEx>
          <w:tblW w:w="9542" w:type="dxa"/>
          <w:jc w:val="center"/>
          <w:tblInd w:w="-292" w:type="dxa"/>
          <w:tblCellMar>
            <w:left w:w="70" w:type="dxa"/>
            <w:right w:w="70" w:type="dxa"/>
          </w:tblCellMar>
        </w:tblPrEx>
        <w:trPr>
          <w:cantSplit/>
          <w:trHeight w:val="70"/>
          <w:jc w:val="center"/>
        </w:trPr>
        <w:tc>
          <w:tcPr>
            <w:tcW w:w="4474" w:type="dxa"/>
            <w:vMerge/>
            <w:tcBorders>
              <w:top w:val="single" w:sz="4" w:space="0" w:color="auto"/>
              <w:left w:val="single" w:sz="4" w:space="0" w:color="auto"/>
              <w:bottom w:val="single" w:sz="4" w:space="0" w:color="auto"/>
              <w:right w:val="single" w:sz="4" w:space="0" w:color="auto"/>
            </w:tcBorders>
            <w:textDirection w:val="lrTb"/>
            <w:vAlign w:val="center"/>
          </w:tcPr>
          <w:p w:rsidR="00C415DB" w:rsidRPr="003135C3" w:rsidP="00D6194D">
            <w:pPr>
              <w:bidi w:val="0"/>
              <w:jc w:val="center"/>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2016</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2017</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2018</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2019</w:t>
            </w:r>
          </w:p>
        </w:tc>
      </w:tr>
      <w:tr>
        <w:tblPrEx>
          <w:tblW w:w="9542" w:type="dxa"/>
          <w:jc w:val="center"/>
          <w:tblInd w:w="-292" w:type="dxa"/>
          <w:tblCellMar>
            <w:left w:w="70" w:type="dxa"/>
            <w:right w:w="70" w:type="dxa"/>
          </w:tblCellMar>
        </w:tblPrEx>
        <w:trPr>
          <w:trHeight w:val="70"/>
          <w:jc w:val="center"/>
        </w:trPr>
        <w:tc>
          <w:tcPr>
            <w:tcW w:w="447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rPr>
                <w:rFonts w:ascii="Times New Roman" w:hAnsi="Times New Roman"/>
              </w:rPr>
            </w:pPr>
            <w:r w:rsidRPr="003135C3">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415DB" w:rsidRPr="003135C3" w:rsidP="00D6194D">
            <w:pPr>
              <w:bidi w:val="0"/>
              <w:jc w:val="right"/>
              <w:rPr>
                <w:rFonts w:ascii="Times New Roman" w:hAnsi="Times New Roman"/>
                <w:b/>
                <w:bCs/>
              </w:rPr>
            </w:pPr>
            <w:r w:rsidR="0055669E">
              <w:rPr>
                <w:rFonts w:ascii="Times New Roman" w:hAnsi="Times New Roman"/>
                <w:b/>
                <w:bCs/>
              </w:rPr>
              <w:t>26</w:t>
            </w:r>
            <w:r w:rsidRPr="003135C3">
              <w:rPr>
                <w:rFonts w:ascii="Times New Roman" w:hAnsi="Times New Roman"/>
                <w:b/>
                <w:bCs/>
              </w:rPr>
              <w:t>,</w:t>
            </w:r>
            <w:r w:rsidR="0055669E">
              <w:rPr>
                <w:rFonts w:ascii="Times New Roman" w:hAnsi="Times New Roman"/>
                <w:b/>
                <w:bCs/>
              </w:rPr>
              <w:t>64</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415DB" w:rsidRPr="003135C3" w:rsidP="00D6194D">
            <w:pPr>
              <w:bidi w:val="0"/>
              <w:jc w:val="right"/>
              <w:rPr>
                <w:rFonts w:ascii="Times New Roman" w:hAnsi="Times New Roman"/>
                <w:b/>
                <w:bCs/>
              </w:rPr>
            </w:pPr>
            <w:r>
              <w:rPr>
                <w:rFonts w:ascii="Times New Roman" w:hAnsi="Times New Roman"/>
                <w:b/>
                <w:bCs/>
              </w:rPr>
              <w:t>28</w:t>
            </w:r>
            <w:r w:rsidRPr="003135C3">
              <w:rPr>
                <w:rFonts w:ascii="Times New Roman" w:hAnsi="Times New Roman"/>
                <w:b/>
                <w:bCs/>
              </w:rPr>
              <w:t>,</w:t>
            </w:r>
            <w:r>
              <w:rPr>
                <w:rFonts w:ascii="Times New Roman" w:hAnsi="Times New Roman"/>
                <w:b/>
                <w:bCs/>
              </w:rPr>
              <w:t>93</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415DB" w:rsidRPr="003135C3" w:rsidP="00D6194D">
            <w:pPr>
              <w:bidi w:val="0"/>
              <w:jc w:val="right"/>
              <w:rPr>
                <w:rFonts w:ascii="Times New Roman" w:hAnsi="Times New Roman"/>
                <w:b/>
                <w:bCs/>
              </w:rPr>
            </w:pPr>
            <w:r>
              <w:rPr>
                <w:rFonts w:ascii="Times New Roman" w:hAnsi="Times New Roman"/>
                <w:b/>
                <w:bCs/>
              </w:rPr>
              <w:t>29</w:t>
            </w:r>
            <w:r w:rsidRPr="003135C3">
              <w:rPr>
                <w:rFonts w:ascii="Times New Roman" w:hAnsi="Times New Roman"/>
                <w:b/>
                <w:bCs/>
              </w:rPr>
              <w:t>,0</w:t>
            </w:r>
            <w:r>
              <w:rPr>
                <w:rFonts w:ascii="Times New Roman" w:hAnsi="Times New Roman"/>
                <w:b/>
                <w:bCs/>
              </w:rPr>
              <w:t>2</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415DB" w:rsidRPr="003135C3" w:rsidP="00D6194D">
            <w:pPr>
              <w:bidi w:val="0"/>
              <w:jc w:val="right"/>
              <w:rPr>
                <w:rFonts w:ascii="Times New Roman" w:hAnsi="Times New Roman"/>
                <w:b/>
                <w:bCs/>
              </w:rPr>
            </w:pPr>
            <w:r>
              <w:rPr>
                <w:rFonts w:ascii="Times New Roman" w:hAnsi="Times New Roman"/>
                <w:b/>
                <w:bCs/>
              </w:rPr>
              <w:t>29</w:t>
            </w:r>
            <w:r w:rsidRPr="003135C3">
              <w:rPr>
                <w:rFonts w:ascii="Times New Roman" w:hAnsi="Times New Roman"/>
                <w:b/>
                <w:bCs/>
              </w:rPr>
              <w:t>,0</w:t>
            </w:r>
            <w:r>
              <w:rPr>
                <w:rFonts w:ascii="Times New Roman" w:hAnsi="Times New Roman"/>
                <w:b/>
                <w:bCs/>
              </w:rPr>
              <w:t>2</w:t>
            </w:r>
          </w:p>
        </w:tc>
      </w:tr>
      <w:tr>
        <w:tblPrEx>
          <w:tblW w:w="9542" w:type="dxa"/>
          <w:jc w:val="center"/>
          <w:tblInd w:w="-292" w:type="dxa"/>
          <w:tblCellMar>
            <w:left w:w="70" w:type="dxa"/>
            <w:right w:w="70" w:type="dxa"/>
          </w:tblCellMar>
        </w:tblPrEx>
        <w:trPr>
          <w:trHeight w:val="132"/>
          <w:jc w:val="center"/>
        </w:trPr>
        <w:tc>
          <w:tcPr>
            <w:tcW w:w="4474"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rPr>
                <w:rFonts w:ascii="Times New Roman" w:hAnsi="Times New Roman"/>
              </w:rPr>
            </w:pPr>
            <w:r w:rsidRPr="003135C3">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rPr>
            </w:pPr>
            <w:r w:rsidR="0055669E">
              <w:rPr>
                <w:rFonts w:ascii="Times New Roman" w:hAnsi="Times New Roman"/>
                <w:b/>
                <w:i/>
              </w:rPr>
              <w:t>26,64</w:t>
            </w:r>
            <w:r w:rsidRPr="003135C3">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rPr>
            </w:pPr>
            <w:r>
              <w:rPr>
                <w:rFonts w:ascii="Times New Roman" w:hAnsi="Times New Roman"/>
                <w:b/>
                <w:i/>
              </w:rPr>
              <w:t>28</w:t>
            </w:r>
            <w:r w:rsidRPr="003135C3">
              <w:rPr>
                <w:rFonts w:ascii="Times New Roman" w:hAnsi="Times New Roman"/>
                <w:b/>
                <w:i/>
              </w:rPr>
              <w:t>,</w:t>
            </w:r>
            <w:r>
              <w:rPr>
                <w:rFonts w:ascii="Times New Roman" w:hAnsi="Times New Roman"/>
                <w:b/>
                <w:i/>
              </w:rPr>
              <w:t>93</w:t>
            </w:r>
            <w:r w:rsidRPr="003135C3">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rPr>
            </w:pPr>
            <w:r>
              <w:rPr>
                <w:rFonts w:ascii="Times New Roman" w:hAnsi="Times New Roman"/>
                <w:b/>
                <w:i/>
              </w:rPr>
              <w:t>29</w:t>
            </w:r>
            <w:r w:rsidRPr="003135C3">
              <w:rPr>
                <w:rFonts w:ascii="Times New Roman" w:hAnsi="Times New Roman"/>
                <w:b/>
                <w:i/>
              </w:rPr>
              <w:t>,0</w:t>
            </w:r>
            <w:r>
              <w:rPr>
                <w:rFonts w:ascii="Times New Roman" w:hAnsi="Times New Roman"/>
                <w:b/>
                <w:i/>
              </w:rPr>
              <w:t>2</w:t>
            </w:r>
            <w:r w:rsidRPr="003135C3">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rPr>
            </w:pPr>
            <w:r>
              <w:rPr>
                <w:rFonts w:ascii="Times New Roman" w:hAnsi="Times New Roman"/>
                <w:b/>
                <w:i/>
              </w:rPr>
              <w:t>29</w:t>
            </w:r>
            <w:r w:rsidRPr="003135C3">
              <w:rPr>
                <w:rFonts w:ascii="Times New Roman" w:hAnsi="Times New Roman"/>
                <w:b/>
                <w:i/>
              </w:rPr>
              <w:t>,0</w:t>
            </w:r>
            <w:r>
              <w:rPr>
                <w:rFonts w:ascii="Times New Roman" w:hAnsi="Times New Roman"/>
                <w:b/>
                <w:i/>
              </w:rPr>
              <w:t>2</w:t>
            </w:r>
            <w:r w:rsidRPr="003135C3">
              <w:rPr>
                <w:rFonts w:ascii="Times New Roman" w:hAnsi="Times New Roman"/>
              </w:rPr>
              <w:t xml:space="preserve"> </w:t>
            </w:r>
          </w:p>
        </w:tc>
      </w:tr>
      <w:tr>
        <w:tblPrEx>
          <w:tblW w:w="9542" w:type="dxa"/>
          <w:jc w:val="center"/>
          <w:tblInd w:w="-292" w:type="dxa"/>
          <w:tblCellMar>
            <w:left w:w="70" w:type="dxa"/>
            <w:right w:w="70" w:type="dxa"/>
          </w:tblCellMar>
        </w:tblPrEx>
        <w:trPr>
          <w:trHeight w:val="70"/>
          <w:jc w:val="center"/>
        </w:trPr>
        <w:tc>
          <w:tcPr>
            <w:tcW w:w="4474"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rPr>
                <w:rFonts w:ascii="Times New Roman" w:hAnsi="Times New Roman"/>
                <w:b/>
                <w:bCs/>
                <w:i/>
                <w:iCs/>
              </w:rPr>
            </w:pPr>
            <w:r w:rsidRPr="003135C3">
              <w:rPr>
                <w:rFonts w:ascii="Times New Roman" w:hAnsi="Times New Roman"/>
                <w:b/>
                <w:bCs/>
                <w:i/>
                <w:iCs/>
              </w:rPr>
              <w:t>z toho:</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p>
        </w:tc>
      </w:tr>
      <w:tr>
        <w:tblPrEx>
          <w:tblW w:w="9542" w:type="dxa"/>
          <w:jc w:val="center"/>
          <w:tblInd w:w="-292" w:type="dxa"/>
          <w:tblCellMar>
            <w:left w:w="70" w:type="dxa"/>
            <w:right w:w="70" w:type="dxa"/>
          </w:tblCellMar>
        </w:tblPrEx>
        <w:trPr>
          <w:trHeight w:val="125"/>
          <w:jc w:val="center"/>
        </w:trPr>
        <w:tc>
          <w:tcPr>
            <w:tcW w:w="4474"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rPr>
                <w:rFonts w:ascii="Times New Roman" w:hAnsi="Times New Roman"/>
                <w:b/>
                <w:bCs/>
                <w:i/>
                <w:iCs/>
              </w:rPr>
            </w:pPr>
            <w:r w:rsidRPr="003135C3">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0055669E">
              <w:rPr>
                <w:rFonts w:ascii="Times New Roman" w:hAnsi="Times New Roman"/>
                <w:b/>
                <w:i/>
              </w:rPr>
              <w:t>26,64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Pr>
                <w:rFonts w:ascii="Times New Roman" w:hAnsi="Times New Roman"/>
                <w:b/>
                <w:i/>
              </w:rPr>
              <w:t>28</w:t>
            </w:r>
            <w:r w:rsidRPr="003135C3">
              <w:rPr>
                <w:rFonts w:ascii="Times New Roman" w:hAnsi="Times New Roman"/>
                <w:b/>
                <w:i/>
              </w:rPr>
              <w:t>,</w:t>
            </w:r>
            <w:r>
              <w:rPr>
                <w:rFonts w:ascii="Times New Roman" w:hAnsi="Times New Roman"/>
                <w:b/>
                <w:i/>
              </w:rPr>
              <w:t>93</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Pr>
                <w:rFonts w:ascii="Times New Roman" w:hAnsi="Times New Roman"/>
                <w:b/>
                <w:i/>
              </w:rPr>
              <w:t>29</w:t>
            </w:r>
            <w:r w:rsidRPr="003135C3">
              <w:rPr>
                <w:rFonts w:ascii="Times New Roman" w:hAnsi="Times New Roman"/>
                <w:b/>
                <w:i/>
              </w:rPr>
              <w:t>,0</w:t>
            </w:r>
            <w:r>
              <w:rPr>
                <w:rFonts w:ascii="Times New Roman" w:hAnsi="Times New Roman"/>
                <w:b/>
                <w:i/>
              </w:rPr>
              <w:t>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Pr>
                <w:rFonts w:ascii="Times New Roman" w:hAnsi="Times New Roman"/>
                <w:b/>
                <w:i/>
              </w:rPr>
              <w:t>29</w:t>
            </w:r>
            <w:r w:rsidRPr="003135C3">
              <w:rPr>
                <w:rFonts w:ascii="Times New Roman" w:hAnsi="Times New Roman"/>
                <w:b/>
                <w:i/>
              </w:rPr>
              <w:t>,0</w:t>
            </w:r>
            <w:r>
              <w:rPr>
                <w:rFonts w:ascii="Times New Roman" w:hAnsi="Times New Roman"/>
                <w:b/>
                <w:i/>
              </w:rPr>
              <w:t>2</w:t>
            </w:r>
          </w:p>
        </w:tc>
      </w:tr>
      <w:tr>
        <w:tblPrEx>
          <w:tblW w:w="9542" w:type="dxa"/>
          <w:jc w:val="center"/>
          <w:tblInd w:w="-292" w:type="dxa"/>
          <w:tblCellMar>
            <w:left w:w="70" w:type="dxa"/>
            <w:right w:w="70" w:type="dxa"/>
          </w:tblCellMar>
        </w:tblPrEx>
        <w:trPr>
          <w:trHeight w:val="125"/>
          <w:jc w:val="center"/>
        </w:trPr>
        <w:tc>
          <w:tcPr>
            <w:tcW w:w="4474"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rPr>
                <w:rFonts w:ascii="Times New Roman" w:hAnsi="Times New Roman"/>
                <w:b/>
                <w:bCs/>
                <w:i/>
                <w:iCs/>
              </w:rPr>
            </w:pPr>
            <w:r w:rsidRPr="003135C3">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r>
      <w:tr>
        <w:tblPrEx>
          <w:tblW w:w="9542" w:type="dxa"/>
          <w:jc w:val="center"/>
          <w:tblInd w:w="-292" w:type="dxa"/>
          <w:tblCellMar>
            <w:left w:w="70" w:type="dxa"/>
            <w:right w:w="70" w:type="dxa"/>
          </w:tblCellMar>
        </w:tblPrEx>
        <w:trPr>
          <w:trHeight w:val="125"/>
          <w:jc w:val="center"/>
        </w:trPr>
        <w:tc>
          <w:tcPr>
            <w:tcW w:w="447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rPr>
                <w:rFonts w:ascii="Times New Roman" w:hAnsi="Times New Roman"/>
                <w:b/>
                <w:bCs/>
              </w:rPr>
            </w:pPr>
            <w:r w:rsidRPr="003135C3">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r>
      <w:tr>
        <w:tblPrEx>
          <w:tblW w:w="9542" w:type="dxa"/>
          <w:jc w:val="center"/>
          <w:tblInd w:w="-292" w:type="dxa"/>
          <w:tblCellMar>
            <w:left w:w="70" w:type="dxa"/>
            <w:right w:w="70" w:type="dxa"/>
          </w:tblCellMar>
        </w:tblPrEx>
        <w:trPr>
          <w:trHeight w:val="70"/>
          <w:jc w:val="center"/>
        </w:trPr>
        <w:tc>
          <w:tcPr>
            <w:tcW w:w="4474"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rPr>
                <w:rFonts w:ascii="Times New Roman" w:hAnsi="Times New Roman"/>
              </w:rPr>
            </w:pPr>
            <w:r w:rsidRPr="003135C3">
              <w:rPr>
                <w:rFonts w:ascii="Times New Roman" w:hAnsi="Times New Roman"/>
              </w:rPr>
              <w:t>v tom: za každý subjekt verejnej správy/program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rPr>
            </w:pPr>
            <w:r w:rsidRPr="003135C3">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rPr>
            </w:pPr>
            <w:r w:rsidRPr="003135C3">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rPr>
            </w:pPr>
            <w:r w:rsidRPr="003135C3">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rPr>
            </w:pPr>
            <w:r w:rsidRPr="003135C3">
              <w:rPr>
                <w:rFonts w:ascii="Times New Roman" w:hAnsi="Times New Roman"/>
              </w:rPr>
              <w:t>0</w:t>
            </w:r>
          </w:p>
        </w:tc>
      </w:tr>
      <w:tr>
        <w:tblPrEx>
          <w:tblW w:w="9542" w:type="dxa"/>
          <w:jc w:val="center"/>
          <w:tblInd w:w="-292" w:type="dxa"/>
          <w:tblCellMar>
            <w:left w:w="70" w:type="dxa"/>
            <w:right w:w="70" w:type="dxa"/>
          </w:tblCellMar>
        </w:tblPrEx>
        <w:trPr>
          <w:trHeight w:val="70"/>
          <w:jc w:val="center"/>
        </w:trPr>
        <w:tc>
          <w:tcPr>
            <w:tcW w:w="4474"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rPr>
                <w:rFonts w:ascii="Times New Roman" w:hAnsi="Times New Roman"/>
                <w:b/>
                <w:bCs/>
                <w:i/>
                <w:iCs/>
              </w:rPr>
            </w:pPr>
            <w:r w:rsidRPr="003135C3">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p>
        </w:tc>
      </w:tr>
      <w:tr>
        <w:tblPrEx>
          <w:tblW w:w="9542" w:type="dxa"/>
          <w:jc w:val="center"/>
          <w:tblInd w:w="-292" w:type="dxa"/>
          <w:tblCellMar>
            <w:left w:w="70" w:type="dxa"/>
            <w:right w:w="70" w:type="dxa"/>
          </w:tblCellMar>
        </w:tblPrEx>
        <w:trPr>
          <w:trHeight w:val="70"/>
          <w:jc w:val="center"/>
        </w:trPr>
        <w:tc>
          <w:tcPr>
            <w:tcW w:w="4474"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rPr>
                <w:rFonts w:ascii="Times New Roman" w:hAnsi="Times New Roman"/>
                <w:b/>
                <w:bCs/>
                <w:i/>
                <w:iCs/>
              </w:rPr>
            </w:pPr>
            <w:r w:rsidRPr="003135C3">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r>
      <w:tr>
        <w:tblPrEx>
          <w:tblW w:w="9542" w:type="dxa"/>
          <w:jc w:val="center"/>
          <w:tblInd w:w="-292" w:type="dxa"/>
          <w:tblCellMar>
            <w:left w:w="70" w:type="dxa"/>
            <w:right w:w="70" w:type="dxa"/>
          </w:tblCellMar>
        </w:tblPrEx>
        <w:trPr>
          <w:trHeight w:val="125"/>
          <w:jc w:val="center"/>
        </w:trPr>
        <w:tc>
          <w:tcPr>
            <w:tcW w:w="4474"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rPr>
                <w:rFonts w:ascii="Times New Roman" w:hAnsi="Times New Roman"/>
                <w:b/>
                <w:bCs/>
                <w:i/>
                <w:iCs/>
              </w:rPr>
            </w:pPr>
            <w:r w:rsidRPr="003135C3">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b/>
                <w:bCs/>
                <w:i/>
                <w:iCs/>
              </w:rPr>
            </w:pPr>
            <w:r w:rsidRPr="003135C3">
              <w:rPr>
                <w:rFonts w:ascii="Times New Roman" w:hAnsi="Times New Roman"/>
                <w:b/>
                <w:bCs/>
                <w:i/>
                <w:iCs/>
              </w:rPr>
              <w:t>0</w:t>
            </w:r>
          </w:p>
        </w:tc>
      </w:tr>
      <w:tr>
        <w:tblPrEx>
          <w:tblW w:w="9542" w:type="dxa"/>
          <w:jc w:val="center"/>
          <w:tblInd w:w="-292" w:type="dxa"/>
          <w:tblCellMar>
            <w:left w:w="70" w:type="dxa"/>
            <w:right w:w="70" w:type="dxa"/>
          </w:tblCellMar>
        </w:tblPrEx>
        <w:trPr>
          <w:trHeight w:val="70"/>
          <w:jc w:val="center"/>
        </w:trPr>
        <w:tc>
          <w:tcPr>
            <w:tcW w:w="447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rPr>
                <w:rFonts w:ascii="Times New Roman" w:hAnsi="Times New Roman"/>
                <w:b/>
                <w:bCs/>
              </w:rPr>
            </w:pPr>
            <w:r w:rsidRPr="003135C3">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r>
      <w:tr>
        <w:tblPrEx>
          <w:tblW w:w="9542" w:type="dxa"/>
          <w:jc w:val="center"/>
          <w:tblInd w:w="-292" w:type="dxa"/>
          <w:tblCellMar>
            <w:left w:w="70" w:type="dxa"/>
            <w:right w:w="70" w:type="dxa"/>
          </w:tblCellMar>
        </w:tblPrEx>
        <w:trPr>
          <w:trHeight w:val="70"/>
          <w:jc w:val="center"/>
        </w:trPr>
        <w:tc>
          <w:tcPr>
            <w:tcW w:w="4474"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rPr>
                <w:rFonts w:ascii="Times New Roman" w:hAnsi="Times New Roman"/>
              </w:rPr>
            </w:pPr>
            <w:r w:rsidRPr="003135C3">
              <w:rPr>
                <w:rFonts w:ascii="Times New Roman" w:hAnsi="Times New Roman"/>
                <w:b/>
                <w:i/>
              </w:rPr>
              <w:t>- z toho vplyv na ŠR</w:t>
            </w:r>
            <w:r w:rsidRPr="003135C3">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i/>
              </w:rPr>
            </w:pPr>
            <w:r w:rsidRPr="003135C3">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i/>
              </w:rPr>
            </w:pPr>
            <w:r w:rsidRPr="003135C3">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i/>
              </w:rPr>
            </w:pPr>
            <w:r w:rsidRPr="003135C3">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i/>
              </w:rPr>
            </w:pPr>
            <w:r w:rsidRPr="003135C3">
              <w:rPr>
                <w:rFonts w:ascii="Times New Roman" w:hAnsi="Times New Roman"/>
                <w:i/>
              </w:rPr>
              <w:t>0</w:t>
            </w:r>
          </w:p>
        </w:tc>
      </w:tr>
      <w:tr>
        <w:tblPrEx>
          <w:tblW w:w="9542" w:type="dxa"/>
          <w:jc w:val="center"/>
          <w:tblInd w:w="-292" w:type="dxa"/>
          <w:tblCellMar>
            <w:left w:w="70" w:type="dxa"/>
            <w:right w:w="70" w:type="dxa"/>
          </w:tblCellMar>
        </w:tblPrEx>
        <w:trPr>
          <w:trHeight w:val="70"/>
          <w:jc w:val="center"/>
        </w:trPr>
        <w:tc>
          <w:tcPr>
            <w:tcW w:w="447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rPr>
                <w:rFonts w:ascii="Times New Roman" w:hAnsi="Times New Roman"/>
                <w:b/>
                <w:bCs/>
              </w:rPr>
            </w:pPr>
            <w:r w:rsidRPr="003135C3">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415DB" w:rsidRPr="003135C3" w:rsidP="00D6194D">
            <w:pPr>
              <w:bidi w:val="0"/>
              <w:jc w:val="right"/>
              <w:rPr>
                <w:rFonts w:ascii="Times New Roman" w:hAnsi="Times New Roman"/>
                <w:b/>
                <w:bCs/>
              </w:rPr>
            </w:pPr>
            <w:r w:rsidRPr="003135C3">
              <w:rPr>
                <w:rFonts w:ascii="Times New Roman" w:hAnsi="Times New Roman"/>
                <w:b/>
                <w:bCs/>
              </w:rPr>
              <w:t>0</w:t>
            </w:r>
          </w:p>
        </w:tc>
      </w:tr>
      <w:tr>
        <w:tblPrEx>
          <w:tblW w:w="9542" w:type="dxa"/>
          <w:jc w:val="center"/>
          <w:tblInd w:w="-292" w:type="dxa"/>
          <w:tblCellMar>
            <w:left w:w="70" w:type="dxa"/>
            <w:right w:w="70" w:type="dxa"/>
          </w:tblCellMar>
        </w:tblPrEx>
        <w:trPr>
          <w:trHeight w:val="70"/>
          <w:jc w:val="center"/>
        </w:trPr>
        <w:tc>
          <w:tcPr>
            <w:tcW w:w="4474"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rPr>
                <w:rFonts w:ascii="Times New Roman" w:hAnsi="Times New Roman"/>
              </w:rPr>
            </w:pPr>
            <w:r w:rsidRPr="003135C3">
              <w:rPr>
                <w:rFonts w:ascii="Times New Roman" w:hAnsi="Times New Roman"/>
              </w:rPr>
              <w:t>v tom: za každý subjekt verejnej správy/program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i/>
              </w:rPr>
            </w:pPr>
            <w:r w:rsidRPr="003135C3">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i/>
              </w:rPr>
            </w:pPr>
            <w:r w:rsidRPr="003135C3">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i/>
              </w:rPr>
            </w:pPr>
            <w:r w:rsidRPr="003135C3">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415DB" w:rsidRPr="003135C3" w:rsidP="00D6194D">
            <w:pPr>
              <w:bidi w:val="0"/>
              <w:jc w:val="right"/>
              <w:rPr>
                <w:rFonts w:ascii="Times New Roman" w:hAnsi="Times New Roman"/>
                <w:i/>
              </w:rPr>
            </w:pPr>
            <w:r w:rsidRPr="003135C3">
              <w:rPr>
                <w:rFonts w:ascii="Times New Roman" w:hAnsi="Times New Roman"/>
                <w:i/>
              </w:rPr>
              <w:t>0</w:t>
            </w:r>
          </w:p>
        </w:tc>
      </w:tr>
    </w:tbl>
    <w:p w:rsidR="00C415DB" w:rsidRPr="003135C3" w:rsidP="00C415DB">
      <w:pPr>
        <w:bidi w:val="0"/>
        <w:rPr>
          <w:rFonts w:ascii="Times New Roman" w:hAnsi="Times New Roman"/>
        </w:rPr>
      </w:pPr>
      <w:bookmarkEnd w:id="0"/>
    </w:p>
    <w:p w:rsidR="00C415DB" w:rsidRPr="003135C3" w:rsidP="00C415DB">
      <w:pPr>
        <w:bidi w:val="0"/>
        <w:rPr>
          <w:rFonts w:ascii="Times New Roman" w:hAnsi="Times New Roman"/>
          <w:b/>
          <w:bCs/>
        </w:rPr>
      </w:pPr>
      <w:r w:rsidRPr="003135C3">
        <w:rPr>
          <w:rFonts w:ascii="Times New Roman" w:hAnsi="Times New Roman"/>
          <w:b/>
          <w:bCs/>
        </w:rPr>
        <w:t>2.2. Financovanie návrhu</w:t>
      </w:r>
    </w:p>
    <w:p w:rsidR="00C415DB" w:rsidRPr="003135C3" w:rsidP="00C415DB">
      <w:pPr>
        <w:bidi w:val="0"/>
        <w:jc w:val="both"/>
        <w:rPr>
          <w:rFonts w:ascii="Times New Roman" w:hAnsi="Times New Roman"/>
        </w:rPr>
      </w:pPr>
      <w:r w:rsidRPr="003135C3">
        <w:rPr>
          <w:rFonts w:ascii="Times New Roman" w:hAnsi="Times New Roman"/>
          <w:bCs/>
        </w:rPr>
        <w:t>Návrh zákona, ktorým sa mení a dopĺňa zákon č. 106/2004 Z. z. o spotrebnej dani z tabakových výrobkov v znení neskorších predpisov</w:t>
      </w:r>
      <w:r w:rsidRPr="003135C3">
        <w:rPr>
          <w:rFonts w:ascii="Times New Roman" w:hAnsi="Times New Roman"/>
          <w:color w:val="000000"/>
        </w:rPr>
        <w:t xml:space="preserve"> </w:t>
      </w:r>
      <w:r w:rsidRPr="00172ECE">
        <w:rPr>
          <w:rFonts w:ascii="Times New Roman" w:hAnsi="Times New Roman"/>
          <w:bCs/>
        </w:rPr>
        <w:t>a ktorým sa mení a dopĺňa zákon              č. 377/2004 Z. z. o ochrane nefajčiarov a o zmene a doplnení niektorých zákonov v znení neskorších predpisov</w:t>
      </w:r>
      <w:r w:rsidRPr="003135C3">
        <w:rPr>
          <w:rFonts w:ascii="Times New Roman" w:hAnsi="Times New Roman"/>
          <w:bCs/>
        </w:rPr>
        <w:t xml:space="preserve"> (ďalej len „zákon“) nemá vplyv na financovanie verejnej sp</w:t>
      </w:r>
      <w:r>
        <w:rPr>
          <w:rFonts w:ascii="Times New Roman" w:hAnsi="Times New Roman"/>
          <w:bCs/>
        </w:rPr>
        <w:t>rávy, z toho dôvodu sa tabuľka</w:t>
      </w:r>
      <w:r w:rsidRPr="003135C3">
        <w:rPr>
          <w:rFonts w:ascii="Times New Roman" w:hAnsi="Times New Roman"/>
          <w:bCs/>
        </w:rPr>
        <w:t xml:space="preserve"> – financovanie návrhu (tabuľka č. 2) nepredkladá</w:t>
      </w:r>
      <w:r w:rsidRPr="003135C3">
        <w:rPr>
          <w:rFonts w:ascii="Times New Roman" w:hAnsi="Times New Roman"/>
          <w:b/>
          <w:bCs/>
        </w:rPr>
        <w:t>.</w:t>
      </w:r>
    </w:p>
    <w:p w:rsidR="00C415DB" w:rsidRPr="003135C3" w:rsidP="00C415DB">
      <w:pPr>
        <w:bidi w:val="0"/>
        <w:rPr>
          <w:rFonts w:ascii="Times New Roman" w:hAnsi="Times New Roman"/>
          <w:b/>
          <w:bCs/>
        </w:rPr>
      </w:pPr>
    </w:p>
    <w:p w:rsidR="00C415DB" w:rsidRPr="003135C3" w:rsidP="00C415DB">
      <w:pPr>
        <w:bidi w:val="0"/>
        <w:rPr>
          <w:rFonts w:ascii="Times New Roman" w:hAnsi="Times New Roman"/>
          <w:b/>
          <w:bCs/>
        </w:rPr>
      </w:pPr>
      <w:r w:rsidRPr="003135C3">
        <w:rPr>
          <w:rFonts w:ascii="Times New Roman" w:hAnsi="Times New Roman"/>
          <w:b/>
          <w:bCs/>
        </w:rPr>
        <w:t>2.3. Popis a charakteristika návrhu</w:t>
      </w:r>
    </w:p>
    <w:p w:rsidR="00C415DB" w:rsidRPr="003135C3" w:rsidP="00C415DB">
      <w:pPr>
        <w:bidi w:val="0"/>
        <w:rPr>
          <w:rFonts w:ascii="Times New Roman" w:hAnsi="Times New Roman"/>
        </w:rPr>
      </w:pPr>
    </w:p>
    <w:p w:rsidR="00C415DB" w:rsidRPr="003135C3" w:rsidP="00C415DB">
      <w:pPr>
        <w:bidi w:val="0"/>
        <w:jc w:val="both"/>
        <w:rPr>
          <w:rFonts w:ascii="Times New Roman" w:hAnsi="Times New Roman"/>
          <w:b/>
          <w:bCs/>
        </w:rPr>
      </w:pPr>
      <w:r w:rsidRPr="003135C3">
        <w:rPr>
          <w:rFonts w:ascii="Times New Roman" w:hAnsi="Times New Roman"/>
          <w:b/>
          <w:bCs/>
        </w:rPr>
        <w:t>2.3.1. Popis návrhu:</w:t>
      </w:r>
    </w:p>
    <w:p w:rsidR="00C415DB" w:rsidP="00C415DB">
      <w:pPr>
        <w:bidi w:val="0"/>
        <w:jc w:val="both"/>
        <w:rPr>
          <w:rFonts w:ascii="Times New Roman" w:hAnsi="Times New Roman"/>
        </w:rPr>
      </w:pPr>
    </w:p>
    <w:p w:rsidR="00C415DB" w:rsidRPr="003135C3" w:rsidP="00C415DB">
      <w:pPr>
        <w:bidi w:val="0"/>
        <w:jc w:val="both"/>
        <w:rPr>
          <w:rFonts w:ascii="Times New Roman" w:hAnsi="Times New Roman"/>
        </w:rPr>
      </w:pPr>
      <w:r w:rsidRPr="003135C3">
        <w:rPr>
          <w:rFonts w:ascii="Times New Roman" w:hAnsi="Times New Roman"/>
        </w:rPr>
        <w:t>Návrh zákona:</w:t>
      </w:r>
    </w:p>
    <w:p w:rsidR="00C415DB" w:rsidRPr="003135C3" w:rsidP="00C415DB">
      <w:pPr>
        <w:widowControl/>
        <w:numPr>
          <w:numId w:val="2"/>
        </w:numPr>
        <w:bidi w:val="0"/>
        <w:adjustRightInd/>
        <w:jc w:val="both"/>
        <w:rPr>
          <w:rFonts w:ascii="Times New Roman" w:hAnsi="Times New Roman"/>
        </w:rPr>
      </w:pPr>
      <w:r w:rsidRPr="003135C3">
        <w:rPr>
          <w:rFonts w:ascii="Times New Roman" w:hAnsi="Times New Roman"/>
        </w:rPr>
        <w:t>mení základ dane z cigár a cigariek a výpočet dane z cigár a cigariek,</w:t>
      </w:r>
    </w:p>
    <w:p w:rsidR="00C415DB" w:rsidRPr="003135C3" w:rsidP="00C415DB">
      <w:pPr>
        <w:widowControl/>
        <w:numPr>
          <w:numId w:val="2"/>
        </w:numPr>
        <w:bidi w:val="0"/>
        <w:adjustRightInd/>
        <w:jc w:val="both"/>
        <w:rPr>
          <w:rFonts w:ascii="Times New Roman" w:hAnsi="Times New Roman"/>
        </w:rPr>
      </w:pPr>
      <w:r w:rsidRPr="003135C3">
        <w:rPr>
          <w:rFonts w:ascii="Times New Roman" w:hAnsi="Times New Roman"/>
        </w:rPr>
        <w:t>upravuje sadzbu dane za cigary a cigarky,</w:t>
      </w:r>
    </w:p>
    <w:p w:rsidR="00C415DB" w:rsidRPr="003135C3" w:rsidP="00C415DB">
      <w:pPr>
        <w:widowControl/>
        <w:numPr>
          <w:numId w:val="2"/>
        </w:numPr>
        <w:bidi w:val="0"/>
        <w:adjustRightInd/>
        <w:jc w:val="both"/>
        <w:rPr>
          <w:rFonts w:ascii="Times New Roman" w:hAnsi="Times New Roman"/>
        </w:rPr>
      </w:pPr>
      <w:r w:rsidRPr="003135C3">
        <w:rPr>
          <w:rFonts w:ascii="Times New Roman" w:hAnsi="Times New Roman"/>
        </w:rPr>
        <w:t>dopĺňa nové skutkové podstaty správnych deliktov,</w:t>
      </w:r>
    </w:p>
    <w:p w:rsidR="00C415DB" w:rsidP="00C415DB">
      <w:pPr>
        <w:widowControl/>
        <w:numPr>
          <w:numId w:val="2"/>
        </w:numPr>
        <w:bidi w:val="0"/>
        <w:adjustRightInd/>
        <w:jc w:val="both"/>
        <w:rPr>
          <w:rFonts w:ascii="Times New Roman" w:hAnsi="Times New Roman"/>
        </w:rPr>
      </w:pPr>
      <w:r w:rsidRPr="003135C3">
        <w:rPr>
          <w:rFonts w:ascii="Times New Roman" w:hAnsi="Times New Roman"/>
        </w:rPr>
        <w:t>zavádza a upravuje sankcie za správne delikty</w:t>
      </w:r>
    </w:p>
    <w:p w:rsidR="00C415DB" w:rsidRPr="00D476F6" w:rsidP="00C415DB">
      <w:pPr>
        <w:widowControl/>
        <w:numPr>
          <w:numId w:val="2"/>
        </w:numPr>
        <w:bidi w:val="0"/>
        <w:adjustRightInd/>
        <w:jc w:val="both"/>
        <w:rPr>
          <w:rFonts w:ascii="Times New Roman" w:hAnsi="Times New Roman"/>
        </w:rPr>
      </w:pPr>
      <w:r w:rsidRPr="00D476F6">
        <w:rPr>
          <w:rFonts w:ascii="Times New Roman" w:hAnsi="Times New Roman"/>
        </w:rPr>
        <w:t>stanovuje sa počet cigariet v spotrebiteľskom balení na 20 kusov a minimálna hmotnosť tabaku v spotrebiteľskom balení.</w:t>
      </w:r>
    </w:p>
    <w:p w:rsidR="00C415DB" w:rsidRPr="003135C3" w:rsidP="00C415DB">
      <w:pPr>
        <w:bidi w:val="0"/>
        <w:jc w:val="both"/>
        <w:rPr>
          <w:rFonts w:ascii="Times New Roman" w:hAnsi="Times New Roman"/>
        </w:rPr>
      </w:pPr>
    </w:p>
    <w:p w:rsidR="00C415DB" w:rsidRPr="003135C3" w:rsidP="00C415DB">
      <w:pPr>
        <w:bidi w:val="0"/>
        <w:rPr>
          <w:rFonts w:ascii="Times New Roman" w:hAnsi="Times New Roman"/>
          <w:b/>
          <w:bCs/>
        </w:rPr>
      </w:pPr>
      <w:r w:rsidRPr="003135C3">
        <w:rPr>
          <w:rFonts w:ascii="Times New Roman" w:hAnsi="Times New Roman"/>
          <w:b/>
          <w:bCs/>
        </w:rPr>
        <w:t>2.3.2. Charakteristika návrhu podľa bodu 2.3.2. Metodiky:</w:t>
      </w:r>
    </w:p>
    <w:p w:rsidR="00C415DB" w:rsidRPr="003135C3" w:rsidP="00C415DB">
      <w:pPr>
        <w:pStyle w:val="BodyText"/>
        <w:bidi w:val="0"/>
        <w:rPr>
          <w:rFonts w:ascii="Times New Roman" w:hAnsi="Times New Roman"/>
          <w:b/>
        </w:rPr>
      </w:pPr>
      <w:r w:rsidRPr="003135C3">
        <w:rPr>
          <w:rFonts w:ascii="Times New Roman" w:hAnsi="Times New Roman"/>
          <w:bdr w:val="single" w:sz="4" w:space="0" w:color="auto"/>
        </w:rPr>
        <w:t xml:space="preserve"> x  </w:t>
      </w:r>
      <w:r w:rsidRPr="003135C3">
        <w:rPr>
          <w:rFonts w:ascii="Times New Roman" w:hAnsi="Times New Roman"/>
        </w:rPr>
        <w:t xml:space="preserve">  </w:t>
      </w:r>
      <w:r w:rsidRPr="003135C3">
        <w:rPr>
          <w:rFonts w:ascii="Times New Roman" w:hAnsi="Times New Roman"/>
          <w:b/>
        </w:rPr>
        <w:t>zmena sadzby</w:t>
      </w:r>
    </w:p>
    <w:p w:rsidR="00C415DB" w:rsidRPr="003135C3" w:rsidP="00C415DB">
      <w:pPr>
        <w:pStyle w:val="BodyText"/>
        <w:bidi w:val="0"/>
        <w:rPr>
          <w:rFonts w:ascii="Times New Roman" w:hAnsi="Times New Roman"/>
          <w:b/>
        </w:rPr>
      </w:pPr>
      <w:r w:rsidRPr="003135C3">
        <w:rPr>
          <w:rFonts w:ascii="Times New Roman" w:hAnsi="Times New Roman"/>
          <w:b/>
          <w:bdr w:val="single" w:sz="4" w:space="0" w:color="auto"/>
        </w:rPr>
        <w:t xml:space="preserve">     </w:t>
      </w:r>
      <w:r w:rsidRPr="003135C3">
        <w:rPr>
          <w:rFonts w:ascii="Times New Roman" w:hAnsi="Times New Roman"/>
          <w:b/>
        </w:rPr>
        <w:t xml:space="preserve">  zmena v nároku</w:t>
      </w:r>
    </w:p>
    <w:p w:rsidR="00C415DB" w:rsidRPr="003135C3" w:rsidP="00C415DB">
      <w:pPr>
        <w:pStyle w:val="BodyText"/>
        <w:bidi w:val="0"/>
        <w:rPr>
          <w:rFonts w:ascii="Times New Roman" w:hAnsi="Times New Roman"/>
          <w:b/>
        </w:rPr>
      </w:pPr>
      <w:r w:rsidRPr="003135C3">
        <w:rPr>
          <w:rFonts w:ascii="Times New Roman" w:hAnsi="Times New Roman"/>
          <w:b/>
          <w:bdr w:val="single" w:sz="4" w:space="0" w:color="auto"/>
        </w:rPr>
        <w:t xml:space="preserve">     </w:t>
      </w:r>
      <w:r w:rsidRPr="003135C3">
        <w:rPr>
          <w:rFonts w:ascii="Times New Roman" w:hAnsi="Times New Roman"/>
          <w:b/>
        </w:rPr>
        <w:t xml:space="preserve">  nová služba alebo nariadenie (alebo ich zrušenie)</w:t>
      </w:r>
    </w:p>
    <w:p w:rsidR="00C415DB" w:rsidRPr="003135C3" w:rsidP="00C415DB">
      <w:pPr>
        <w:pStyle w:val="BodyText"/>
        <w:bidi w:val="0"/>
        <w:rPr>
          <w:rFonts w:ascii="Times New Roman" w:hAnsi="Times New Roman"/>
          <w:b/>
        </w:rPr>
      </w:pPr>
      <w:r w:rsidRPr="003135C3">
        <w:rPr>
          <w:rFonts w:ascii="Times New Roman" w:hAnsi="Times New Roman"/>
          <w:b/>
          <w:bdr w:val="single" w:sz="4" w:space="0" w:color="auto"/>
        </w:rPr>
        <w:t xml:space="preserve">     </w:t>
      </w:r>
      <w:r w:rsidRPr="003135C3">
        <w:rPr>
          <w:rFonts w:ascii="Times New Roman" w:hAnsi="Times New Roman"/>
          <w:b/>
        </w:rPr>
        <w:t xml:space="preserve">  kombinovaný návrh</w:t>
      </w:r>
    </w:p>
    <w:p w:rsidR="00C415DB" w:rsidRPr="003135C3" w:rsidP="00C415DB">
      <w:pPr>
        <w:pStyle w:val="BodyText"/>
        <w:bidi w:val="0"/>
        <w:rPr>
          <w:rFonts w:ascii="Times New Roman" w:hAnsi="Times New Roman"/>
          <w:b/>
        </w:rPr>
      </w:pPr>
      <w:r w:rsidRPr="003135C3">
        <w:rPr>
          <w:rFonts w:ascii="Times New Roman" w:hAnsi="Times New Roman"/>
          <w:b/>
          <w:bdr w:val="single" w:sz="4" w:space="0" w:color="auto"/>
        </w:rPr>
        <w:t xml:space="preserve">  </w:t>
      </w:r>
      <w:r w:rsidRPr="003135C3">
        <w:rPr>
          <w:rFonts w:ascii="Times New Roman" w:hAnsi="Times New Roman"/>
          <w:bdr w:val="single" w:sz="4" w:space="0" w:color="auto"/>
        </w:rPr>
        <w:t>x</w:t>
      </w:r>
      <w:r w:rsidRPr="003135C3">
        <w:rPr>
          <w:rFonts w:ascii="Times New Roman" w:hAnsi="Times New Roman"/>
          <w:b/>
          <w:bdr w:val="single" w:sz="4" w:space="0" w:color="auto"/>
        </w:rPr>
        <w:t xml:space="preserve"> </w:t>
      </w:r>
      <w:r w:rsidRPr="003135C3">
        <w:rPr>
          <w:rFonts w:ascii="Times New Roman" w:hAnsi="Times New Roman"/>
          <w:b/>
        </w:rPr>
        <w:t xml:space="preserve">  iné</w:t>
      </w:r>
    </w:p>
    <w:p w:rsidR="00C415DB" w:rsidRPr="003135C3" w:rsidP="00C415DB">
      <w:pPr>
        <w:bidi w:val="0"/>
        <w:jc w:val="both"/>
        <w:rPr>
          <w:rFonts w:ascii="Times New Roman" w:hAnsi="Times New Roman"/>
          <w:b/>
          <w:bCs/>
        </w:rPr>
      </w:pPr>
    </w:p>
    <w:p w:rsidR="00C415DB" w:rsidRPr="003135C3" w:rsidP="00C415DB">
      <w:pPr>
        <w:bidi w:val="0"/>
        <w:jc w:val="both"/>
        <w:rPr>
          <w:rFonts w:ascii="Times New Roman" w:hAnsi="Times New Roman"/>
        </w:rPr>
      </w:pPr>
      <w:r w:rsidRPr="003135C3">
        <w:rPr>
          <w:rFonts w:ascii="Times New Roman" w:hAnsi="Times New Roman"/>
        </w:rPr>
        <w:t>Spotrebná daň z tabakových výrobkov s výnimkou cigariet a tabaku sa upravuje nasledovne:</w:t>
      </w:r>
    </w:p>
    <w:p w:rsidR="00C415DB" w:rsidRPr="003135C3" w:rsidP="00C415DB">
      <w:pPr>
        <w:widowControl/>
        <w:numPr>
          <w:numId w:val="2"/>
        </w:numPr>
        <w:bidi w:val="0"/>
        <w:adjustRightInd/>
        <w:ind w:left="284" w:hanging="284"/>
        <w:jc w:val="both"/>
        <w:rPr>
          <w:rFonts w:ascii="Times New Roman" w:hAnsi="Times New Roman"/>
        </w:rPr>
      </w:pPr>
      <w:r w:rsidRPr="003135C3">
        <w:rPr>
          <w:rFonts w:ascii="Times New Roman" w:hAnsi="Times New Roman"/>
        </w:rPr>
        <w:t>sadzba dane z cigár a cigariek sa od</w:t>
      </w:r>
      <w:r w:rsidRPr="003135C3">
        <w:rPr>
          <w:rFonts w:ascii="Times New Roman" w:hAnsi="Times New Roman"/>
          <w:bCs/>
        </w:rPr>
        <w:t xml:space="preserve"> 1. 1. 2016 stanovuje na 71,11 eura/kg.</w:t>
      </w:r>
    </w:p>
    <w:p w:rsidR="00C415DB" w:rsidP="00C415DB">
      <w:pPr>
        <w:bidi w:val="0"/>
        <w:rPr>
          <w:rFonts w:ascii="Times New Roman" w:hAnsi="Times New Roman"/>
          <w:b/>
          <w:bCs/>
        </w:rPr>
      </w:pPr>
    </w:p>
    <w:p w:rsidR="00C415DB" w:rsidRPr="003135C3" w:rsidP="00C415DB">
      <w:pPr>
        <w:bidi w:val="0"/>
        <w:rPr>
          <w:rFonts w:ascii="Times New Roman" w:hAnsi="Times New Roman"/>
        </w:rPr>
      </w:pPr>
      <w:r w:rsidRPr="003135C3">
        <w:rPr>
          <w:rFonts w:ascii="Times New Roman" w:hAnsi="Times New Roman"/>
          <w:b/>
          <w:bCs/>
        </w:rPr>
        <w:t>2.3.3. Predpoklady vývoja objemu aktivít:</w:t>
      </w:r>
    </w:p>
    <w:p w:rsidR="00C415DB" w:rsidRPr="003135C3" w:rsidP="00C415DB">
      <w:pPr>
        <w:bidi w:val="0"/>
        <w:rPr>
          <w:rFonts w:ascii="Times New Roman" w:hAnsi="Times New Roman"/>
        </w:rPr>
      </w:pPr>
    </w:p>
    <w:p w:rsidR="00C415DB" w:rsidRPr="003135C3" w:rsidP="00C415DB">
      <w:pPr>
        <w:pStyle w:val="BodyText"/>
        <w:tabs>
          <w:tab w:val="num" w:pos="1080"/>
        </w:tabs>
        <w:bidi w:val="0"/>
        <w:rPr>
          <w:rFonts w:ascii="Times New Roman" w:hAnsi="Times New Roman"/>
          <w:b/>
          <w:bCs/>
        </w:rPr>
      </w:pPr>
      <w:r w:rsidRPr="003135C3">
        <w:rPr>
          <w:rFonts w:ascii="Times New Roman" w:hAnsi="Times New Roman"/>
          <w:b/>
          <w:bCs/>
        </w:rPr>
        <w:t>Návrh zákona nemá vplyv na objem aktivít, z toho dôvodu sa tabuľka č. 3 – objem aktivít nepredkladá.</w:t>
      </w:r>
    </w:p>
    <w:p w:rsidR="00C415DB" w:rsidP="00C415DB">
      <w:pPr>
        <w:bidi w:val="0"/>
        <w:rPr>
          <w:rFonts w:ascii="Times New Roman" w:hAnsi="Times New Roman"/>
        </w:rPr>
      </w:pPr>
    </w:p>
    <w:p w:rsidR="00C415DB" w:rsidRPr="003135C3" w:rsidP="00C415DB">
      <w:pPr>
        <w:bidi w:val="0"/>
        <w:rPr>
          <w:rFonts w:ascii="Times New Roman" w:hAnsi="Times New Roman"/>
          <w:b/>
          <w:bCs/>
        </w:rPr>
      </w:pPr>
      <w:r w:rsidRPr="003135C3">
        <w:rPr>
          <w:rFonts w:ascii="Times New Roman" w:hAnsi="Times New Roman"/>
          <w:b/>
          <w:bCs/>
        </w:rPr>
        <w:t>2.3.4. Výpočty vplyvov na verejné financie</w:t>
      </w:r>
    </w:p>
    <w:p w:rsidR="00C415DB" w:rsidRPr="003135C3" w:rsidP="00C415DB">
      <w:pPr>
        <w:pStyle w:val="BodyText"/>
        <w:tabs>
          <w:tab w:val="num" w:pos="1080"/>
        </w:tabs>
        <w:bidi w:val="0"/>
        <w:rPr>
          <w:rFonts w:ascii="Times New Roman" w:hAnsi="Times New Roman"/>
          <w:b/>
          <w:bCs/>
        </w:rPr>
        <w:sectPr>
          <w:footerReference w:type="even" r:id="rId4"/>
          <w:footerReference w:type="default" r:id="rId5"/>
          <w:footerReference w:type="first" r:id="rId6"/>
          <w:pgSz w:w="11906" w:h="16838"/>
          <w:pgMar w:top="1417" w:right="1417" w:bottom="1417" w:left="1417" w:header="708" w:footer="708" w:gutter="0"/>
          <w:lnNumType w:distance="0"/>
          <w:pgNumType w:start="0"/>
          <w:cols w:space="708"/>
          <w:noEndnote w:val="0"/>
          <w:titlePg/>
          <w:bidi w:val="0"/>
          <w:docGrid w:linePitch="360"/>
        </w:sectPr>
      </w:pPr>
    </w:p>
    <w:p w:rsidR="00C415DB" w:rsidRPr="003135C3" w:rsidP="00C415DB">
      <w:pPr>
        <w:pStyle w:val="BodyText"/>
        <w:tabs>
          <w:tab w:val="num" w:pos="1080"/>
        </w:tabs>
        <w:bidi w:val="0"/>
        <w:jc w:val="right"/>
        <w:rPr>
          <w:rFonts w:ascii="Times New Roman" w:hAnsi="Times New Roman"/>
          <w:b/>
          <w:bCs/>
        </w:rPr>
      </w:pPr>
      <w:r>
        <w:rPr>
          <w:rFonts w:ascii="Times New Roman" w:hAnsi="Times New Roman"/>
          <w:b/>
          <w:bCs/>
        </w:rPr>
        <w:t>Tabuľka č. 4</w:t>
      </w:r>
    </w:p>
    <w:tbl>
      <w:tblPr>
        <w:tblStyle w:val="TableNormal"/>
        <w:tblpPr w:leftFromText="141" w:rightFromText="141" w:horzAnchor="margin" w:tblpXSpec="center" w:tblpY="533"/>
        <w:tblW w:w="13111" w:type="dxa"/>
        <w:tblCellMar>
          <w:left w:w="70" w:type="dxa"/>
          <w:right w:w="70" w:type="dxa"/>
        </w:tblCellMar>
      </w:tblPr>
      <w:tblGrid>
        <w:gridCol w:w="4950"/>
        <w:gridCol w:w="1500"/>
        <w:gridCol w:w="1500"/>
        <w:gridCol w:w="1500"/>
        <w:gridCol w:w="1500"/>
        <w:gridCol w:w="2161"/>
      </w:tblGrid>
      <w:tr>
        <w:tblPrEx>
          <w:tblW w:w="13111"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Príjmy (v mil. eur)</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Vplyv na rozpočet verejnej správy</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poznámka</w:t>
            </w:r>
          </w:p>
        </w:tc>
      </w:tr>
      <w:tr>
        <w:tblPrEx>
          <w:tblW w:w="13111"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C415DB" w:rsidRPr="003135C3" w:rsidP="00D6194D">
            <w:pPr>
              <w:bidi w:val="0"/>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2016</w:t>
            </w:r>
          </w:p>
        </w:tc>
        <w:tc>
          <w:tcPr>
            <w:tcW w:w="1500" w:type="dxa"/>
            <w:tcBorders>
              <w:top w:val="nil"/>
              <w:left w:val="nil"/>
              <w:bottom w:val="single" w:sz="4" w:space="0" w:color="auto"/>
              <w:right w:val="single" w:sz="4" w:space="0" w:color="auto"/>
            </w:tcBorders>
            <w:shd w:val="clear" w:color="auto" w:fill="000000"/>
            <w:textDirection w:val="lrTb"/>
            <w:vAlign w:val="top"/>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2017</w:t>
            </w:r>
          </w:p>
        </w:tc>
        <w:tc>
          <w:tcPr>
            <w:tcW w:w="1500" w:type="dxa"/>
            <w:tcBorders>
              <w:top w:val="nil"/>
              <w:left w:val="nil"/>
              <w:bottom w:val="single" w:sz="4" w:space="0" w:color="auto"/>
              <w:right w:val="single" w:sz="4" w:space="0" w:color="auto"/>
            </w:tcBorders>
            <w:shd w:val="clear" w:color="auto" w:fill="000000"/>
            <w:textDirection w:val="lrTb"/>
            <w:vAlign w:val="top"/>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2018</w:t>
            </w:r>
          </w:p>
        </w:tc>
        <w:tc>
          <w:tcPr>
            <w:tcW w:w="1500" w:type="dxa"/>
            <w:tcBorders>
              <w:top w:val="nil"/>
              <w:left w:val="nil"/>
              <w:bottom w:val="single" w:sz="4" w:space="0" w:color="auto"/>
              <w:right w:val="single" w:sz="4" w:space="0" w:color="auto"/>
            </w:tcBorders>
            <w:shd w:val="clear" w:color="auto" w:fill="000000"/>
            <w:textDirection w:val="lrTb"/>
            <w:vAlign w:val="top"/>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2019</w:t>
            </w:r>
          </w:p>
        </w:tc>
        <w:tc>
          <w:tcPr>
            <w:tcW w:w="2161" w:type="dxa"/>
            <w:vMerge/>
            <w:tcBorders>
              <w:top w:val="single" w:sz="4" w:space="0" w:color="auto"/>
              <w:left w:val="single" w:sz="4" w:space="0" w:color="auto"/>
              <w:bottom w:val="single" w:sz="4" w:space="0" w:color="auto"/>
              <w:right w:val="single" w:sz="4" w:space="0" w:color="auto"/>
            </w:tcBorders>
            <w:textDirection w:val="lrTb"/>
            <w:vAlign w:val="center"/>
          </w:tcPr>
          <w:p w:rsidR="00C415DB" w:rsidRPr="003135C3" w:rsidP="00D6194D">
            <w:pPr>
              <w:bidi w:val="0"/>
              <w:rPr>
                <w:rFonts w:ascii="Times New Roman" w:hAnsi="Times New Roman"/>
                <w:b/>
                <w:bCs/>
                <w:color w:val="FFFFFF"/>
              </w:rPr>
            </w:pP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415DB" w:rsidRPr="003135C3" w:rsidP="00D6194D">
            <w:pPr>
              <w:pStyle w:val="Default"/>
              <w:bidi w:val="0"/>
              <w:rPr>
                <w:rFonts w:ascii="Times New Roman" w:hAnsi="Times New Roman" w:cs="Times New Roman"/>
              </w:rPr>
            </w:pPr>
            <w:r w:rsidRPr="003135C3">
              <w:rPr>
                <w:rFonts w:ascii="Times New Roman" w:hAnsi="Times New Roman" w:cs="Times New Roman"/>
                <w:b/>
                <w:bCs/>
              </w:rPr>
              <w:t>Daňové príjmy (132001)</w:t>
            </w:r>
            <w:r w:rsidRPr="003135C3">
              <w:rPr>
                <w:rFonts w:ascii="Times New Roman" w:hAnsi="Times New Roman" w:cs="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r w:rsidR="0055669E">
              <w:rPr>
                <w:rFonts w:ascii="Times New Roman" w:hAnsi="Times New Roman"/>
                <w:b/>
              </w:rPr>
              <w:t>26,64</w:t>
            </w: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r>
              <w:rPr>
                <w:rFonts w:ascii="Times New Roman" w:hAnsi="Times New Roman"/>
                <w:b/>
              </w:rPr>
              <w:t>28</w:t>
            </w:r>
            <w:r w:rsidRPr="003135C3">
              <w:rPr>
                <w:rFonts w:ascii="Times New Roman" w:hAnsi="Times New Roman"/>
                <w:b/>
              </w:rPr>
              <w:t>,</w:t>
            </w:r>
            <w:r>
              <w:rPr>
                <w:rFonts w:ascii="Times New Roman" w:hAnsi="Times New Roman"/>
                <w:b/>
              </w:rPr>
              <w:t>93</w:t>
            </w: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r>
              <w:rPr>
                <w:rFonts w:ascii="Times New Roman" w:hAnsi="Times New Roman"/>
                <w:b/>
              </w:rPr>
              <w:t>29</w:t>
            </w:r>
            <w:r w:rsidRPr="003135C3">
              <w:rPr>
                <w:rFonts w:ascii="Times New Roman" w:hAnsi="Times New Roman"/>
                <w:b/>
              </w:rPr>
              <w:t>,0</w:t>
            </w:r>
            <w:r>
              <w:rPr>
                <w:rFonts w:ascii="Times New Roman" w:hAnsi="Times New Roman"/>
                <w:b/>
              </w:rPr>
              <w:t>2</w:t>
            </w: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r>
              <w:rPr>
                <w:rFonts w:ascii="Times New Roman" w:hAnsi="Times New Roman"/>
                <w:b/>
              </w:rPr>
              <w:t>29</w:t>
            </w:r>
            <w:r w:rsidRPr="003135C3">
              <w:rPr>
                <w:rFonts w:ascii="Times New Roman" w:hAnsi="Times New Roman"/>
                <w:b/>
              </w:rPr>
              <w:t>,0</w:t>
            </w:r>
            <w:r>
              <w:rPr>
                <w:rFonts w:ascii="Times New Roman" w:hAnsi="Times New Roman"/>
                <w:b/>
              </w:rPr>
              <w:t>2</w:t>
            </w:r>
          </w:p>
        </w:tc>
        <w:tc>
          <w:tcPr>
            <w:tcW w:w="2161" w:type="dxa"/>
            <w:tcBorders>
              <w:top w:val="nil"/>
              <w:left w:val="nil"/>
              <w:bottom w:val="single" w:sz="4" w:space="0" w:color="auto"/>
              <w:right w:val="single" w:sz="4" w:space="0" w:color="auto"/>
            </w:tcBorders>
            <w:noWrap/>
            <w:textDirection w:val="lrTb"/>
            <w:vAlign w:val="bottom"/>
          </w:tcPr>
          <w:p w:rsidR="00C415DB" w:rsidRPr="003135C3" w:rsidP="00D6194D">
            <w:pPr>
              <w:bidi w:val="0"/>
              <w:rPr>
                <w:rFonts w:ascii="Times New Roman" w:hAnsi="Times New Roman"/>
              </w:rPr>
            </w:pPr>
            <w:r w:rsidRPr="003135C3">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415DB" w:rsidRPr="003135C3" w:rsidP="00D6194D">
            <w:pPr>
              <w:bidi w:val="0"/>
              <w:rPr>
                <w:rFonts w:ascii="Times New Roman" w:hAnsi="Times New Roman"/>
                <w:b/>
                <w:bCs/>
              </w:rPr>
            </w:pPr>
            <w:r w:rsidRPr="003135C3">
              <w:rPr>
                <w:rFonts w:ascii="Times New Roman" w:hAnsi="Times New Roman"/>
                <w:b/>
                <w:bCs/>
              </w:rPr>
              <w:t>Nedaňové príjmy (200)</w:t>
            </w:r>
            <w:r w:rsidRPr="003135C3">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C415DB" w:rsidRPr="003135C3" w:rsidP="00D6194D">
            <w:pPr>
              <w:bidi w:val="0"/>
              <w:rPr>
                <w:rFonts w:ascii="Times New Roman" w:hAnsi="Times New Roman"/>
              </w:rPr>
            </w:pPr>
            <w:r w:rsidRPr="003135C3">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415DB" w:rsidRPr="003135C3" w:rsidP="00D6194D">
            <w:pPr>
              <w:bidi w:val="0"/>
              <w:rPr>
                <w:rFonts w:ascii="Times New Roman" w:hAnsi="Times New Roman"/>
                <w:b/>
                <w:bCs/>
              </w:rPr>
            </w:pPr>
            <w:r w:rsidRPr="003135C3">
              <w:rPr>
                <w:rFonts w:ascii="Times New Roman" w:hAnsi="Times New Roman"/>
                <w:b/>
                <w:bCs/>
              </w:rPr>
              <w:t>Granty a transfery (300)</w:t>
            </w:r>
            <w:r w:rsidRPr="003135C3">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C415DB" w:rsidRPr="003135C3" w:rsidP="00D6194D">
            <w:pPr>
              <w:bidi w:val="0"/>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C415DB" w:rsidRPr="003135C3" w:rsidP="00D6194D">
            <w:pPr>
              <w:bidi w:val="0"/>
              <w:rPr>
                <w:rFonts w:ascii="Times New Roman" w:hAnsi="Times New Roman"/>
              </w:rPr>
            </w:pPr>
            <w:r w:rsidRPr="003135C3">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415DB" w:rsidRPr="003135C3" w:rsidP="00D6194D">
            <w:pPr>
              <w:bidi w:val="0"/>
              <w:rPr>
                <w:rFonts w:ascii="Times New Roman" w:hAnsi="Times New Roman"/>
                <w:b/>
                <w:bCs/>
              </w:rPr>
            </w:pPr>
            <w:r w:rsidRPr="003135C3">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C415DB" w:rsidRPr="003135C3" w:rsidP="00D6194D">
            <w:pPr>
              <w:bidi w:val="0"/>
              <w:jc w:val="center"/>
              <w:rPr>
                <w:rFonts w:ascii="Times New Roman" w:hAnsi="Times New Roman"/>
                <w:b/>
                <w:bCs/>
              </w:rPr>
            </w:pPr>
            <w:r w:rsidRPr="003135C3">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415DB" w:rsidRPr="003135C3" w:rsidP="00D6194D">
            <w:pPr>
              <w:bidi w:val="0"/>
              <w:jc w:val="center"/>
              <w:rPr>
                <w:rFonts w:ascii="Times New Roman" w:hAnsi="Times New Roman"/>
                <w:b/>
                <w:bCs/>
              </w:rPr>
            </w:pPr>
            <w:r w:rsidRPr="003135C3">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415DB" w:rsidRPr="003135C3" w:rsidP="00D6194D">
            <w:pPr>
              <w:bidi w:val="0"/>
              <w:jc w:val="center"/>
              <w:rPr>
                <w:rFonts w:ascii="Times New Roman" w:hAnsi="Times New Roman"/>
                <w:b/>
                <w:bCs/>
              </w:rPr>
            </w:pPr>
            <w:r w:rsidRPr="003135C3">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415DB" w:rsidRPr="003135C3" w:rsidP="00D6194D">
            <w:pPr>
              <w:bidi w:val="0"/>
              <w:jc w:val="center"/>
              <w:rPr>
                <w:rFonts w:ascii="Times New Roman" w:hAnsi="Times New Roman"/>
                <w:b/>
                <w:bCs/>
              </w:rPr>
            </w:pPr>
            <w:r w:rsidRPr="003135C3">
              <w:rPr>
                <w:rFonts w:ascii="Times New Roman" w:hAnsi="Times New Roman"/>
                <w:b/>
                <w:bCs/>
              </w:rPr>
              <w:t> </w:t>
            </w:r>
          </w:p>
        </w:tc>
        <w:tc>
          <w:tcPr>
            <w:tcW w:w="2161" w:type="dxa"/>
            <w:tcBorders>
              <w:top w:val="nil"/>
              <w:left w:val="nil"/>
              <w:bottom w:val="single" w:sz="4" w:space="0" w:color="auto"/>
              <w:right w:val="single" w:sz="4" w:space="0" w:color="auto"/>
            </w:tcBorders>
            <w:noWrap/>
            <w:textDirection w:val="lrTb"/>
            <w:vAlign w:val="bottom"/>
          </w:tcPr>
          <w:p w:rsidR="00C415DB" w:rsidRPr="003135C3" w:rsidP="00D6194D">
            <w:pPr>
              <w:bidi w:val="0"/>
              <w:rPr>
                <w:rFonts w:ascii="Times New Roman" w:hAnsi="Times New Roman"/>
              </w:rPr>
            </w:pPr>
            <w:r w:rsidRPr="003135C3">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415DB" w:rsidRPr="003135C3" w:rsidP="00D6194D">
            <w:pPr>
              <w:bidi w:val="0"/>
              <w:rPr>
                <w:rFonts w:ascii="Times New Roman" w:hAnsi="Times New Roman"/>
                <w:b/>
                <w:bCs/>
              </w:rPr>
            </w:pPr>
            <w:r w:rsidRPr="003135C3">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C415DB" w:rsidRPr="003135C3" w:rsidP="00D6194D">
            <w:pPr>
              <w:bidi w:val="0"/>
              <w:jc w:val="center"/>
              <w:rPr>
                <w:rFonts w:ascii="Times New Roman" w:hAnsi="Times New Roman"/>
                <w:b/>
                <w:bCs/>
              </w:rPr>
            </w:pPr>
            <w:r w:rsidRPr="003135C3">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415DB" w:rsidRPr="003135C3" w:rsidP="00D6194D">
            <w:pPr>
              <w:bidi w:val="0"/>
              <w:jc w:val="center"/>
              <w:rPr>
                <w:rFonts w:ascii="Times New Roman" w:hAnsi="Times New Roman"/>
                <w:b/>
                <w:bCs/>
              </w:rPr>
            </w:pPr>
            <w:r w:rsidRPr="003135C3">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415DB" w:rsidRPr="003135C3" w:rsidP="00D6194D">
            <w:pPr>
              <w:bidi w:val="0"/>
              <w:jc w:val="center"/>
              <w:rPr>
                <w:rFonts w:ascii="Times New Roman" w:hAnsi="Times New Roman"/>
                <w:b/>
                <w:bCs/>
              </w:rPr>
            </w:pPr>
            <w:r w:rsidRPr="003135C3">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C415DB" w:rsidRPr="003135C3" w:rsidP="00D6194D">
            <w:pPr>
              <w:bidi w:val="0"/>
              <w:jc w:val="center"/>
              <w:rPr>
                <w:rFonts w:ascii="Times New Roman" w:hAnsi="Times New Roman"/>
                <w:b/>
                <w:bCs/>
              </w:rPr>
            </w:pPr>
            <w:r w:rsidRPr="003135C3">
              <w:rPr>
                <w:rFonts w:ascii="Times New Roman" w:hAnsi="Times New Roman"/>
                <w:b/>
                <w:bCs/>
              </w:rPr>
              <w:t> </w:t>
            </w:r>
          </w:p>
        </w:tc>
        <w:tc>
          <w:tcPr>
            <w:tcW w:w="2161" w:type="dxa"/>
            <w:tcBorders>
              <w:top w:val="nil"/>
              <w:left w:val="nil"/>
              <w:bottom w:val="single" w:sz="4" w:space="0" w:color="auto"/>
              <w:right w:val="single" w:sz="4" w:space="0" w:color="auto"/>
            </w:tcBorders>
            <w:noWrap/>
            <w:textDirection w:val="lrTb"/>
            <w:vAlign w:val="bottom"/>
          </w:tcPr>
          <w:p w:rsidR="00C415DB" w:rsidRPr="003135C3" w:rsidP="00D6194D">
            <w:pPr>
              <w:bidi w:val="0"/>
              <w:rPr>
                <w:rFonts w:ascii="Times New Roman" w:hAnsi="Times New Roman"/>
              </w:rPr>
            </w:pPr>
            <w:r w:rsidRPr="003135C3">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C415DB" w:rsidRPr="003135C3" w:rsidP="00D6194D">
            <w:pPr>
              <w:bidi w:val="0"/>
              <w:rPr>
                <w:rFonts w:ascii="Times New Roman" w:hAnsi="Times New Roman"/>
                <w:b/>
                <w:bCs/>
                <w:color w:val="FFFFFF"/>
              </w:rPr>
            </w:pPr>
            <w:r w:rsidRPr="003135C3">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C415DB" w:rsidRPr="003135C3" w:rsidP="00D6194D">
            <w:pPr>
              <w:bidi w:val="0"/>
              <w:jc w:val="center"/>
              <w:rPr>
                <w:rFonts w:ascii="Times New Roman" w:hAnsi="Times New Roman"/>
                <w:b/>
                <w:bCs/>
                <w:color w:val="FFFFFF"/>
              </w:rPr>
            </w:pPr>
            <w:r w:rsidR="0055669E">
              <w:rPr>
                <w:rFonts w:ascii="Times New Roman" w:hAnsi="Times New Roman"/>
                <w:b/>
              </w:rPr>
              <w:t>26,64</w:t>
            </w:r>
          </w:p>
        </w:tc>
        <w:tc>
          <w:tcPr>
            <w:tcW w:w="1500" w:type="dxa"/>
            <w:tcBorders>
              <w:top w:val="nil"/>
              <w:left w:val="nil"/>
              <w:bottom w:val="single" w:sz="4" w:space="0" w:color="auto"/>
              <w:right w:val="single" w:sz="4" w:space="0" w:color="auto"/>
            </w:tcBorders>
            <w:shd w:val="clear" w:color="auto" w:fill="000000"/>
            <w:textDirection w:val="lrTb"/>
            <w:vAlign w:val="top"/>
          </w:tcPr>
          <w:p w:rsidR="00C415DB" w:rsidRPr="003135C3" w:rsidP="00D6194D">
            <w:pPr>
              <w:bidi w:val="0"/>
              <w:jc w:val="center"/>
              <w:rPr>
                <w:rFonts w:ascii="Times New Roman" w:hAnsi="Times New Roman"/>
                <w:b/>
                <w:bCs/>
                <w:color w:val="FFFFFF"/>
              </w:rPr>
            </w:pPr>
            <w:r>
              <w:rPr>
                <w:rFonts w:ascii="Times New Roman" w:hAnsi="Times New Roman"/>
                <w:b/>
              </w:rPr>
              <w:t>28</w:t>
            </w:r>
            <w:r w:rsidRPr="003135C3">
              <w:rPr>
                <w:rFonts w:ascii="Times New Roman" w:hAnsi="Times New Roman"/>
                <w:b/>
              </w:rPr>
              <w:t>,</w:t>
            </w:r>
            <w:r>
              <w:rPr>
                <w:rFonts w:ascii="Times New Roman" w:hAnsi="Times New Roman"/>
                <w:b/>
              </w:rPr>
              <w:t>93</w:t>
            </w:r>
          </w:p>
        </w:tc>
        <w:tc>
          <w:tcPr>
            <w:tcW w:w="1500" w:type="dxa"/>
            <w:tcBorders>
              <w:top w:val="nil"/>
              <w:left w:val="nil"/>
              <w:bottom w:val="single" w:sz="4" w:space="0" w:color="auto"/>
              <w:right w:val="single" w:sz="4" w:space="0" w:color="auto"/>
            </w:tcBorders>
            <w:shd w:val="clear" w:color="auto" w:fill="000000"/>
            <w:textDirection w:val="lrTb"/>
            <w:vAlign w:val="top"/>
          </w:tcPr>
          <w:p w:rsidR="00C415DB" w:rsidRPr="003135C3" w:rsidP="00D6194D">
            <w:pPr>
              <w:bidi w:val="0"/>
              <w:jc w:val="center"/>
              <w:rPr>
                <w:rFonts w:ascii="Times New Roman" w:hAnsi="Times New Roman"/>
                <w:b/>
                <w:bCs/>
                <w:color w:val="FFFFFF"/>
              </w:rPr>
            </w:pPr>
            <w:r>
              <w:rPr>
                <w:rFonts w:ascii="Times New Roman" w:hAnsi="Times New Roman"/>
                <w:b/>
              </w:rPr>
              <w:t>29</w:t>
            </w:r>
            <w:r w:rsidRPr="003135C3">
              <w:rPr>
                <w:rFonts w:ascii="Times New Roman" w:hAnsi="Times New Roman"/>
                <w:b/>
              </w:rPr>
              <w:t>,0</w:t>
            </w:r>
            <w:r>
              <w:rPr>
                <w:rFonts w:ascii="Times New Roman" w:hAnsi="Times New Roman"/>
                <w:b/>
              </w:rPr>
              <w:t>2</w:t>
            </w:r>
          </w:p>
        </w:tc>
        <w:tc>
          <w:tcPr>
            <w:tcW w:w="1500" w:type="dxa"/>
            <w:tcBorders>
              <w:top w:val="nil"/>
              <w:left w:val="nil"/>
              <w:bottom w:val="single" w:sz="4" w:space="0" w:color="auto"/>
              <w:right w:val="single" w:sz="4" w:space="0" w:color="auto"/>
            </w:tcBorders>
            <w:shd w:val="clear" w:color="auto" w:fill="000000"/>
            <w:textDirection w:val="lrTb"/>
            <w:vAlign w:val="top"/>
          </w:tcPr>
          <w:p w:rsidR="00C415DB" w:rsidRPr="003135C3" w:rsidP="00D6194D">
            <w:pPr>
              <w:bidi w:val="0"/>
              <w:jc w:val="center"/>
              <w:rPr>
                <w:rFonts w:ascii="Times New Roman" w:hAnsi="Times New Roman"/>
                <w:b/>
                <w:bCs/>
                <w:color w:val="FFFFFF"/>
              </w:rPr>
            </w:pPr>
            <w:r>
              <w:rPr>
                <w:rFonts w:ascii="Times New Roman" w:hAnsi="Times New Roman"/>
                <w:b/>
              </w:rPr>
              <w:t>29</w:t>
            </w:r>
            <w:r w:rsidRPr="003135C3">
              <w:rPr>
                <w:rFonts w:ascii="Times New Roman" w:hAnsi="Times New Roman"/>
                <w:b/>
              </w:rPr>
              <w:t>,0</w:t>
            </w:r>
            <w:r>
              <w:rPr>
                <w:rFonts w:ascii="Times New Roman" w:hAnsi="Times New Roman"/>
                <w:b/>
              </w:rPr>
              <w:t>2</w:t>
            </w:r>
          </w:p>
        </w:tc>
        <w:tc>
          <w:tcPr>
            <w:tcW w:w="2161" w:type="dxa"/>
            <w:tcBorders>
              <w:top w:val="nil"/>
              <w:left w:val="nil"/>
              <w:bottom w:val="single" w:sz="4" w:space="0" w:color="auto"/>
              <w:right w:val="single" w:sz="4" w:space="0" w:color="auto"/>
            </w:tcBorders>
            <w:shd w:val="clear" w:color="auto" w:fill="000000"/>
            <w:noWrap/>
            <w:textDirection w:val="lrTb"/>
            <w:vAlign w:val="bottom"/>
          </w:tcPr>
          <w:p w:rsidR="00C415DB" w:rsidRPr="003135C3" w:rsidP="00D6194D">
            <w:pPr>
              <w:bidi w:val="0"/>
              <w:rPr>
                <w:rFonts w:ascii="Times New Roman" w:hAnsi="Times New Roman"/>
                <w:color w:val="FFFFFF"/>
              </w:rPr>
            </w:pPr>
            <w:r w:rsidRPr="003135C3">
              <w:rPr>
                <w:rFonts w:ascii="Times New Roman" w:hAnsi="Times New Roman"/>
                <w:color w:val="FFFFFF"/>
              </w:rPr>
              <w:t> </w:t>
            </w:r>
          </w:p>
        </w:tc>
      </w:tr>
    </w:tbl>
    <w:p w:rsidR="00C415DB" w:rsidRPr="003135C3" w:rsidP="00C415DB">
      <w:pPr>
        <w:pStyle w:val="BodyText"/>
        <w:tabs>
          <w:tab w:val="num" w:pos="1080"/>
        </w:tabs>
        <w:bidi w:val="0"/>
        <w:rPr>
          <w:rFonts w:ascii="Times New Roman" w:hAnsi="Times New Roman"/>
          <w:b/>
          <w:bCs/>
        </w:rPr>
      </w:pPr>
      <w:r w:rsidRPr="003135C3">
        <w:rPr>
          <w:rFonts w:ascii="Times New Roman" w:hAnsi="Times New Roman"/>
          <w:b/>
          <w:bCs/>
        </w:rPr>
        <w:t>1 –  príjmy rozpísať až do položiek platnej ekonomickej klasifikácie</w:t>
      </w:r>
    </w:p>
    <w:p w:rsidR="00C415DB" w:rsidRPr="003135C3" w:rsidP="00C415DB">
      <w:pPr>
        <w:pStyle w:val="BodyText"/>
        <w:tabs>
          <w:tab w:val="num" w:pos="1080"/>
        </w:tabs>
        <w:bidi w:val="0"/>
        <w:rPr>
          <w:rFonts w:ascii="Times New Roman" w:hAnsi="Times New Roman"/>
          <w:b/>
          <w:bCs/>
        </w:rPr>
      </w:pPr>
    </w:p>
    <w:p w:rsidR="00C415DB" w:rsidRPr="003135C3" w:rsidP="00C415DB">
      <w:pPr>
        <w:pStyle w:val="BodyText"/>
        <w:tabs>
          <w:tab w:val="num" w:pos="1080"/>
        </w:tabs>
        <w:bidi w:val="0"/>
        <w:rPr>
          <w:rFonts w:ascii="Times New Roman" w:hAnsi="Times New Roman"/>
          <w:b/>
          <w:bCs/>
        </w:rPr>
      </w:pPr>
      <w:r w:rsidRPr="003135C3">
        <w:rPr>
          <w:rFonts w:ascii="Times New Roman" w:hAnsi="Times New Roman"/>
          <w:b/>
          <w:bCs/>
        </w:rPr>
        <w:t>Návrh zákona nemá vplyv na výdavkovú časť rozpočtu verejnej správy, z toho dôvodu sa tabuľka vplyvu na rozpočet verejnej správy - výdavková časť (tabuľka č. 5) nepredkladá.</w:t>
      </w:r>
    </w:p>
    <w:p w:rsidR="00C415DB" w:rsidRPr="003135C3" w:rsidP="00C415DB">
      <w:pPr>
        <w:pStyle w:val="BodyText"/>
        <w:tabs>
          <w:tab w:val="num" w:pos="1080"/>
        </w:tabs>
        <w:bidi w:val="0"/>
        <w:rPr>
          <w:rFonts w:ascii="Times New Roman" w:hAnsi="Times New Roman"/>
          <w:b/>
          <w:bCs/>
        </w:rPr>
      </w:pPr>
    </w:p>
    <w:p w:rsidR="00C415DB" w:rsidRPr="003135C3" w:rsidP="00C415DB">
      <w:pPr>
        <w:pStyle w:val="BodyText"/>
        <w:tabs>
          <w:tab w:val="num" w:pos="1080"/>
        </w:tabs>
        <w:bidi w:val="0"/>
        <w:rPr>
          <w:rFonts w:ascii="Times New Roman" w:hAnsi="Times New Roman"/>
          <w:b/>
          <w:bCs/>
        </w:rPr>
      </w:pPr>
      <w:r w:rsidRPr="003135C3">
        <w:rPr>
          <w:rFonts w:ascii="Times New Roman" w:hAnsi="Times New Roman"/>
          <w:b/>
          <w:bCs/>
        </w:rPr>
        <w:t>Návrh zákona nemá vplyv na zamestnanosť vo verejnej správe, z toho dôvodu sa tabuľka vplyvov na zamestnanosť (tabuľka č. 6) nepredkladá</w:t>
      </w:r>
    </w:p>
    <w:p w:rsidR="00C415DB" w:rsidP="00C415DB">
      <w:pPr>
        <w:tabs>
          <w:tab w:val="left" w:pos="1280"/>
        </w:tabs>
        <w:bidi w:val="0"/>
        <w:rPr>
          <w:rFonts w:ascii="Times New Roman" w:hAnsi="Times New Roman"/>
        </w:rPr>
      </w:pPr>
    </w:p>
    <w:p w:rsidR="00C415DB" w:rsidRPr="003135C3" w:rsidP="00C415DB">
      <w:pPr>
        <w:tabs>
          <w:tab w:val="left" w:pos="1280"/>
        </w:tabs>
        <w:bidi w:val="0"/>
        <w:rPr>
          <w:rFonts w:ascii="Times New Roman" w:hAnsi="Times New Roman"/>
        </w:rPr>
        <w:sectPr>
          <w:pgSz w:w="16838" w:h="11906" w:orient="landscape"/>
          <w:pgMar w:top="1418" w:right="1418" w:bottom="1418" w:left="1418" w:header="709" w:footer="709" w:gutter="0"/>
          <w:lnNumType w:distance="0"/>
          <w:cols w:space="708"/>
          <w:noEndnote w:val="0"/>
          <w:bidi w:val="0"/>
          <w:docGrid w:linePitch="360"/>
        </w:sectPr>
      </w:pPr>
    </w:p>
    <w:p w:rsidR="00C415DB" w:rsidRPr="003135C3" w:rsidP="00C415DB">
      <w:pPr>
        <w:bidi w:val="0"/>
        <w:jc w:val="center"/>
        <w:rPr>
          <w:rFonts w:ascii="Times New Roman" w:hAnsi="Times New Roman"/>
          <w:b/>
          <w:bCs/>
        </w:rPr>
      </w:pPr>
      <w:r w:rsidRPr="003135C3">
        <w:rPr>
          <w:rFonts w:ascii="Times New Roman" w:hAnsi="Times New Roman"/>
          <w:b/>
          <w:bCs/>
        </w:rPr>
        <w:t>Vplyvy na podnikateľské prostredie</w:t>
      </w:r>
    </w:p>
    <w:p w:rsidR="00C415DB" w:rsidRPr="003135C3" w:rsidP="00C415DB">
      <w:pPr>
        <w:bidi w:val="0"/>
        <w:rPr>
          <w:rFonts w:ascii="Times New Roman" w:hAnsi="Times New Roman"/>
          <w:b/>
          <w:bCs/>
        </w:rPr>
      </w:pPr>
    </w:p>
    <w:p w:rsidR="00C415DB" w:rsidRPr="003135C3" w:rsidP="00C415DB">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C415DB" w:rsidRPr="003135C3" w:rsidP="00D6194D">
            <w:pPr>
              <w:bidi w:val="0"/>
              <w:jc w:val="center"/>
              <w:rPr>
                <w:rFonts w:ascii="Times New Roman" w:hAnsi="Times New Roman"/>
                <w:b/>
                <w:bCs/>
                <w:color w:val="FFFFFF"/>
              </w:rPr>
            </w:pPr>
            <w:r w:rsidRPr="003135C3">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415DB" w:rsidRPr="003135C3" w:rsidP="00D6194D">
            <w:pPr>
              <w:bidi w:val="0"/>
              <w:jc w:val="both"/>
              <w:rPr>
                <w:rFonts w:ascii="Times New Roman" w:hAnsi="Times New Roman"/>
              </w:rPr>
            </w:pPr>
          </w:p>
          <w:p w:rsidR="00C415DB" w:rsidRPr="003135C3" w:rsidP="00D6194D">
            <w:pPr>
              <w:bidi w:val="0"/>
              <w:jc w:val="both"/>
              <w:rPr>
                <w:rFonts w:ascii="Times New Roman" w:hAnsi="Times New Roman"/>
              </w:rPr>
            </w:pPr>
            <w:r w:rsidRPr="003135C3">
              <w:rPr>
                <w:rFonts w:ascii="Times New Roman" w:hAnsi="Times New Roman"/>
                <w:b/>
              </w:rPr>
              <w:t>3.1</w:t>
            </w:r>
            <w:r w:rsidRPr="003135C3">
              <w:rPr>
                <w:rFonts w:ascii="Times New Roman" w:hAnsi="Times New Roman"/>
              </w:rPr>
              <w:t xml:space="preserve">. Ktoré podnikateľské subjekty budú predkladaným návrhom ovplyvnené a aký je ich počet? </w:t>
            </w:r>
          </w:p>
        </w:tc>
        <w:tc>
          <w:tcPr>
            <w:tcW w:w="5040" w:type="dxa"/>
            <w:tcBorders>
              <w:top w:val="nil"/>
              <w:left w:val="nil"/>
              <w:bottom w:val="single" w:sz="4" w:space="0" w:color="auto"/>
              <w:right w:val="single" w:sz="8" w:space="0" w:color="auto"/>
            </w:tcBorders>
            <w:noWrap/>
            <w:textDirection w:val="lrTb"/>
            <w:vAlign w:val="center"/>
          </w:tcPr>
          <w:p w:rsidR="00C415DB" w:rsidRPr="003135C3" w:rsidP="00D6194D">
            <w:pPr>
              <w:autoSpaceDE w:val="0"/>
              <w:autoSpaceDN w:val="0"/>
              <w:bidi w:val="0"/>
              <w:jc w:val="both"/>
              <w:rPr>
                <w:rFonts w:ascii="Times New Roman" w:hAnsi="Times New Roman"/>
              </w:rPr>
            </w:pPr>
          </w:p>
          <w:p w:rsidR="00C415DB" w:rsidRPr="003135C3" w:rsidP="00D6194D">
            <w:pPr>
              <w:autoSpaceDE w:val="0"/>
              <w:autoSpaceDN w:val="0"/>
              <w:bidi w:val="0"/>
              <w:jc w:val="both"/>
              <w:rPr>
                <w:rFonts w:ascii="Times New Roman" w:hAnsi="Times New Roman"/>
              </w:rPr>
            </w:pPr>
            <w:r w:rsidRPr="003135C3">
              <w:rPr>
                <w:rFonts w:ascii="Times New Roman" w:hAnsi="Times New Roman"/>
              </w:rPr>
              <w:t xml:space="preserve">Všeobecne sa predpokladá, že navrhované znenie zákona ovplyvní tie podnikateľské </w:t>
            </w:r>
            <w:r w:rsidRPr="004C1204">
              <w:rPr>
                <w:rFonts w:ascii="Times New Roman" w:hAnsi="Times New Roman"/>
              </w:rPr>
              <w:t>subjekty, ktoré obchodujú s  tabakovými výrobkami</w:t>
            </w:r>
            <w:r w:rsidRPr="003135C3">
              <w:rPr>
                <w:rFonts w:ascii="Times New Roman" w:hAnsi="Times New Roman"/>
              </w:rPr>
              <w:t xml:space="preserve"> a subjekty, ktoré odoberajú kontrolné známky od štá</w:t>
            </w:r>
            <w:r>
              <w:rPr>
                <w:rFonts w:ascii="Times New Roman" w:hAnsi="Times New Roman"/>
              </w:rPr>
              <w:t>tnej tlačiarne</w:t>
            </w:r>
            <w:r w:rsidRPr="003135C3">
              <w:rPr>
                <w:rFonts w:ascii="Times New Roman" w:hAnsi="Times New Roman"/>
              </w:rPr>
              <w:t>. Počet dotknutých subjektov nie je možné určiť.</w:t>
            </w:r>
          </w:p>
          <w:p w:rsidR="00C415DB" w:rsidRPr="003135C3" w:rsidP="00D6194D">
            <w:pPr>
              <w:autoSpaceDE w:val="0"/>
              <w:autoSpaceDN w:val="0"/>
              <w:bidi w:val="0"/>
              <w:jc w:val="both"/>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415DB" w:rsidRPr="003135C3" w:rsidP="00D6194D">
            <w:pPr>
              <w:bidi w:val="0"/>
              <w:jc w:val="both"/>
              <w:rPr>
                <w:rFonts w:ascii="Times New Roman" w:hAnsi="Times New Roman"/>
              </w:rPr>
            </w:pPr>
            <w:r w:rsidRPr="003135C3">
              <w:rPr>
                <w:rFonts w:ascii="Times New Roman" w:hAnsi="Times New Roman"/>
                <w:b/>
              </w:rPr>
              <w:t>3.2</w:t>
            </w:r>
            <w:r w:rsidRPr="003135C3">
              <w:rPr>
                <w:rFonts w:ascii="Times New Roman" w:hAnsi="Times New Roman"/>
              </w:rPr>
              <w:t>. Aký je predpokladaný charakter a rozsah nákladov a prínosov?</w:t>
            </w:r>
          </w:p>
        </w:tc>
        <w:tc>
          <w:tcPr>
            <w:tcW w:w="5040" w:type="dxa"/>
            <w:tcBorders>
              <w:top w:val="nil"/>
              <w:left w:val="nil"/>
              <w:bottom w:val="single" w:sz="4" w:space="0" w:color="auto"/>
              <w:right w:val="single" w:sz="8" w:space="0" w:color="auto"/>
            </w:tcBorders>
            <w:noWrap/>
            <w:textDirection w:val="lrTb"/>
            <w:vAlign w:val="center"/>
          </w:tcPr>
          <w:p w:rsidR="00C415DB" w:rsidRPr="003135C3" w:rsidP="00D6194D">
            <w:pPr>
              <w:bidi w:val="0"/>
              <w:jc w:val="both"/>
              <w:rPr>
                <w:rFonts w:ascii="Times New Roman" w:hAnsi="Times New Roman"/>
                <w:lang w:val="pt-BR"/>
              </w:rPr>
            </w:pPr>
          </w:p>
          <w:p w:rsidR="00C415DB" w:rsidRPr="003135C3" w:rsidP="00D6194D">
            <w:pPr>
              <w:bidi w:val="0"/>
              <w:jc w:val="both"/>
              <w:rPr>
                <w:rFonts w:ascii="Times New Roman" w:hAnsi="Times New Roman"/>
              </w:rPr>
            </w:pPr>
            <w:r w:rsidRPr="003135C3">
              <w:rPr>
                <w:rFonts w:ascii="Times New Roman" w:hAnsi="Times New Roman"/>
                <w:lang w:val="pt-BR"/>
              </w:rPr>
              <w:t xml:space="preserve">Predpokladajú sa zvýšené náklady pre tie </w:t>
            </w:r>
            <w:r w:rsidRPr="003135C3">
              <w:rPr>
                <w:rFonts w:ascii="Times New Roman" w:hAnsi="Times New Roman"/>
              </w:rPr>
              <w:t xml:space="preserve">podnikateľské subjekty, ktoré </w:t>
            </w:r>
            <w:r w:rsidRPr="004C1204">
              <w:rPr>
                <w:rFonts w:ascii="Times New Roman" w:hAnsi="Times New Roman"/>
              </w:rPr>
              <w:t>obchodujú s  tabakovými výrobkami.</w:t>
            </w:r>
          </w:p>
          <w:p w:rsidR="00C415DB" w:rsidRPr="003135C3" w:rsidP="00D6194D">
            <w:pPr>
              <w:bidi w:val="0"/>
              <w:jc w:val="both"/>
              <w:rPr>
                <w:rFonts w:ascii="Times New Roman" w:hAnsi="Times New Roman"/>
                <w:lang w:val="pt-BR"/>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415DB" w:rsidRPr="003135C3" w:rsidP="00D6194D">
            <w:pPr>
              <w:bidi w:val="0"/>
              <w:jc w:val="both"/>
              <w:rPr>
                <w:rFonts w:ascii="Times New Roman" w:hAnsi="Times New Roman"/>
                <w:b/>
              </w:rPr>
            </w:pPr>
          </w:p>
          <w:p w:rsidR="00C415DB" w:rsidRPr="003135C3" w:rsidP="00D6194D">
            <w:pPr>
              <w:bidi w:val="0"/>
              <w:jc w:val="both"/>
              <w:rPr>
                <w:rFonts w:ascii="Times New Roman" w:hAnsi="Times New Roman"/>
              </w:rPr>
            </w:pPr>
            <w:r w:rsidRPr="003135C3">
              <w:rPr>
                <w:rFonts w:ascii="Times New Roman" w:hAnsi="Times New Roman"/>
                <w:b/>
              </w:rPr>
              <w:t>3.3</w:t>
            </w:r>
            <w:r w:rsidRPr="003135C3">
              <w:rPr>
                <w:rFonts w:ascii="Times New Roman" w:hAnsi="Times New Roman"/>
              </w:rPr>
              <w:t>. Aká je predpokladaná výška administratívnych nákladov, ktoré podniky vynaložia v súvislosti s implementáciou návrhu?</w:t>
            </w:r>
          </w:p>
          <w:p w:rsidR="00C415DB" w:rsidRPr="003135C3" w:rsidP="00D6194D">
            <w:pPr>
              <w:bidi w:val="0"/>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415DB" w:rsidRPr="003135C3" w:rsidP="00D6194D">
            <w:pPr>
              <w:bidi w:val="0"/>
              <w:jc w:val="both"/>
              <w:rPr>
                <w:rFonts w:ascii="Times New Roman" w:hAnsi="Times New Roman"/>
              </w:rPr>
            </w:pPr>
            <w:r w:rsidRPr="003135C3">
              <w:rPr>
                <w:rFonts w:ascii="Times New Roman" w:hAnsi="Times New Roman"/>
              </w:rPr>
              <w:t xml:space="preserve">V súvislosti s úpravou týkajúcich sa vedenia evidencie kontrolných známok sa predpokladá zníženie administratívnych nákladov pre odberateľov kontrolných známok. Tento dopad však nie možné vyčísliť.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C415DB" w:rsidRPr="003135C3" w:rsidP="00D6194D">
            <w:pPr>
              <w:bidi w:val="0"/>
              <w:jc w:val="both"/>
              <w:rPr>
                <w:rFonts w:ascii="Times New Roman" w:hAnsi="Times New Roman"/>
              </w:rPr>
            </w:pPr>
          </w:p>
          <w:p w:rsidR="00C415DB" w:rsidRPr="003135C3" w:rsidP="00D6194D">
            <w:pPr>
              <w:bidi w:val="0"/>
              <w:jc w:val="both"/>
              <w:rPr>
                <w:rFonts w:ascii="Times New Roman" w:hAnsi="Times New Roman"/>
              </w:rPr>
            </w:pPr>
            <w:r w:rsidRPr="003135C3">
              <w:rPr>
                <w:rFonts w:ascii="Times New Roman" w:hAnsi="Times New Roman"/>
                <w:b/>
              </w:rPr>
              <w:t>3.4</w:t>
            </w:r>
            <w:r w:rsidRPr="003135C3">
              <w:rPr>
                <w:rFonts w:ascii="Times New Roman" w:hAnsi="Times New Roman"/>
              </w:rPr>
              <w:t>. Aké sú dôsledky pripravovaného návrhu pre fungovanie podnikateľských subjektov na slovenskom trhu (ako sa zmenia operácie na trhu ?)</w:t>
            </w:r>
          </w:p>
          <w:p w:rsidR="00C415DB" w:rsidRPr="003135C3" w:rsidP="00D6194D">
            <w:pPr>
              <w:bidi w:val="0"/>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415DB" w:rsidRPr="003135C3" w:rsidP="00D6194D">
            <w:pPr>
              <w:bidi w:val="0"/>
              <w:jc w:val="both"/>
              <w:rPr>
                <w:rFonts w:ascii="Times New Roman" w:hAnsi="Times New Roman"/>
                <w:bCs/>
              </w:rPr>
            </w:pPr>
            <w:r w:rsidRPr="003135C3">
              <w:rPr>
                <w:rFonts w:ascii="Times New Roman" w:hAnsi="Times New Roman"/>
              </w:rPr>
              <w:t>Nepredpokladajú sa žiadne dôsledky pre fungovanie podnikateľských subjektov na slovenskom trhu.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415DB" w:rsidRPr="003135C3" w:rsidP="00D6194D">
            <w:pPr>
              <w:bidi w:val="0"/>
              <w:jc w:val="both"/>
              <w:rPr>
                <w:rFonts w:ascii="Times New Roman" w:hAnsi="Times New Roman"/>
              </w:rPr>
            </w:pPr>
          </w:p>
          <w:p w:rsidR="00C415DB" w:rsidRPr="003135C3" w:rsidP="00D6194D">
            <w:pPr>
              <w:bidi w:val="0"/>
              <w:jc w:val="both"/>
              <w:rPr>
                <w:rFonts w:ascii="Times New Roman" w:hAnsi="Times New Roman"/>
              </w:rPr>
            </w:pPr>
            <w:r w:rsidRPr="003135C3">
              <w:rPr>
                <w:rFonts w:ascii="Times New Roman" w:hAnsi="Times New Roman"/>
                <w:b/>
              </w:rPr>
              <w:t>3.5</w:t>
            </w:r>
            <w:r w:rsidRPr="003135C3">
              <w:rPr>
                <w:rFonts w:ascii="Times New Roman" w:hAnsi="Times New Roman"/>
              </w:rPr>
              <w:t>. Aké sú predpokladané spoločensko-ekonomické dôsledky pripravovaných regulácií?</w:t>
            </w:r>
          </w:p>
          <w:p w:rsidR="00C415DB" w:rsidRPr="003135C3" w:rsidP="00D6194D">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415DB" w:rsidRPr="003135C3" w:rsidP="00D6194D">
            <w:pPr>
              <w:bidi w:val="0"/>
              <w:jc w:val="both"/>
              <w:rPr>
                <w:rFonts w:ascii="Times New Roman" w:hAnsi="Times New Roman"/>
              </w:rPr>
            </w:pPr>
            <w:r w:rsidRPr="003135C3">
              <w:rPr>
                <w:rFonts w:ascii="Times New Roman" w:hAnsi="Times New Roman"/>
              </w:rPr>
              <w:t>Je predpoklad, že úprava zdaňovania cigár a cigariek bude mať negatívny dopad na ich konečnú cenu.</w:t>
            </w:r>
          </w:p>
        </w:tc>
      </w:tr>
    </w:tbl>
    <w:p w:rsidR="00C415DB" w:rsidRPr="003135C3" w:rsidP="00C415DB">
      <w:pPr>
        <w:bidi w:val="0"/>
        <w:rPr>
          <w:rFonts w:ascii="Times New Roman" w:hAnsi="Times New Roman"/>
        </w:rPr>
      </w:pPr>
    </w:p>
    <w:p w:rsidR="00C415DB" w:rsidP="00C415DB">
      <w:pPr>
        <w:bidi w:val="0"/>
        <w:rPr>
          <w:rFonts w:ascii="Times New Roman" w:hAnsi="Times New Roman"/>
        </w:rPr>
      </w:pPr>
    </w:p>
    <w:p w:rsidR="00C415DB" w:rsidP="00C415DB">
      <w:pPr>
        <w:bidi w:val="0"/>
        <w:rPr>
          <w:rFonts w:ascii="Times New Roman" w:hAnsi="Times New Roman"/>
        </w:rPr>
      </w:pPr>
    </w:p>
    <w:p w:rsidR="00C415DB" w:rsidP="00C415DB">
      <w:pPr>
        <w:bidi w:val="0"/>
        <w:rPr>
          <w:rFonts w:ascii="Times New Roman" w:hAnsi="Times New Roman"/>
        </w:rPr>
      </w:pPr>
    </w:p>
    <w:p w:rsidR="00C415DB" w:rsidP="00C415DB">
      <w:pPr>
        <w:bidi w:val="0"/>
        <w:rPr>
          <w:rFonts w:ascii="Times New Roman" w:hAnsi="Times New Roman"/>
        </w:rPr>
      </w:pPr>
    </w:p>
    <w:p w:rsidR="00C415DB" w:rsidP="00C415DB">
      <w:pPr>
        <w:bidi w:val="0"/>
        <w:rPr>
          <w:rFonts w:ascii="Times New Roman" w:hAnsi="Times New Roman"/>
        </w:rPr>
      </w:pPr>
    </w:p>
    <w:p w:rsidR="00C415DB" w:rsidP="00C415DB">
      <w:pPr>
        <w:bidi w:val="0"/>
        <w:rPr>
          <w:rFonts w:ascii="Times New Roman" w:hAnsi="Times New Roman"/>
        </w:rPr>
      </w:pPr>
    </w:p>
    <w:p w:rsidR="00C415DB" w:rsidP="00C415DB">
      <w:pPr>
        <w:bidi w:val="0"/>
        <w:rPr>
          <w:rFonts w:ascii="Times New Roman" w:hAnsi="Times New Roman"/>
        </w:rPr>
      </w:pPr>
    </w:p>
    <w:p w:rsidR="00C415DB" w:rsidP="00C415DB">
      <w:pPr>
        <w:bidi w:val="0"/>
        <w:rPr>
          <w:rFonts w:ascii="Times New Roman" w:hAnsi="Times New Roman"/>
        </w:rPr>
      </w:pPr>
    </w:p>
    <w:p w:rsidR="00C415DB" w:rsidP="00C415DB">
      <w:pPr>
        <w:bidi w:val="0"/>
        <w:rPr>
          <w:rFonts w:ascii="Times New Roman" w:hAnsi="Times New Roman"/>
        </w:rPr>
      </w:pPr>
    </w:p>
    <w:p w:rsidR="00C415DB" w:rsidRPr="00C415DB" w:rsidP="00C415DB">
      <w:pPr>
        <w:bidi w:val="0"/>
        <w:rPr>
          <w:rFonts w:ascii="Times New Roman" w:hAnsi="Times New Roman"/>
        </w:rPr>
      </w:pPr>
    </w:p>
    <w:p w:rsidR="00C415DB" w:rsidRPr="00C415DB" w:rsidP="00C415DB">
      <w:pPr>
        <w:pStyle w:val="Title"/>
        <w:bidi w:val="0"/>
        <w:rPr>
          <w:rFonts w:ascii="Times New Roman" w:hAnsi="Times New Roman"/>
        </w:rPr>
      </w:pPr>
      <w:r w:rsidRPr="00C415DB">
        <w:rPr>
          <w:rFonts w:ascii="Times New Roman" w:hAnsi="Times New Roman"/>
        </w:rPr>
        <w:t>DOLOŽKA  ZLUČITEĽNOSTI</w:t>
      </w:r>
    </w:p>
    <w:p w:rsidR="00C415DB" w:rsidRPr="00C415DB" w:rsidP="00C415DB">
      <w:pPr>
        <w:pStyle w:val="Zkladntext"/>
        <w:pBdr>
          <w:bottom w:val="single" w:sz="12" w:space="1" w:color="auto"/>
        </w:pBdr>
        <w:bidi w:val="0"/>
        <w:jc w:val="center"/>
        <w:rPr>
          <w:rFonts w:ascii="Times New Roman" w:hAnsi="Times New Roman" w:cs="Times New Roman"/>
          <w:b/>
        </w:rPr>
      </w:pPr>
      <w:r w:rsidRPr="00C415DB">
        <w:rPr>
          <w:rFonts w:ascii="Times New Roman" w:hAnsi="Times New Roman" w:cs="Times New Roman"/>
          <w:b/>
        </w:rPr>
        <w:t>návrhu zákona, ktorým sa mení a dopĺňa zákon č. 106/2004 Z. z. o spotrebnej dani z tabakových v</w:t>
      </w:r>
      <w:r w:rsidRPr="00C415DB">
        <w:rPr>
          <w:rFonts w:ascii="Times New Roman" w:hAnsi="Times New Roman" w:cs="Times New Roman"/>
          <w:b/>
        </w:rPr>
        <w:t>ý</w:t>
      </w:r>
      <w:r w:rsidRPr="00C415DB">
        <w:rPr>
          <w:rFonts w:ascii="Times New Roman" w:hAnsi="Times New Roman" w:cs="Times New Roman"/>
          <w:b/>
        </w:rPr>
        <w:t>robkov v znení neskorších predpisov</w:t>
      </w:r>
      <w:r w:rsidRPr="00C415DB">
        <w:rPr>
          <w:rFonts w:ascii="Times New Roman" w:hAnsi="Times New Roman" w:cs="Times New Roman"/>
          <w:b/>
          <w:bCs/>
        </w:rPr>
        <w:t xml:space="preserve"> a ktorým sa mení a dopĺňa zákon              č. 377/2004 Z. z. o ochrane nefajčiarov a o zmene a doplnení niektorých zákonov v znení neskorších predpisov </w:t>
      </w:r>
      <w:r w:rsidRPr="00C415DB">
        <w:rPr>
          <w:rFonts w:ascii="Times New Roman" w:hAnsi="Times New Roman" w:cs="Times New Roman"/>
          <w:b/>
        </w:rPr>
        <w:t>s právom Európskej únie</w:t>
      </w:r>
    </w:p>
    <w:p w:rsidR="00C415DB" w:rsidRPr="00C415DB" w:rsidP="00C415DB">
      <w:pPr>
        <w:pStyle w:val="Zkladntext0"/>
        <w:tabs>
          <w:tab w:val="left" w:pos="284"/>
        </w:tabs>
        <w:bidi w:val="0"/>
        <w:spacing w:before="120"/>
        <w:rPr>
          <w:rFonts w:ascii="Times New Roman" w:hAnsi="Times New Roman"/>
          <w:b/>
          <w:bCs/>
          <w:sz w:val="24"/>
          <w:szCs w:val="24"/>
        </w:rPr>
      </w:pPr>
      <w:r w:rsidRPr="00C415DB">
        <w:rPr>
          <w:rFonts w:ascii="Times New Roman" w:hAnsi="Times New Roman"/>
          <w:b/>
          <w:bCs/>
          <w:sz w:val="24"/>
          <w:szCs w:val="24"/>
        </w:rPr>
        <w:t>1.</w:t>
        <w:tab/>
        <w:t xml:space="preserve">Predkladateľ zákona: </w:t>
      </w:r>
    </w:p>
    <w:p w:rsidR="00C415DB" w:rsidRPr="00C415DB" w:rsidP="00C415DB">
      <w:pPr>
        <w:pStyle w:val="Zkladntext0"/>
        <w:bidi w:val="0"/>
        <w:spacing w:before="120"/>
        <w:ind w:left="284"/>
        <w:jc w:val="both"/>
        <w:rPr>
          <w:rFonts w:ascii="Times New Roman" w:hAnsi="Times New Roman"/>
          <w:sz w:val="24"/>
          <w:szCs w:val="24"/>
        </w:rPr>
      </w:pPr>
      <w:r w:rsidRPr="00C415DB">
        <w:rPr>
          <w:rFonts w:ascii="Times New Roman" w:hAnsi="Times New Roman"/>
          <w:sz w:val="24"/>
          <w:szCs w:val="24"/>
        </w:rPr>
        <w:t>Vláda Slovenskej republiky.</w:t>
      </w:r>
    </w:p>
    <w:p w:rsidR="00C415DB" w:rsidRPr="00C415DB" w:rsidP="00C415DB">
      <w:pPr>
        <w:pStyle w:val="Zkladntext0"/>
        <w:numPr>
          <w:ilvl w:val="0"/>
          <w:numId w:val="4"/>
        </w:numPr>
        <w:tabs>
          <w:tab w:val="left" w:pos="284"/>
          <w:tab w:val="clear" w:pos="360"/>
        </w:tabs>
        <w:bidi w:val="0"/>
        <w:spacing w:before="120" w:after="120"/>
        <w:ind w:left="0" w:firstLine="0"/>
        <w:jc w:val="both"/>
        <w:rPr>
          <w:rFonts w:ascii="Times New Roman" w:hAnsi="Times New Roman"/>
          <w:b/>
          <w:bCs/>
          <w:sz w:val="24"/>
          <w:szCs w:val="24"/>
        </w:rPr>
      </w:pPr>
      <w:r w:rsidRPr="00C415DB">
        <w:rPr>
          <w:rFonts w:ascii="Times New Roman" w:hAnsi="Times New Roman"/>
          <w:b/>
          <w:bCs/>
          <w:sz w:val="24"/>
          <w:szCs w:val="24"/>
        </w:rPr>
        <w:t xml:space="preserve">Názov návrhu zákona: </w:t>
      </w:r>
    </w:p>
    <w:p w:rsidR="00C415DB" w:rsidRPr="00C415DB" w:rsidP="00C415DB">
      <w:pPr>
        <w:pStyle w:val="Zkladntext"/>
        <w:bidi w:val="0"/>
        <w:ind w:left="284"/>
        <w:jc w:val="both"/>
        <w:rPr>
          <w:rFonts w:ascii="Times New Roman" w:hAnsi="Times New Roman" w:cs="Times New Roman"/>
          <w:b/>
        </w:rPr>
      </w:pPr>
      <w:r w:rsidRPr="00C415DB">
        <w:rPr>
          <w:rFonts w:ascii="Times New Roman" w:hAnsi="Times New Roman" w:cs="Times New Roman"/>
        </w:rPr>
        <w:t>Návrh zákona, ktorým sa mení a dopĺňa zákon č. 106/2004 Z. z. o spotrebnej dani z tabakových v</w:t>
      </w:r>
      <w:r w:rsidRPr="00C415DB">
        <w:rPr>
          <w:rFonts w:ascii="Times New Roman" w:hAnsi="Times New Roman" w:cs="Times New Roman"/>
        </w:rPr>
        <w:t>ý</w:t>
      </w:r>
      <w:r w:rsidRPr="00C415DB">
        <w:rPr>
          <w:rFonts w:ascii="Times New Roman" w:hAnsi="Times New Roman" w:cs="Times New Roman"/>
        </w:rPr>
        <w:t>robkov v znení neskorších predpisov</w:t>
      </w:r>
      <w:r w:rsidRPr="00C415DB">
        <w:rPr>
          <w:rFonts w:ascii="Times New Roman" w:hAnsi="Times New Roman" w:cs="Times New Roman"/>
          <w:bCs/>
        </w:rPr>
        <w:t>.</w:t>
      </w:r>
    </w:p>
    <w:p w:rsidR="00C415DB" w:rsidRPr="00C415DB" w:rsidP="00C415DB">
      <w:pPr>
        <w:pStyle w:val="Zkladntext0"/>
        <w:numPr>
          <w:ilvl w:val="0"/>
          <w:numId w:val="4"/>
        </w:numPr>
        <w:tabs>
          <w:tab w:val="left" w:pos="284"/>
          <w:tab w:val="clear" w:pos="360"/>
        </w:tabs>
        <w:bidi w:val="0"/>
        <w:spacing w:before="120" w:after="120"/>
        <w:ind w:left="0" w:firstLine="0"/>
        <w:jc w:val="both"/>
        <w:rPr>
          <w:rFonts w:ascii="Times New Roman" w:hAnsi="Times New Roman"/>
          <w:b/>
          <w:bCs/>
          <w:sz w:val="24"/>
          <w:szCs w:val="24"/>
        </w:rPr>
      </w:pPr>
      <w:r w:rsidRPr="00C415DB">
        <w:rPr>
          <w:rFonts w:ascii="Times New Roman" w:hAnsi="Times New Roman"/>
          <w:b/>
          <w:bCs/>
          <w:sz w:val="24"/>
          <w:szCs w:val="24"/>
        </w:rPr>
        <w:t>Problematika návrhu zákona:</w:t>
      </w:r>
    </w:p>
    <w:p w:rsidR="00C415DB" w:rsidRPr="00C415DB" w:rsidP="00C415DB">
      <w:pPr>
        <w:pStyle w:val="Zkladntext0"/>
        <w:numPr>
          <w:numId w:val="5"/>
        </w:numPr>
        <w:bidi w:val="0"/>
        <w:spacing w:after="120"/>
        <w:ind w:left="641" w:hanging="357"/>
        <w:rPr>
          <w:rFonts w:ascii="Times New Roman" w:hAnsi="Times New Roman"/>
          <w:sz w:val="24"/>
          <w:szCs w:val="24"/>
        </w:rPr>
      </w:pPr>
      <w:r w:rsidRPr="00C415DB">
        <w:rPr>
          <w:rFonts w:ascii="Times New Roman" w:hAnsi="Times New Roman"/>
          <w:sz w:val="24"/>
          <w:szCs w:val="24"/>
        </w:rPr>
        <w:t>je upravená v práve Európskej únie:</w:t>
      </w:r>
    </w:p>
    <w:p w:rsidR="00C415DB" w:rsidRPr="00C415DB" w:rsidP="00C415DB">
      <w:pPr>
        <w:pStyle w:val="Zkladntext0"/>
        <w:bidi w:val="0"/>
        <w:spacing w:after="120"/>
        <w:ind w:left="284"/>
        <w:rPr>
          <w:rFonts w:ascii="Times New Roman" w:hAnsi="Times New Roman"/>
          <w:b/>
          <w:sz w:val="24"/>
          <w:szCs w:val="24"/>
        </w:rPr>
      </w:pPr>
      <w:r w:rsidRPr="00C415DB">
        <w:rPr>
          <w:rFonts w:ascii="Times New Roman" w:hAnsi="Times New Roman"/>
          <w:b/>
          <w:sz w:val="24"/>
          <w:szCs w:val="24"/>
        </w:rPr>
        <w:t>Primárne právo:</w:t>
      </w:r>
    </w:p>
    <w:p w:rsidR="00C415DB" w:rsidRPr="00C415DB" w:rsidP="00C415DB">
      <w:pPr>
        <w:pStyle w:val="Zkladntext0"/>
        <w:numPr>
          <w:numId w:val="3"/>
        </w:numPr>
        <w:bidi w:val="0"/>
        <w:spacing w:after="120"/>
        <w:ind w:left="658" w:hanging="357"/>
        <w:rPr>
          <w:rFonts w:ascii="Times New Roman" w:hAnsi="Times New Roman"/>
          <w:sz w:val="24"/>
          <w:szCs w:val="24"/>
        </w:rPr>
      </w:pPr>
      <w:r w:rsidRPr="00C415DB">
        <w:rPr>
          <w:rFonts w:ascii="Times New Roman" w:hAnsi="Times New Roman"/>
          <w:sz w:val="24"/>
          <w:szCs w:val="24"/>
        </w:rPr>
        <w:t xml:space="preserve">čl. 106, 110 až 113 a čl. 355 Zmluvy o fungovaní Európskej únie, </w:t>
      </w:r>
    </w:p>
    <w:p w:rsidR="00C415DB" w:rsidRPr="00C415DB" w:rsidP="00C415DB">
      <w:pPr>
        <w:pStyle w:val="Zkladntext0"/>
        <w:numPr>
          <w:numId w:val="3"/>
        </w:numPr>
        <w:bidi w:val="0"/>
        <w:spacing w:after="120"/>
        <w:rPr>
          <w:rFonts w:ascii="Times New Roman" w:hAnsi="Times New Roman"/>
          <w:sz w:val="24"/>
          <w:szCs w:val="24"/>
        </w:rPr>
      </w:pPr>
      <w:r w:rsidRPr="00C415DB">
        <w:rPr>
          <w:rFonts w:ascii="Times New Roman" w:hAnsi="Times New Roman"/>
          <w:sz w:val="24"/>
          <w:szCs w:val="24"/>
        </w:rPr>
        <w:t>čl. 52 Zmluvy o Európskej únii.</w:t>
      </w:r>
    </w:p>
    <w:p w:rsidR="00C415DB" w:rsidRPr="00C415DB" w:rsidP="00C415DB">
      <w:pPr>
        <w:pStyle w:val="BodyTextIndent"/>
        <w:bidi w:val="0"/>
        <w:ind w:left="300"/>
        <w:jc w:val="both"/>
        <w:rPr>
          <w:rFonts w:ascii="Times New Roman" w:hAnsi="Times New Roman"/>
        </w:rPr>
      </w:pPr>
      <w:r w:rsidRPr="00C415DB">
        <w:rPr>
          <w:rFonts w:ascii="Times New Roman" w:hAnsi="Times New Roman"/>
          <w:b/>
          <w:bCs/>
          <w:iCs/>
        </w:rPr>
        <w:t>Sekundárne právo</w:t>
      </w:r>
      <w:r w:rsidRPr="00C415DB">
        <w:rPr>
          <w:rFonts w:ascii="Times New Roman" w:hAnsi="Times New Roman"/>
          <w:b/>
          <w:bCs/>
          <w:i/>
          <w:iCs/>
        </w:rPr>
        <w:t xml:space="preserve"> </w:t>
      </w:r>
      <w:r w:rsidRPr="00C415DB">
        <w:rPr>
          <w:rFonts w:ascii="Times New Roman" w:hAnsi="Times New Roman"/>
        </w:rPr>
        <w:t xml:space="preserve">(prijaté po nadobudnutí platnosti Lisabonskej zmluvy, ktorou sa mení </w:t>
      </w:r>
      <w:r w:rsidR="00896B85">
        <w:rPr>
          <w:rFonts w:ascii="Times New Roman" w:hAnsi="Times New Roman"/>
        </w:rPr>
        <w:t xml:space="preserve">              </w:t>
      </w:r>
      <w:r w:rsidRPr="00C415DB">
        <w:rPr>
          <w:rFonts w:ascii="Times New Roman" w:hAnsi="Times New Roman"/>
        </w:rPr>
        <w:t>a dopĺňa Zmluva o Európsk</w:t>
      </w:r>
      <w:r w:rsidRPr="00C415DB">
        <w:rPr>
          <w:rFonts w:ascii="Times New Roman" w:hAnsi="Times New Roman"/>
          <w:lang w:eastAsia="x-none"/>
        </w:rPr>
        <w:t>ej únii</w:t>
      </w:r>
      <w:r w:rsidRPr="00C415DB">
        <w:rPr>
          <w:rFonts w:ascii="Times New Roman" w:hAnsi="Times New Roman"/>
        </w:rPr>
        <w:t xml:space="preserve"> a Zmluva o Európsk</w:t>
      </w:r>
      <w:r w:rsidRPr="00C415DB">
        <w:rPr>
          <w:rFonts w:ascii="Times New Roman" w:hAnsi="Times New Roman"/>
          <w:lang w:eastAsia="x-none"/>
        </w:rPr>
        <w:t>om</w:t>
      </w:r>
      <w:r w:rsidRPr="00C415DB">
        <w:rPr>
          <w:rFonts w:ascii="Times New Roman" w:hAnsi="Times New Roman"/>
        </w:rPr>
        <w:t xml:space="preserve"> spoločenstve - po 30. novembri 2009):</w:t>
      </w:r>
    </w:p>
    <w:p w:rsidR="00C415DB" w:rsidRPr="00C415DB" w:rsidP="00C415DB">
      <w:pPr>
        <w:widowControl/>
        <w:numPr>
          <w:numId w:val="7"/>
        </w:numPr>
        <w:autoSpaceDE w:val="0"/>
        <w:autoSpaceDN w:val="0"/>
        <w:bidi w:val="0"/>
        <w:spacing w:before="120" w:after="120"/>
        <w:jc w:val="both"/>
        <w:rPr>
          <w:rFonts w:ascii="Times New Roman" w:hAnsi="Times New Roman"/>
          <w:bCs/>
          <w:iCs/>
          <w:u w:val="single"/>
        </w:rPr>
      </w:pPr>
      <w:r w:rsidRPr="00C415DB">
        <w:rPr>
          <w:rFonts w:ascii="Times New Roman" w:hAnsi="Times New Roman"/>
          <w:bCs/>
          <w:iCs/>
          <w:u w:val="single"/>
        </w:rPr>
        <w:t>legislatívne akty:</w:t>
      </w:r>
    </w:p>
    <w:p w:rsidR="00C415DB" w:rsidRPr="00C415DB" w:rsidP="00C415DB">
      <w:pPr>
        <w:widowControl/>
        <w:numPr>
          <w:numId w:val="3"/>
        </w:numPr>
        <w:bidi w:val="0"/>
        <w:adjustRightInd/>
        <w:spacing w:after="120"/>
        <w:jc w:val="both"/>
        <w:rPr>
          <w:rFonts w:ascii="Times New Roman" w:hAnsi="Times New Roman"/>
        </w:rPr>
      </w:pPr>
      <w:r w:rsidRPr="00C415DB">
        <w:rPr>
          <w:rFonts w:ascii="Times New Roman" w:hAnsi="Times New Roman"/>
          <w:bCs/>
        </w:rPr>
        <w:t xml:space="preserve">smernica Európskeho parlamentu a Rady </w:t>
      </w:r>
      <w:r w:rsidRPr="00C415DB">
        <w:rPr>
          <w:rFonts w:ascii="Times New Roman" w:hAnsi="Times New Roman"/>
          <w:bCs/>
          <w:u w:val="single"/>
        </w:rPr>
        <w:t>2014/40/EÚ</w:t>
      </w:r>
      <w:r w:rsidRPr="00C415DB">
        <w:rPr>
          <w:rFonts w:ascii="Times New Roman" w:hAnsi="Times New Roman"/>
          <w:bCs/>
        </w:rPr>
        <w:t xml:space="preserve"> z  3. apríla 2014 o aproximácii zákonov, iných právnych predpisov a správnych opatrení členských štátov týkajúcich sa výroby, prezentácie a predaja tabakových a súvisiacich výrobkov a o zrušení smernice 2001/37/ES (</w:t>
      </w:r>
      <w:r w:rsidRPr="00C415DB">
        <w:rPr>
          <w:rFonts w:ascii="Times New Roman" w:hAnsi="Times New Roman"/>
          <w:bCs/>
          <w:iCs/>
        </w:rPr>
        <w:t>Ú. v. EÚ L 127, 29.4.2014),</w:t>
      </w:r>
    </w:p>
    <w:p w:rsidR="00C415DB" w:rsidRPr="00C415DB" w:rsidP="00C415DB">
      <w:pPr>
        <w:widowControl/>
        <w:numPr>
          <w:numId w:val="3"/>
        </w:numPr>
        <w:bidi w:val="0"/>
        <w:adjustRightInd/>
        <w:spacing w:after="120"/>
        <w:jc w:val="both"/>
        <w:rPr>
          <w:rFonts w:ascii="Times New Roman" w:hAnsi="Times New Roman"/>
        </w:rPr>
      </w:pPr>
      <w:r w:rsidRPr="00C415DB">
        <w:rPr>
          <w:rFonts w:ascii="Times New Roman" w:hAnsi="Times New Roman"/>
          <w:bCs/>
        </w:rPr>
        <w:t>nariadenie Európskeho parlamentu a Rady (EÚ) č. </w:t>
      </w:r>
      <w:r w:rsidRPr="00C415DB">
        <w:rPr>
          <w:rFonts w:ascii="Times New Roman" w:hAnsi="Times New Roman"/>
          <w:bCs/>
          <w:u w:val="single"/>
        </w:rPr>
        <w:t>952/2013</w:t>
      </w:r>
      <w:r w:rsidRPr="00C415DB">
        <w:rPr>
          <w:rFonts w:ascii="Times New Roman" w:hAnsi="Times New Roman"/>
          <w:bCs/>
        </w:rPr>
        <w:t xml:space="preserve"> z  9. októbra 2013, ktorým sa ustanovuje Colný kódex Únie (</w:t>
      </w:r>
      <w:r w:rsidRPr="00C415DB">
        <w:rPr>
          <w:rFonts w:ascii="Times New Roman" w:hAnsi="Times New Roman"/>
          <w:bCs/>
          <w:iCs/>
        </w:rPr>
        <w:t>Ú. v. EÚ L 269, 10.10.2013),</w:t>
      </w:r>
    </w:p>
    <w:p w:rsidR="00C415DB" w:rsidRPr="00C415DB" w:rsidP="00C415DB">
      <w:pPr>
        <w:widowControl/>
        <w:numPr>
          <w:numId w:val="7"/>
        </w:numPr>
        <w:autoSpaceDE w:val="0"/>
        <w:autoSpaceDN w:val="0"/>
        <w:bidi w:val="0"/>
        <w:spacing w:before="120" w:after="120"/>
        <w:jc w:val="both"/>
        <w:rPr>
          <w:rFonts w:ascii="Times New Roman" w:hAnsi="Times New Roman"/>
          <w:bCs/>
          <w:iCs/>
          <w:u w:val="single"/>
        </w:rPr>
      </w:pPr>
      <w:r w:rsidRPr="00C415DB">
        <w:rPr>
          <w:rFonts w:ascii="Times New Roman" w:hAnsi="Times New Roman"/>
          <w:bCs/>
          <w:iCs/>
          <w:u w:val="single"/>
        </w:rPr>
        <w:t>nelegislatívne akty:</w:t>
      </w:r>
    </w:p>
    <w:p w:rsidR="00C415DB" w:rsidRPr="00222767" w:rsidP="00C415DB">
      <w:pPr>
        <w:widowControl/>
        <w:numPr>
          <w:numId w:val="3"/>
        </w:numPr>
        <w:bidi w:val="0"/>
        <w:adjustRightInd/>
        <w:spacing w:after="120"/>
        <w:jc w:val="both"/>
        <w:rPr>
          <w:rStyle w:val="Emphasis"/>
          <w:rFonts w:ascii="Times New Roman" w:hAnsi="Times New Roman"/>
          <w:i w:val="0"/>
        </w:rPr>
      </w:pPr>
      <w:r w:rsidRPr="00222767">
        <w:rPr>
          <w:rFonts w:ascii="Times New Roman" w:hAnsi="Times New Roman"/>
        </w:rPr>
        <w:t xml:space="preserve">smernica Rady </w:t>
      </w:r>
      <w:r w:rsidRPr="00222767">
        <w:rPr>
          <w:rFonts w:ascii="Times New Roman" w:hAnsi="Times New Roman"/>
          <w:u w:val="single"/>
        </w:rPr>
        <w:t>2011/64/EÚ</w:t>
      </w:r>
      <w:r w:rsidRPr="00222767">
        <w:rPr>
          <w:rFonts w:ascii="Times New Roman" w:hAnsi="Times New Roman"/>
        </w:rPr>
        <w:t xml:space="preserve"> </w:t>
      </w:r>
      <w:r w:rsidRPr="00222767">
        <w:rPr>
          <w:rStyle w:val="Strong"/>
          <w:rFonts w:ascii="Times New Roman" w:hAnsi="Times New Roman"/>
          <w:b w:val="0"/>
          <w:bCs/>
        </w:rPr>
        <w:t xml:space="preserve">z 21. júna 2011 o štruktúre a sadzbách spotrebnej dane </w:t>
      </w:r>
      <w:r w:rsidRPr="00222767" w:rsidR="00896B85">
        <w:rPr>
          <w:rStyle w:val="Strong"/>
          <w:rFonts w:ascii="Times New Roman" w:hAnsi="Times New Roman"/>
          <w:b w:val="0"/>
          <w:bCs/>
        </w:rPr>
        <w:t xml:space="preserve">            </w:t>
      </w:r>
      <w:r w:rsidRPr="00222767">
        <w:rPr>
          <w:rStyle w:val="Strong"/>
          <w:rFonts w:ascii="Times New Roman" w:hAnsi="Times New Roman"/>
          <w:b w:val="0"/>
          <w:bCs/>
        </w:rPr>
        <w:t>z tabakových výrobkov</w:t>
      </w:r>
      <w:r w:rsidRPr="00222767">
        <w:rPr>
          <w:rStyle w:val="Strong"/>
          <w:rFonts w:ascii="Times New Roman" w:hAnsi="Times New Roman"/>
          <w:bCs/>
        </w:rPr>
        <w:t xml:space="preserve"> </w:t>
      </w:r>
      <w:r w:rsidRPr="00222767">
        <w:rPr>
          <w:rStyle w:val="Strong"/>
          <w:rFonts w:ascii="Times New Roman" w:hAnsi="Times New Roman"/>
          <w:b w:val="0"/>
          <w:bCs/>
        </w:rPr>
        <w:t>(kodifikované znenie)</w:t>
      </w:r>
      <w:r w:rsidRPr="00222767">
        <w:rPr>
          <w:rFonts w:ascii="Times New Roman" w:hAnsi="Times New Roman"/>
        </w:rPr>
        <w:t xml:space="preserve"> (</w:t>
      </w:r>
      <w:r w:rsidRPr="00222767" w:rsidR="00727266">
        <w:rPr>
          <w:rStyle w:val="Emphasis"/>
          <w:rFonts w:ascii="Times New Roman" w:hAnsi="Times New Roman"/>
          <w:i w:val="0"/>
          <w:iCs/>
        </w:rPr>
        <w:t>Ú. v. EÚ L 176, 5.7. 2011),</w:t>
      </w:r>
    </w:p>
    <w:p w:rsidR="00727266" w:rsidRPr="00222767" w:rsidP="00727266">
      <w:pPr>
        <w:widowControl/>
        <w:numPr>
          <w:numId w:val="3"/>
        </w:numPr>
        <w:bidi w:val="0"/>
        <w:adjustRightInd/>
        <w:spacing w:after="120"/>
        <w:jc w:val="both"/>
        <w:rPr>
          <w:rStyle w:val="Emphasis"/>
          <w:rFonts w:ascii="Times New Roman" w:hAnsi="Times New Roman"/>
        </w:rPr>
      </w:pPr>
      <w:r w:rsidRPr="00222767">
        <w:rPr>
          <w:rFonts w:ascii="Times New Roman" w:hAnsi="Times New Roman"/>
        </w:rPr>
        <w:t xml:space="preserve">nariadenie Rady (EÚ) č. </w:t>
      </w:r>
      <w:r w:rsidRPr="00222767">
        <w:rPr>
          <w:rFonts w:ascii="Times New Roman" w:hAnsi="Times New Roman"/>
          <w:u w:val="single"/>
        </w:rPr>
        <w:t>389/2012</w:t>
      </w:r>
      <w:r w:rsidRPr="00222767">
        <w:rPr>
          <w:rFonts w:ascii="Times New Roman" w:hAnsi="Times New Roman"/>
        </w:rPr>
        <w:t xml:space="preserve"> zo 2. mája 2012 o administratívnej spolupráci v oblasti spotrebných daní a zrušení nariadenia 2073/2004 (</w:t>
      </w:r>
      <w:r w:rsidRPr="00222767">
        <w:rPr>
          <w:rStyle w:val="Emphasis"/>
          <w:rFonts w:ascii="Times New Roman" w:hAnsi="Times New Roman"/>
          <w:i w:val="0"/>
          <w:iCs/>
        </w:rPr>
        <w:t>Ú. v. EÚ L 121, 8.5. 2012) v platnom znení.</w:t>
      </w:r>
    </w:p>
    <w:p w:rsidR="00727266" w:rsidRPr="00727266" w:rsidP="00727266">
      <w:pPr>
        <w:widowControl/>
        <w:bidi w:val="0"/>
        <w:adjustRightInd/>
        <w:spacing w:after="120"/>
        <w:ind w:left="300"/>
        <w:jc w:val="both"/>
        <w:rPr>
          <w:rStyle w:val="Emphasis"/>
          <w:rFonts w:ascii="Times New Roman" w:hAnsi="Times New Roman"/>
          <w:i w:val="0"/>
        </w:rPr>
      </w:pPr>
    </w:p>
    <w:p w:rsidR="00C415DB" w:rsidRPr="00C415DB" w:rsidP="00C415DB">
      <w:pPr>
        <w:autoSpaceDE w:val="0"/>
        <w:autoSpaceDN w:val="0"/>
        <w:bidi w:val="0"/>
        <w:spacing w:after="120"/>
        <w:ind w:left="284"/>
        <w:jc w:val="both"/>
        <w:rPr>
          <w:rFonts w:ascii="Times New Roman" w:hAnsi="Times New Roman"/>
        </w:rPr>
      </w:pPr>
      <w:r w:rsidRPr="00C415DB">
        <w:rPr>
          <w:rFonts w:ascii="Times New Roman" w:hAnsi="Times New Roman"/>
          <w:b/>
          <w:bCs/>
          <w:iCs/>
        </w:rPr>
        <w:t xml:space="preserve">Sekundárne právo </w:t>
      </w:r>
      <w:r w:rsidRPr="00C415DB">
        <w:rPr>
          <w:rFonts w:ascii="Times New Roman" w:hAnsi="Times New Roman"/>
        </w:rPr>
        <w:t>(prijaté pred nadobudnutím platnosti Lisabonskej zmluvy, ktorou sa mení a dopĺňa Zmluva o Európskej únii a Zmluva o Európskom spoločenstve - do 30. novembra 2009):</w:t>
      </w:r>
    </w:p>
    <w:p w:rsidR="00C415DB" w:rsidRPr="00C415DB" w:rsidP="00C415DB">
      <w:pPr>
        <w:widowControl/>
        <w:numPr>
          <w:numId w:val="3"/>
        </w:numPr>
        <w:bidi w:val="0"/>
        <w:adjustRightInd/>
        <w:spacing w:after="120"/>
        <w:ind w:left="658" w:hanging="357"/>
        <w:jc w:val="both"/>
        <w:rPr>
          <w:rStyle w:val="Emphasis"/>
          <w:rFonts w:ascii="Times New Roman" w:hAnsi="Times New Roman"/>
        </w:rPr>
      </w:pPr>
      <w:r w:rsidRPr="00C415DB">
        <w:rPr>
          <w:rFonts w:ascii="Times New Roman" w:hAnsi="Times New Roman"/>
        </w:rPr>
        <w:t xml:space="preserve">smernica Rady </w:t>
      </w:r>
      <w:r w:rsidRPr="00C415DB">
        <w:rPr>
          <w:rFonts w:ascii="Times New Roman" w:hAnsi="Times New Roman"/>
          <w:u w:val="single"/>
        </w:rPr>
        <w:t>2006/79/ES</w:t>
      </w:r>
      <w:r w:rsidRPr="00C415DB">
        <w:rPr>
          <w:rFonts w:ascii="Times New Roman" w:hAnsi="Times New Roman"/>
        </w:rPr>
        <w:t xml:space="preserve"> z  5. októbra 2006 o oslobodení od daní pri dovoze malých zásielok tovaru neobchodného charakteru z tretích krajín (</w:t>
      </w:r>
      <w:r w:rsidRPr="00C415DB">
        <w:rPr>
          <w:rStyle w:val="Emphasis"/>
          <w:rFonts w:ascii="Times New Roman" w:hAnsi="Times New Roman"/>
          <w:i w:val="0"/>
          <w:iCs/>
        </w:rPr>
        <w:t>Ú. v. EÚ L 286, 17.10.2006),</w:t>
      </w:r>
    </w:p>
    <w:p w:rsidR="00C415DB" w:rsidRPr="00C415DB" w:rsidP="00C415DB">
      <w:pPr>
        <w:widowControl/>
        <w:numPr>
          <w:numId w:val="3"/>
        </w:numPr>
        <w:tabs>
          <w:tab w:val="num" w:pos="709"/>
          <w:tab w:val="num" w:pos="851"/>
        </w:tabs>
        <w:autoSpaceDE w:val="0"/>
        <w:autoSpaceDN w:val="0"/>
        <w:bidi w:val="0"/>
        <w:adjustRightInd/>
        <w:ind w:left="709" w:hanging="425"/>
        <w:jc w:val="both"/>
        <w:rPr>
          <w:rFonts w:ascii="Times New Roman" w:hAnsi="Times New Roman"/>
        </w:rPr>
      </w:pPr>
      <w:r w:rsidRPr="00C415DB">
        <w:rPr>
          <w:rFonts w:ascii="Times New Roman" w:hAnsi="Times New Roman"/>
        </w:rPr>
        <w:t xml:space="preserve">smernica Rady </w:t>
      </w:r>
      <w:r w:rsidRPr="00C415DB">
        <w:rPr>
          <w:rFonts w:ascii="Times New Roman" w:hAnsi="Times New Roman"/>
          <w:u w:val="single"/>
        </w:rPr>
        <w:t>2007/74/ES</w:t>
      </w:r>
      <w:r w:rsidRPr="00C415DB">
        <w:rPr>
          <w:rFonts w:ascii="Times New Roman" w:hAnsi="Times New Roman"/>
        </w:rPr>
        <w:t xml:space="preserve"> z 20. decembra 2007 o oslobodení tovaru, ktorý dovážajú osoby cestujúce z tretích krajín, od dane z pridanej hodnoty a spotrebnej dane (Ú. v. EÚ L  346, 29. 12. 2007),</w:t>
      </w:r>
    </w:p>
    <w:p w:rsidR="00C415DB" w:rsidRPr="00C415DB" w:rsidP="00C415DB">
      <w:pPr>
        <w:widowControl/>
        <w:numPr>
          <w:numId w:val="3"/>
        </w:numPr>
        <w:bidi w:val="0"/>
        <w:adjustRightInd/>
        <w:spacing w:before="120" w:after="120"/>
        <w:ind w:left="658" w:hanging="357"/>
        <w:jc w:val="both"/>
        <w:rPr>
          <w:rStyle w:val="Emphasis"/>
          <w:rFonts w:ascii="Times New Roman" w:hAnsi="Times New Roman"/>
          <w:i w:val="0"/>
        </w:rPr>
      </w:pPr>
      <w:r w:rsidRPr="00C415DB">
        <w:rPr>
          <w:rFonts w:ascii="Times New Roman" w:hAnsi="Times New Roman"/>
        </w:rPr>
        <w:t xml:space="preserve">smernica Rady </w:t>
      </w:r>
      <w:r w:rsidRPr="00C415DB">
        <w:rPr>
          <w:rFonts w:ascii="Times New Roman" w:hAnsi="Times New Roman"/>
          <w:u w:val="single"/>
        </w:rPr>
        <w:t>2008/118/ES</w:t>
      </w:r>
      <w:r w:rsidRPr="00C415DB">
        <w:rPr>
          <w:rFonts w:ascii="Times New Roman" w:hAnsi="Times New Roman"/>
        </w:rPr>
        <w:t xml:space="preserve"> z 16. decembra 2008 o všeobecnom systéme spotrebných daní a o zrušení smernice 92/12/EHS  (Ú. v. EÚ L 9, 14.1. 2009) v platnom znení,</w:t>
      </w:r>
    </w:p>
    <w:p w:rsidR="00C415DB" w:rsidRPr="00C415DB" w:rsidP="00C415DB">
      <w:pPr>
        <w:widowControl/>
        <w:numPr>
          <w:numId w:val="3"/>
        </w:numPr>
        <w:bidi w:val="0"/>
        <w:adjustRightInd/>
        <w:spacing w:after="120"/>
        <w:ind w:left="658" w:hanging="357"/>
        <w:jc w:val="both"/>
        <w:rPr>
          <w:rFonts w:ascii="Times New Roman" w:hAnsi="Times New Roman"/>
        </w:rPr>
      </w:pPr>
      <w:r w:rsidRPr="00C415DB">
        <w:rPr>
          <w:rFonts w:ascii="Times New Roman" w:hAnsi="Times New Roman"/>
        </w:rPr>
        <w:t xml:space="preserve">nariadenie Komisie (ES) č. </w:t>
      </w:r>
      <w:r w:rsidRPr="00C415DB">
        <w:rPr>
          <w:rFonts w:ascii="Times New Roman" w:hAnsi="Times New Roman"/>
          <w:u w:val="single"/>
        </w:rPr>
        <w:t>684/2009</w:t>
      </w:r>
      <w:r w:rsidRPr="00C415DB">
        <w:rPr>
          <w:rFonts w:ascii="Times New Roman" w:hAnsi="Times New Roman"/>
        </w:rPr>
        <w:t xml:space="preserve"> z 24. júla 2009, ktorým sa implementuje smernica Rady 2008/118/ES, pokiaľ ide o elektronické postupy pri preprave tovaru podliehajúceho spotrebnej dani v režime pozastavenia dane (Ú. v. EÚ L 197, 29.7.2009) v platnom znení,</w:t>
      </w:r>
    </w:p>
    <w:p w:rsidR="00C415DB" w:rsidRPr="00C415DB" w:rsidP="00C415DB">
      <w:pPr>
        <w:widowControl/>
        <w:numPr>
          <w:numId w:val="3"/>
        </w:numPr>
        <w:bidi w:val="0"/>
        <w:adjustRightInd/>
        <w:spacing w:after="120"/>
        <w:ind w:left="658" w:hanging="357"/>
        <w:jc w:val="both"/>
        <w:rPr>
          <w:rStyle w:val="Emphasis"/>
          <w:rFonts w:ascii="Times New Roman" w:hAnsi="Times New Roman"/>
          <w:i w:val="0"/>
        </w:rPr>
      </w:pPr>
      <w:r w:rsidRPr="00C415DB">
        <w:rPr>
          <w:rStyle w:val="Emphasis"/>
          <w:rFonts w:ascii="Times New Roman" w:hAnsi="Times New Roman"/>
          <w:i w:val="0"/>
          <w:iCs/>
        </w:rPr>
        <w:t>nariadenie R</w:t>
      </w:r>
      <w:r w:rsidRPr="00C415DB">
        <w:rPr>
          <w:rFonts w:ascii="Times New Roman" w:hAnsi="Times New Roman"/>
        </w:rPr>
        <w:t xml:space="preserve">ady (EHS) č. </w:t>
      </w:r>
      <w:r w:rsidRPr="00C415DB">
        <w:rPr>
          <w:rFonts w:ascii="Times New Roman" w:hAnsi="Times New Roman"/>
          <w:u w:val="single"/>
        </w:rPr>
        <w:t>2913/92</w:t>
      </w:r>
      <w:r w:rsidRPr="00C415DB">
        <w:rPr>
          <w:rFonts w:ascii="Times New Roman" w:hAnsi="Times New Roman"/>
        </w:rPr>
        <w:t xml:space="preserve"> z 12. októbra 1992, ktorým sa ustanovuje Colný kódex Spoločenstva (Mimoriadne vydanie Ú. v. EÚ kap. 2/zv. 4) v platnom znení,</w:t>
      </w:r>
    </w:p>
    <w:p w:rsidR="00C415DB" w:rsidRPr="00C415DB" w:rsidP="00C415DB">
      <w:pPr>
        <w:widowControl/>
        <w:numPr>
          <w:numId w:val="3"/>
        </w:numPr>
        <w:bidi w:val="0"/>
        <w:adjustRightInd/>
        <w:spacing w:after="120"/>
        <w:ind w:left="658" w:hanging="357"/>
        <w:jc w:val="both"/>
        <w:rPr>
          <w:rStyle w:val="Emphasis"/>
          <w:rFonts w:ascii="Times New Roman" w:hAnsi="Times New Roman"/>
        </w:rPr>
      </w:pPr>
      <w:r w:rsidRPr="00C415DB">
        <w:rPr>
          <w:rStyle w:val="Emphasis"/>
          <w:rFonts w:ascii="Times New Roman" w:hAnsi="Times New Roman"/>
          <w:i w:val="0"/>
          <w:iCs/>
        </w:rPr>
        <w:t xml:space="preserve">rozhodnutie </w:t>
      </w:r>
      <w:r w:rsidRPr="00C415DB">
        <w:rPr>
          <w:rFonts w:ascii="Times New Roman" w:hAnsi="Times New Roman"/>
          <w:bCs/>
        </w:rPr>
        <w:t>Európskeho parlamentu a Rady</w:t>
      </w:r>
      <w:r w:rsidRPr="00C415DB">
        <w:rPr>
          <w:rStyle w:val="Emphasis"/>
          <w:rFonts w:ascii="Times New Roman" w:hAnsi="Times New Roman"/>
          <w:i w:val="0"/>
          <w:iCs/>
        </w:rPr>
        <w:t xml:space="preserve"> </w:t>
      </w:r>
      <w:r w:rsidRPr="00C415DB">
        <w:rPr>
          <w:rFonts w:ascii="Times New Roman" w:hAnsi="Times New Roman"/>
          <w:bCs/>
        </w:rPr>
        <w:t>č. </w:t>
      </w:r>
      <w:r w:rsidRPr="00C415DB">
        <w:rPr>
          <w:rFonts w:ascii="Times New Roman" w:hAnsi="Times New Roman"/>
          <w:bCs/>
          <w:u w:val="single"/>
        </w:rPr>
        <w:t>1152/2003/ES</w:t>
      </w:r>
      <w:r w:rsidRPr="00C415DB">
        <w:rPr>
          <w:rFonts w:ascii="Times New Roman" w:hAnsi="Times New Roman"/>
          <w:bCs/>
        </w:rPr>
        <w:t xml:space="preserve"> zo 16. júna 2003 o informatizácii prepravy a kontroly výrobkov podliehajúcich spotrebnej dani (</w:t>
      </w:r>
      <w:r w:rsidRPr="00C415DB">
        <w:rPr>
          <w:rStyle w:val="Emphasis"/>
          <w:rFonts w:ascii="Times New Roman" w:hAnsi="Times New Roman"/>
          <w:i w:val="0"/>
          <w:iCs/>
        </w:rPr>
        <w:t>Ú. v. EÚ L 162, 1.7. 2003).</w:t>
      </w:r>
    </w:p>
    <w:p w:rsidR="00C415DB" w:rsidRPr="00C415DB" w:rsidP="00C415DB">
      <w:pPr>
        <w:bidi w:val="0"/>
        <w:spacing w:after="120"/>
        <w:ind w:left="301"/>
        <w:jc w:val="both"/>
        <w:rPr>
          <w:rFonts w:ascii="Times New Roman" w:hAnsi="Times New Roman"/>
          <w:i/>
        </w:rPr>
      </w:pPr>
    </w:p>
    <w:p w:rsidR="00C415DB" w:rsidRPr="00C415DB" w:rsidP="00C415DB">
      <w:pPr>
        <w:pStyle w:val="BodyText"/>
        <w:bidi w:val="0"/>
        <w:ind w:left="681" w:hanging="397"/>
        <w:jc w:val="both"/>
        <w:rPr>
          <w:rFonts w:ascii="Times New Roman" w:hAnsi="Times New Roman"/>
        </w:rPr>
      </w:pPr>
      <w:r w:rsidRPr="00C415DB">
        <w:rPr>
          <w:rFonts w:ascii="Times New Roman" w:hAnsi="Times New Roman"/>
        </w:rPr>
        <w:t>b)</w:t>
        <w:tab/>
        <w:t>je obsiahnutá v judikatúre Súdneho dvora Európskej únie:</w:t>
      </w:r>
    </w:p>
    <w:p w:rsidR="00C415DB" w:rsidRPr="00C415DB" w:rsidP="00C415DB">
      <w:pPr>
        <w:pStyle w:val="BodyText"/>
        <w:numPr>
          <w:numId w:val="3"/>
        </w:numPr>
        <w:autoSpaceDE w:val="0"/>
        <w:autoSpaceDN w:val="0"/>
        <w:bidi w:val="0"/>
        <w:jc w:val="both"/>
        <w:rPr>
          <w:rFonts w:ascii="Times New Roman" w:hAnsi="Times New Roman"/>
        </w:rPr>
      </w:pPr>
      <w:r w:rsidRPr="00C415DB">
        <w:rPr>
          <w:rFonts w:ascii="Times New Roman" w:hAnsi="Times New Roman"/>
          <w:bCs/>
        </w:rPr>
        <w:t>rozhodnutie Súdneho dvora vo veci C - 140/05, Amalia Valeško proti Zollamt Klagenfurt, [2006],</w:t>
      </w:r>
    </w:p>
    <w:p w:rsidR="00C415DB" w:rsidRPr="00C415DB" w:rsidP="00C415DB">
      <w:pPr>
        <w:pStyle w:val="BodyText"/>
        <w:numPr>
          <w:numId w:val="3"/>
        </w:numPr>
        <w:autoSpaceDE w:val="0"/>
        <w:autoSpaceDN w:val="0"/>
        <w:bidi w:val="0"/>
        <w:jc w:val="both"/>
        <w:rPr>
          <w:rStyle w:val="Emphasis"/>
          <w:rFonts w:ascii="Times New Roman" w:hAnsi="Times New Roman"/>
          <w:i w:val="0"/>
        </w:rPr>
      </w:pPr>
      <w:r w:rsidRPr="00C415DB">
        <w:rPr>
          <w:rFonts w:ascii="Times New Roman" w:hAnsi="Times New Roman"/>
          <w:bCs/>
        </w:rPr>
        <w:t>rozhodnutie Súdneho dvora vo veci C - 197/04, EK proti Spolkovej republike Nemecko, [</w:t>
      </w:r>
      <w:r w:rsidRPr="00C415DB">
        <w:rPr>
          <w:rStyle w:val="Emphasis"/>
          <w:rFonts w:ascii="Times New Roman" w:hAnsi="Times New Roman"/>
          <w:i w:val="0"/>
          <w:iCs/>
        </w:rPr>
        <w:t>2005],</w:t>
      </w:r>
    </w:p>
    <w:p w:rsidR="00C415DB" w:rsidRPr="00C415DB" w:rsidP="00C415DB">
      <w:pPr>
        <w:pStyle w:val="BodyText"/>
        <w:numPr>
          <w:numId w:val="3"/>
        </w:numPr>
        <w:autoSpaceDE w:val="0"/>
        <w:autoSpaceDN w:val="0"/>
        <w:bidi w:val="0"/>
        <w:jc w:val="both"/>
        <w:rPr>
          <w:rFonts w:ascii="Times New Roman" w:hAnsi="Times New Roman"/>
          <w:bCs/>
        </w:rPr>
      </w:pPr>
      <w:r w:rsidRPr="00C415DB">
        <w:rPr>
          <w:rFonts w:ascii="Times New Roman" w:hAnsi="Times New Roman"/>
          <w:bCs/>
        </w:rPr>
        <w:t>rozhodnutie Súdneho dvora vo veci C - 428/13, Ministero dell’Economia e delle Finanze Amministrazione Autonoma dei Monopoli di Stato (AAMS) proti Yesmoke Tobacco SpA, [zatiaľ neuverejnené].</w:t>
      </w:r>
    </w:p>
    <w:p w:rsidR="00C415DB" w:rsidRPr="00C415DB" w:rsidP="00C415DB">
      <w:pPr>
        <w:pStyle w:val="BodyText"/>
        <w:autoSpaceDE w:val="0"/>
        <w:autoSpaceDN w:val="0"/>
        <w:bidi w:val="0"/>
        <w:ind w:left="660"/>
        <w:jc w:val="both"/>
        <w:rPr>
          <w:rStyle w:val="Emphasis"/>
          <w:rFonts w:ascii="Times New Roman" w:hAnsi="Times New Roman"/>
          <w:i w:val="0"/>
        </w:rPr>
      </w:pPr>
    </w:p>
    <w:p w:rsidR="00C415DB" w:rsidRPr="00C415DB" w:rsidP="00C415DB">
      <w:pPr>
        <w:pStyle w:val="Zkladntext0"/>
        <w:tabs>
          <w:tab w:val="left" w:pos="360"/>
        </w:tabs>
        <w:bidi w:val="0"/>
        <w:spacing w:before="120" w:after="120"/>
        <w:ind w:left="3"/>
        <w:jc w:val="both"/>
        <w:rPr>
          <w:rFonts w:ascii="Times New Roman" w:hAnsi="Times New Roman"/>
          <w:b/>
          <w:bCs/>
          <w:sz w:val="24"/>
          <w:szCs w:val="24"/>
        </w:rPr>
      </w:pPr>
      <w:r w:rsidRPr="00C415DB">
        <w:rPr>
          <w:rFonts w:ascii="Times New Roman" w:hAnsi="Times New Roman"/>
          <w:b/>
          <w:bCs/>
          <w:sz w:val="24"/>
          <w:szCs w:val="24"/>
        </w:rPr>
        <w:t>4.</w:t>
        <w:tab/>
        <w:t>Záväzky Slovenskej republiky vo vzťahu k Európskej únii:</w:t>
      </w:r>
    </w:p>
    <w:p w:rsidR="00C415DB" w:rsidRPr="00C415DB" w:rsidP="00C415DB">
      <w:pPr>
        <w:pStyle w:val="BodyText"/>
        <w:numPr>
          <w:ilvl w:val="1"/>
          <w:numId w:val="6"/>
        </w:numPr>
        <w:tabs>
          <w:tab w:val="clear" w:pos="417"/>
        </w:tabs>
        <w:bidi w:val="0"/>
        <w:jc w:val="both"/>
        <w:rPr>
          <w:rFonts w:ascii="Times New Roman" w:hAnsi="Times New Roman"/>
          <w:bCs/>
        </w:rPr>
      </w:pPr>
      <w:r w:rsidRPr="00C415DB">
        <w:rPr>
          <w:rFonts w:ascii="Times New Roman" w:hAnsi="Times New Roman"/>
        </w:rPr>
        <w:t>Lehota na prebratie smernice 2011/64/EÚ: ide o kodifikované znenie, pričom termíny prebratia vyplývajú z pôvodných smerníc, ktoré boli predmetom kodifikácie</w:t>
      </w:r>
      <w:r w:rsidRPr="00C415DB">
        <w:rPr>
          <w:rFonts w:ascii="Times New Roman" w:hAnsi="Times New Roman"/>
          <w:bCs/>
        </w:rPr>
        <w:t>.</w:t>
      </w:r>
    </w:p>
    <w:p w:rsidR="00C415DB" w:rsidRPr="00C415DB" w:rsidP="00C415DB">
      <w:pPr>
        <w:pStyle w:val="BodyText"/>
        <w:bidi w:val="0"/>
        <w:ind w:left="720"/>
        <w:jc w:val="both"/>
        <w:rPr>
          <w:rFonts w:ascii="Times New Roman" w:hAnsi="Times New Roman"/>
          <w:bCs/>
        </w:rPr>
      </w:pPr>
      <w:r w:rsidRPr="00C415DB">
        <w:rPr>
          <w:rFonts w:ascii="Times New Roman" w:hAnsi="Times New Roman"/>
        </w:rPr>
        <w:t xml:space="preserve">Lehota na prebratie smernice </w:t>
      </w:r>
      <w:r w:rsidRPr="00C415DB">
        <w:rPr>
          <w:rFonts w:ascii="Times New Roman" w:hAnsi="Times New Roman"/>
          <w:bCs/>
          <w:color w:val="000000"/>
        </w:rPr>
        <w:t xml:space="preserve">2014/40/EÚ </w:t>
      </w:r>
      <w:r w:rsidRPr="00C415DB">
        <w:rPr>
          <w:rFonts w:ascii="Times New Roman" w:hAnsi="Times New Roman"/>
        </w:rPr>
        <w:t>bola určená do 20.5. 2016.</w:t>
      </w:r>
    </w:p>
    <w:p w:rsidR="00C415DB" w:rsidRPr="00C415DB" w:rsidP="00C415DB">
      <w:pPr>
        <w:pStyle w:val="BodyText"/>
        <w:numPr>
          <w:ilvl w:val="1"/>
          <w:numId w:val="6"/>
        </w:numPr>
        <w:tabs>
          <w:tab w:val="clear" w:pos="417"/>
        </w:tabs>
        <w:bidi w:val="0"/>
        <w:jc w:val="both"/>
        <w:rPr>
          <w:rFonts w:ascii="Times New Roman" w:hAnsi="Times New Roman"/>
          <w:bCs/>
        </w:rPr>
      </w:pPr>
      <w:r w:rsidRPr="00C415DB">
        <w:rPr>
          <w:rFonts w:ascii="Times New Roman" w:hAnsi="Times New Roman"/>
        </w:rPr>
        <w:t xml:space="preserve">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w:t>
      </w:r>
      <w:r w:rsidRPr="00C415DB">
        <w:rPr>
          <w:rFonts w:ascii="Times New Roman" w:hAnsi="Times New Roman"/>
          <w:bCs/>
        </w:rPr>
        <w:t>2011/64/EÚ: bezpredmetné.</w:t>
      </w:r>
    </w:p>
    <w:p w:rsidR="00C415DB" w:rsidRPr="00C415DB" w:rsidP="00C415DB">
      <w:pPr>
        <w:pStyle w:val="BodyText"/>
        <w:bidi w:val="0"/>
        <w:ind w:left="720"/>
        <w:jc w:val="both"/>
        <w:rPr>
          <w:rFonts w:ascii="Times New Roman" w:hAnsi="Times New Roman"/>
          <w:bCs/>
        </w:rPr>
      </w:pPr>
      <w:r w:rsidRPr="00C415DB">
        <w:rPr>
          <w:rFonts w:ascii="Times New Roman" w:hAnsi="Times New Roman"/>
        </w:rPr>
        <w:t xml:space="preserve">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w:t>
      </w:r>
      <w:r w:rsidRPr="00C415DB">
        <w:rPr>
          <w:rFonts w:ascii="Times New Roman" w:hAnsi="Times New Roman"/>
          <w:bCs/>
          <w:color w:val="000000"/>
        </w:rPr>
        <w:t xml:space="preserve">2014/40/EÚ </w:t>
      </w:r>
      <w:r w:rsidRPr="00C415DB">
        <w:rPr>
          <w:rFonts w:ascii="Times New Roman" w:hAnsi="Times New Roman"/>
        </w:rPr>
        <w:t>bola stanovená do 31.1 2016.</w:t>
      </w:r>
    </w:p>
    <w:p w:rsidR="00C415DB" w:rsidRPr="00C415DB" w:rsidP="00C415DB">
      <w:pPr>
        <w:pStyle w:val="Zkladntext"/>
        <w:numPr>
          <w:ilvl w:val="1"/>
          <w:numId w:val="6"/>
        </w:numPr>
        <w:autoSpaceDE/>
        <w:autoSpaceDN/>
        <w:bidi w:val="0"/>
        <w:spacing w:after="120"/>
        <w:jc w:val="both"/>
        <w:rPr>
          <w:rFonts w:ascii="Times New Roman" w:hAnsi="Times New Roman" w:cs="Times New Roman"/>
        </w:rPr>
      </w:pPr>
      <w:r w:rsidRPr="00C415DB">
        <w:rPr>
          <w:rFonts w:ascii="Times New Roman" w:hAnsi="Times New Roman" w:cs="Times New Roman"/>
        </w:rPr>
        <w:t>Proti SR nebolo začaté konanie o porušení Zmluvy o fungovaní Európskej únie podľa čl. 258 až 260 Zmluvy o fungovaní Európskej únie.</w:t>
      </w:r>
    </w:p>
    <w:p w:rsidR="00C415DB" w:rsidRPr="00C415DB" w:rsidP="00C415DB">
      <w:pPr>
        <w:pStyle w:val="Zkladntext"/>
        <w:numPr>
          <w:ilvl w:val="1"/>
          <w:numId w:val="6"/>
        </w:numPr>
        <w:autoSpaceDE/>
        <w:autoSpaceDN/>
        <w:bidi w:val="0"/>
        <w:spacing w:after="120"/>
        <w:jc w:val="both"/>
        <w:rPr>
          <w:rFonts w:ascii="Times New Roman" w:hAnsi="Times New Roman" w:cs="Times New Roman"/>
        </w:rPr>
      </w:pPr>
      <w:r w:rsidRPr="00C415DB">
        <w:rPr>
          <w:rFonts w:ascii="Times New Roman" w:hAnsi="Times New Roman" w:cs="Times New Roman"/>
        </w:rPr>
        <w:t>Smernica 2011/64/EÚ bola prebratá do zákona č. 106/2004 Z. z. o spotrebnej dani z tabakových v</w:t>
      </w:r>
      <w:r w:rsidRPr="00C415DB">
        <w:rPr>
          <w:rFonts w:ascii="Times New Roman" w:hAnsi="Times New Roman" w:cs="Times New Roman"/>
        </w:rPr>
        <w:t>ý</w:t>
      </w:r>
      <w:r w:rsidRPr="00C415DB">
        <w:rPr>
          <w:rFonts w:ascii="Times New Roman" w:hAnsi="Times New Roman" w:cs="Times New Roman"/>
        </w:rPr>
        <w:t>robkov v znení neskorších predpisov.</w:t>
      </w:r>
    </w:p>
    <w:p w:rsidR="00C415DB" w:rsidP="0055669E">
      <w:pPr>
        <w:pStyle w:val="Zkladntext"/>
        <w:bidi w:val="0"/>
        <w:spacing w:after="120"/>
        <w:ind w:left="720"/>
        <w:jc w:val="both"/>
        <w:rPr>
          <w:rFonts w:ascii="Times New Roman" w:hAnsi="Times New Roman" w:cs="Times New Roman"/>
        </w:rPr>
      </w:pPr>
      <w:r w:rsidRPr="00C415DB">
        <w:rPr>
          <w:rFonts w:ascii="Times New Roman" w:hAnsi="Times New Roman" w:cs="Times New Roman"/>
        </w:rPr>
        <w:t>Smernica 20</w:t>
      </w:r>
      <w:r w:rsidR="0055669E">
        <w:rPr>
          <w:rFonts w:ascii="Times New Roman" w:hAnsi="Times New Roman" w:cs="Times New Roman"/>
        </w:rPr>
        <w:t>14/40/EÚ: bezpredmetné.</w:t>
      </w:r>
    </w:p>
    <w:p w:rsidR="0055669E" w:rsidRPr="00C415DB" w:rsidP="0055669E">
      <w:pPr>
        <w:pStyle w:val="Zkladntext"/>
        <w:bidi w:val="0"/>
        <w:spacing w:after="120"/>
        <w:jc w:val="both"/>
        <w:rPr>
          <w:rFonts w:ascii="Times New Roman" w:hAnsi="Times New Roman" w:cs="Times New Roman"/>
        </w:rPr>
      </w:pPr>
    </w:p>
    <w:p w:rsidR="00C415DB" w:rsidRPr="00C415DB" w:rsidP="00C415DB">
      <w:pPr>
        <w:pStyle w:val="Zkladntext0"/>
        <w:tabs>
          <w:tab w:val="left" w:pos="284"/>
        </w:tabs>
        <w:bidi w:val="0"/>
        <w:spacing w:before="120"/>
        <w:ind w:firstLine="11"/>
        <w:jc w:val="both"/>
        <w:rPr>
          <w:rFonts w:ascii="Times New Roman" w:hAnsi="Times New Roman"/>
          <w:b/>
          <w:sz w:val="24"/>
          <w:szCs w:val="24"/>
        </w:rPr>
      </w:pPr>
      <w:r w:rsidRPr="00C415DB">
        <w:rPr>
          <w:rFonts w:ascii="Times New Roman" w:hAnsi="Times New Roman"/>
          <w:b/>
          <w:sz w:val="24"/>
          <w:szCs w:val="24"/>
        </w:rPr>
        <w:t>5.</w:t>
        <w:tab/>
        <w:t>Stupeň zlučiteľnosti návrhu zákona s právom Európskej únie:</w:t>
      </w:r>
    </w:p>
    <w:p w:rsidR="00C415DB" w:rsidRPr="00C415DB" w:rsidP="00C415DB">
      <w:pPr>
        <w:pStyle w:val="Zkladntext0"/>
        <w:bidi w:val="0"/>
        <w:spacing w:before="120"/>
        <w:ind w:left="284"/>
        <w:jc w:val="both"/>
        <w:rPr>
          <w:rFonts w:ascii="Times New Roman" w:hAnsi="Times New Roman"/>
          <w:sz w:val="24"/>
          <w:szCs w:val="24"/>
        </w:rPr>
      </w:pPr>
      <w:r w:rsidRPr="00C415DB">
        <w:rPr>
          <w:rFonts w:ascii="Times New Roman" w:hAnsi="Times New Roman"/>
          <w:sz w:val="24"/>
          <w:szCs w:val="24"/>
        </w:rPr>
        <w:t>Úplný.</w:t>
      </w:r>
    </w:p>
    <w:p w:rsidR="00C415DB" w:rsidRPr="00C415DB" w:rsidP="00C415DB">
      <w:pPr>
        <w:pStyle w:val="dka"/>
        <w:tabs>
          <w:tab w:val="left" w:pos="284"/>
        </w:tabs>
        <w:bidi w:val="0"/>
        <w:spacing w:before="120"/>
        <w:jc w:val="both"/>
        <w:rPr>
          <w:rFonts w:ascii="Times New Roman" w:hAnsi="Times New Roman"/>
          <w:b/>
          <w:bCs/>
          <w:sz w:val="24"/>
          <w:szCs w:val="24"/>
        </w:rPr>
      </w:pPr>
      <w:r w:rsidRPr="00C415DB">
        <w:rPr>
          <w:rFonts w:ascii="Times New Roman" w:hAnsi="Times New Roman"/>
          <w:b/>
          <w:bCs/>
          <w:sz w:val="24"/>
          <w:szCs w:val="24"/>
        </w:rPr>
        <w:t>6.</w:t>
        <w:tab/>
        <w:t>Gestor a spolupracujúce rezorty:</w:t>
      </w:r>
    </w:p>
    <w:p w:rsidR="00C415DB" w:rsidRPr="00C415DB" w:rsidP="00896B85">
      <w:pPr>
        <w:bidi w:val="0"/>
        <w:ind w:left="284"/>
        <w:jc w:val="both"/>
        <w:rPr>
          <w:rFonts w:ascii="Times New Roman" w:hAnsi="Times New Roman"/>
        </w:rPr>
      </w:pPr>
      <w:r w:rsidRPr="00C415DB">
        <w:rPr>
          <w:rFonts w:ascii="Times New Roman" w:hAnsi="Times New Roman"/>
        </w:rPr>
        <w:t xml:space="preserve">Ministerstvo financií SR, Ministerstvo zdravotníctva SR, Ministerstvo hospodárstva SR </w:t>
      </w:r>
      <w:r w:rsidR="00896B85">
        <w:rPr>
          <w:rFonts w:ascii="Times New Roman" w:hAnsi="Times New Roman"/>
        </w:rPr>
        <w:t xml:space="preserve">                     </w:t>
      </w:r>
      <w:r w:rsidRPr="00C415DB">
        <w:rPr>
          <w:rFonts w:ascii="Times New Roman" w:hAnsi="Times New Roman"/>
        </w:rPr>
        <w:t>a Ministerstvo pôdohospodárstva a rozvoja vidieka SR</w:t>
      </w:r>
    </w:p>
    <w:p w:rsidR="00C415DB" w:rsidRPr="00C415DB" w:rsidP="00C415DB">
      <w:pPr>
        <w:bidi w:val="0"/>
        <w:rPr>
          <w:rFonts w:ascii="Times New Roman" w:hAnsi="Times New Roman"/>
        </w:rPr>
      </w:pPr>
    </w:p>
    <w:p w:rsidR="00C415DB" w:rsidRPr="00C415DB" w:rsidP="00C415DB">
      <w:pPr>
        <w:bidi w:val="0"/>
        <w:rPr>
          <w:rFonts w:ascii="Times New Roman" w:hAnsi="Times New Roman"/>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C415DB" w:rsidP="00C415DB">
      <w:pPr>
        <w:widowControl/>
        <w:bidi w:val="0"/>
        <w:rPr>
          <w:rStyle w:val="PlaceholderText"/>
          <w:color w:val="000000"/>
        </w:rPr>
      </w:pPr>
    </w:p>
    <w:p w:rsidR="0055669E" w:rsidP="00C415DB">
      <w:pPr>
        <w:widowControl/>
        <w:bidi w:val="0"/>
        <w:rPr>
          <w:rStyle w:val="PlaceholderText"/>
          <w:color w:val="000000"/>
        </w:rPr>
      </w:pPr>
    </w:p>
    <w:p w:rsidR="00C415DB" w:rsidP="00C415DB">
      <w:pPr>
        <w:widowControl/>
        <w:bidi w:val="0"/>
        <w:rPr>
          <w:rStyle w:val="PlaceholderText"/>
          <w:color w:val="000000"/>
        </w:rPr>
      </w:pPr>
    </w:p>
    <w:p w:rsidR="00C415DB" w:rsidRPr="001926C6" w:rsidP="00C415DB">
      <w:pPr>
        <w:bidi w:val="0"/>
        <w:jc w:val="both"/>
        <w:rPr>
          <w:rFonts w:ascii="Times New Roman" w:hAnsi="Times New Roman"/>
          <w:b/>
          <w:color w:val="000000"/>
        </w:rPr>
      </w:pPr>
      <w:r w:rsidRPr="001926C6">
        <w:rPr>
          <w:rFonts w:ascii="Times New Roman" w:hAnsi="Times New Roman"/>
          <w:b/>
          <w:color w:val="000000"/>
        </w:rPr>
        <w:t>B. Osobitná časť</w:t>
      </w:r>
    </w:p>
    <w:p w:rsidR="00C415DB" w:rsidRPr="001926C6" w:rsidP="00C415DB">
      <w:pPr>
        <w:bidi w:val="0"/>
        <w:jc w:val="both"/>
        <w:rPr>
          <w:rFonts w:ascii="Times New Roman" w:hAnsi="Times New Roman"/>
          <w:bCs/>
        </w:rPr>
      </w:pPr>
    </w:p>
    <w:p w:rsidR="00C415DB" w:rsidRPr="001926C6" w:rsidP="00C415DB">
      <w:pPr>
        <w:bidi w:val="0"/>
        <w:jc w:val="both"/>
        <w:rPr>
          <w:rFonts w:ascii="Times New Roman" w:hAnsi="Times New Roman"/>
          <w:b/>
          <w:bCs/>
        </w:rPr>
      </w:pPr>
      <w:r w:rsidRPr="001926C6">
        <w:rPr>
          <w:rFonts w:ascii="Times New Roman" w:hAnsi="Times New Roman"/>
          <w:b/>
          <w:bCs/>
        </w:rPr>
        <w:t>K článku I</w:t>
      </w:r>
    </w:p>
    <w:p w:rsidR="00C415DB" w:rsidRPr="001926C6" w:rsidP="00C415DB">
      <w:pPr>
        <w:tabs>
          <w:tab w:val="left" w:pos="360"/>
        </w:tabs>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K bodom 1</w:t>
      </w:r>
      <w:r>
        <w:rPr>
          <w:rFonts w:ascii="Times New Roman" w:hAnsi="Times New Roman"/>
          <w:b/>
          <w:bCs/>
          <w:color w:val="000000"/>
        </w:rPr>
        <w:t>, 3 až 5</w:t>
      </w:r>
      <w:r w:rsidRPr="001926C6">
        <w:rPr>
          <w:rFonts w:ascii="Times New Roman" w:hAnsi="Times New Roman"/>
          <w:b/>
          <w:bCs/>
          <w:color w:val="000000"/>
        </w:rPr>
        <w:t xml:space="preserve">, </w:t>
      </w:r>
      <w:r>
        <w:rPr>
          <w:rFonts w:ascii="Times New Roman" w:hAnsi="Times New Roman"/>
          <w:b/>
          <w:bCs/>
          <w:color w:val="000000"/>
        </w:rPr>
        <w:t>7 a 21</w:t>
      </w:r>
    </w:p>
    <w:p w:rsidR="00C415DB" w:rsidRPr="001926C6" w:rsidP="00C415DB">
      <w:pPr>
        <w:tabs>
          <w:tab w:val="left" w:pos="360"/>
        </w:tabs>
        <w:bidi w:val="0"/>
        <w:ind w:firstLine="567"/>
        <w:jc w:val="both"/>
        <w:rPr>
          <w:rFonts w:ascii="Times New Roman" w:hAnsi="Times New Roman"/>
        </w:rPr>
      </w:pPr>
      <w:r w:rsidRPr="001926C6">
        <w:rPr>
          <w:rFonts w:ascii="Times New Roman" w:hAnsi="Times New Roman"/>
        </w:rPr>
        <w:t xml:space="preserve">Navrhovanou úpravou sa mení filozofia zdaňovania cigár a cigariek tak, že tieto tabakové výrobky </w:t>
      </w:r>
      <w:r>
        <w:rPr>
          <w:rFonts w:ascii="Times New Roman" w:hAnsi="Times New Roman"/>
        </w:rPr>
        <w:t xml:space="preserve">sa </w:t>
      </w:r>
      <w:r w:rsidRPr="001926C6">
        <w:rPr>
          <w:rFonts w:ascii="Times New Roman" w:hAnsi="Times New Roman"/>
        </w:rPr>
        <w:t xml:space="preserve">budú zdaňovať na základe ich hmotnosti a nie na základe kusov. Zároveň sa stanovuje sadzba dane na tieto tabakové výrobky v eurách za kilogram. V súvislosti s touto úpravou sa súčasne upravujú príslušné ustanovenia zákona </w:t>
      </w:r>
      <w:r>
        <w:rPr>
          <w:rFonts w:ascii="Times New Roman" w:hAnsi="Times New Roman"/>
        </w:rPr>
        <w:t>týkajúce sa zdaňovania</w:t>
      </w:r>
      <w:r w:rsidRPr="001926C6">
        <w:rPr>
          <w:rFonts w:ascii="Times New Roman" w:hAnsi="Times New Roman"/>
        </w:rPr>
        <w:t xml:space="preserve"> cigár </w:t>
      </w:r>
      <w:r>
        <w:rPr>
          <w:rFonts w:ascii="Times New Roman" w:hAnsi="Times New Roman"/>
        </w:rPr>
        <w:t xml:space="preserve">             </w:t>
      </w:r>
      <w:r w:rsidRPr="001926C6">
        <w:rPr>
          <w:rFonts w:ascii="Times New Roman" w:hAnsi="Times New Roman"/>
        </w:rPr>
        <w:t>a cigariek.</w:t>
      </w:r>
    </w:p>
    <w:p w:rsidR="00C415DB" w:rsidP="00C415DB">
      <w:pPr>
        <w:tabs>
          <w:tab w:val="left" w:pos="360"/>
        </w:tabs>
        <w:bidi w:val="0"/>
        <w:jc w:val="both"/>
        <w:rPr>
          <w:rFonts w:ascii="Times New Roman" w:hAnsi="Times New Roman"/>
        </w:rPr>
      </w:pPr>
    </w:p>
    <w:p w:rsidR="00C415DB" w:rsidRPr="000773D5" w:rsidP="00C415DB">
      <w:pPr>
        <w:tabs>
          <w:tab w:val="left" w:pos="360"/>
        </w:tabs>
        <w:bidi w:val="0"/>
        <w:jc w:val="both"/>
        <w:rPr>
          <w:rFonts w:ascii="Times New Roman" w:hAnsi="Times New Roman"/>
          <w:b/>
        </w:rPr>
      </w:pPr>
      <w:r w:rsidRPr="000773D5">
        <w:rPr>
          <w:rFonts w:ascii="Times New Roman" w:hAnsi="Times New Roman"/>
          <w:b/>
        </w:rPr>
        <w:t>K bodu 2</w:t>
      </w:r>
    </w:p>
    <w:p w:rsidR="00C415DB" w:rsidRPr="00BB7944" w:rsidP="00C415DB">
      <w:pPr>
        <w:autoSpaceDE w:val="0"/>
        <w:autoSpaceDN w:val="0"/>
        <w:bidi w:val="0"/>
        <w:ind w:firstLine="567"/>
        <w:jc w:val="both"/>
        <w:rPr>
          <w:rFonts w:ascii="Times New Roman" w:hAnsi="Times New Roman"/>
          <w:bCs/>
        </w:rPr>
      </w:pPr>
      <w:r w:rsidRPr="0003415A">
        <w:rPr>
          <w:rStyle w:val="PlaceholderText"/>
          <w:color w:val="000000"/>
        </w:rPr>
        <w:t>V nadväznosti na nadobudnutie účinnosti</w:t>
      </w:r>
      <w:r w:rsidRPr="0003415A">
        <w:rPr>
          <w:rFonts w:ascii="Times New Roman" w:hAnsi="Times New Roman"/>
          <w:bCs/>
        </w:rPr>
        <w:t xml:space="preserve"> </w:t>
      </w:r>
      <w:r w:rsidRPr="0003415A">
        <w:rPr>
          <w:rFonts w:ascii="Times New Roman" w:hAnsi="Times New Roman"/>
        </w:rPr>
        <w:t>smernice Európskeho Parlamentu a Rady 2</w:t>
      </w:r>
      <w:r w:rsidRPr="0003415A">
        <w:rPr>
          <w:rFonts w:ascii="Times New Roman" w:hAnsi="Times New Roman"/>
          <w:bCs/>
        </w:rPr>
        <w:t xml:space="preserve">014/40/EÚ o aproximácii zákonov, iných právnych predpisov a správnych opatrení členských štátov týkajúcich sa výroby, prezentácie a predaja tabakových a súvisiacich výrobkov a o zrušení smernice 2001/37/ES </w:t>
      </w:r>
      <w:r>
        <w:rPr>
          <w:rFonts w:ascii="Times New Roman" w:hAnsi="Times New Roman"/>
          <w:bCs/>
        </w:rPr>
        <w:t xml:space="preserve">sa minimálna hmotnosť </w:t>
      </w:r>
      <w:r w:rsidRPr="001861F1">
        <w:rPr>
          <w:rFonts w:ascii="Times New Roman" w:hAnsi="Times New Roman"/>
        </w:rPr>
        <w:t xml:space="preserve">spotrebiteľského balenia tabaku </w:t>
      </w:r>
      <w:r>
        <w:rPr>
          <w:rFonts w:ascii="Times New Roman" w:hAnsi="Times New Roman"/>
        </w:rPr>
        <w:t>upravuje v zákone č. 377/2004 Z. z. o ochrane nefajčiarov.</w:t>
      </w:r>
    </w:p>
    <w:p w:rsidR="00C415DB" w:rsidRPr="001926C6" w:rsidP="00C415DB">
      <w:pPr>
        <w:tabs>
          <w:tab w:val="left" w:pos="360"/>
        </w:tabs>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6</w:t>
      </w:r>
    </w:p>
    <w:p w:rsidR="00C415DB" w:rsidRPr="001926C6" w:rsidP="00C415DB">
      <w:pPr>
        <w:bidi w:val="0"/>
        <w:ind w:firstLine="567"/>
        <w:jc w:val="both"/>
        <w:rPr>
          <w:rFonts w:ascii="Times New Roman" w:hAnsi="Times New Roman"/>
        </w:rPr>
      </w:pPr>
      <w:r>
        <w:rPr>
          <w:rFonts w:ascii="Times New Roman" w:hAnsi="Times New Roman"/>
        </w:rPr>
        <w:t xml:space="preserve">Znenie ustanovenia sa upresňuje </w:t>
      </w:r>
      <w:r w:rsidRPr="001926C6">
        <w:rPr>
          <w:rFonts w:ascii="Times New Roman" w:hAnsi="Times New Roman"/>
        </w:rPr>
        <w:t>v nadväznosti na začlenenie tlačiarne do rozhodovacieho procesu pri odsúhlasovaní iných grafických a ochranných prvkov a údajov na kontrolnej známke.</w:t>
      </w:r>
    </w:p>
    <w:p w:rsidR="00C415DB" w:rsidRPr="001926C6" w:rsidP="00C415DB">
      <w:pPr>
        <w:tabs>
          <w:tab w:val="left" w:pos="360"/>
        </w:tabs>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8</w:t>
      </w:r>
    </w:p>
    <w:p w:rsidR="00C415DB" w:rsidRPr="007468F9" w:rsidP="00C415DB">
      <w:pPr>
        <w:bidi w:val="0"/>
        <w:ind w:firstLine="708"/>
        <w:jc w:val="both"/>
        <w:rPr>
          <w:rFonts w:ascii="Times New Roman" w:hAnsi="Times New Roman"/>
        </w:rPr>
      </w:pPr>
      <w:r w:rsidRPr="007468F9">
        <w:rPr>
          <w:rFonts w:ascii="Times New Roman" w:hAnsi="Times New Roman"/>
        </w:rPr>
        <w:t xml:space="preserve">Spresnením znenia sa upravujú povinnosti finančného riaditeľstva pri výkone daňového dozoru </w:t>
      </w:r>
      <w:r>
        <w:rPr>
          <w:rFonts w:ascii="Times New Roman" w:hAnsi="Times New Roman"/>
        </w:rPr>
        <w:t>pri tlači a pri</w:t>
      </w:r>
      <w:r w:rsidRPr="007468F9">
        <w:rPr>
          <w:rFonts w:ascii="Times New Roman" w:hAnsi="Times New Roman"/>
        </w:rPr>
        <w:t xml:space="preserve"> nakladaní s kontrolnými známkami v</w:t>
      </w:r>
      <w:r>
        <w:rPr>
          <w:rFonts w:ascii="Times New Roman" w:hAnsi="Times New Roman"/>
        </w:rPr>
        <w:t> </w:t>
      </w:r>
      <w:r w:rsidRPr="007468F9">
        <w:rPr>
          <w:rFonts w:ascii="Times New Roman" w:hAnsi="Times New Roman"/>
        </w:rPr>
        <w:t>tlačiarni</w:t>
      </w:r>
      <w:r>
        <w:rPr>
          <w:rFonts w:ascii="Times New Roman" w:hAnsi="Times New Roman"/>
        </w:rPr>
        <w:t>.</w:t>
      </w:r>
      <w:r w:rsidRPr="007468F9">
        <w:rPr>
          <w:rFonts w:ascii="Times New Roman" w:hAnsi="Times New Roman"/>
        </w:rPr>
        <w:t xml:space="preserve"> Zároveň sa </w:t>
      </w:r>
      <w:r>
        <w:rPr>
          <w:rFonts w:ascii="Times New Roman" w:hAnsi="Times New Roman"/>
        </w:rPr>
        <w:t>ustanovuje</w:t>
      </w:r>
      <w:r w:rsidRPr="007468F9">
        <w:rPr>
          <w:rFonts w:ascii="Times New Roman" w:hAnsi="Times New Roman"/>
        </w:rPr>
        <w:t xml:space="preserve"> povinnosť tlačiarni </w:t>
      </w:r>
      <w:r>
        <w:rPr>
          <w:rFonts w:ascii="Times New Roman" w:hAnsi="Times New Roman"/>
        </w:rPr>
        <w:t>likvidovať kontrolné známky za prítomnosti správcu dane.</w:t>
      </w:r>
      <w:r w:rsidRPr="007468F9">
        <w:rPr>
          <w:rFonts w:ascii="Times New Roman" w:hAnsi="Times New Roman"/>
        </w:rPr>
        <w:t xml:space="preserve"> Súčasne sa znenie ustanovenia pojmovo zosúlaďuje tak, aby sa zhodovalo s činnosťou finančného riaditeľstva </w:t>
      </w:r>
      <w:r>
        <w:rPr>
          <w:rFonts w:ascii="Times New Roman" w:hAnsi="Times New Roman"/>
        </w:rPr>
        <w:t xml:space="preserve">                </w:t>
      </w:r>
      <w:r w:rsidRPr="007468F9">
        <w:rPr>
          <w:rFonts w:ascii="Times New Roman" w:hAnsi="Times New Roman"/>
        </w:rPr>
        <w:t xml:space="preserve">v tlačiarni. </w:t>
      </w:r>
    </w:p>
    <w:p w:rsidR="00C415DB" w:rsidP="00C415DB">
      <w:pPr>
        <w:autoSpaceDE w:val="0"/>
        <w:autoSpaceDN w:val="0"/>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9</w:t>
      </w:r>
    </w:p>
    <w:p w:rsidR="00C415DB" w:rsidRPr="007468F9" w:rsidP="00C415DB">
      <w:pPr>
        <w:bidi w:val="0"/>
        <w:ind w:firstLine="708"/>
        <w:jc w:val="both"/>
        <w:rPr>
          <w:rFonts w:ascii="Times New Roman" w:hAnsi="Times New Roman"/>
        </w:rPr>
      </w:pPr>
      <w:r w:rsidRPr="007468F9">
        <w:rPr>
          <w:rFonts w:ascii="Times New Roman" w:hAnsi="Times New Roman"/>
        </w:rPr>
        <w:t>Z dôvodu zosúladenia procesov vydávania objednaných kontrolných známok a preberania reklamovaných kontrolných známok v tlačiarni sa umožňuje zamestnancovi finančného riaditeľstva v tlačiarni stanoviť termín odovzdania reklamovaných kontrolných známok odberateľom kontrolných známok v</w:t>
      </w:r>
      <w:r>
        <w:rPr>
          <w:rFonts w:ascii="Times New Roman" w:hAnsi="Times New Roman"/>
        </w:rPr>
        <w:t> </w:t>
      </w:r>
      <w:r w:rsidRPr="007468F9">
        <w:rPr>
          <w:rFonts w:ascii="Times New Roman" w:hAnsi="Times New Roman"/>
        </w:rPr>
        <w:t>tlačiarni</w:t>
      </w:r>
      <w:r>
        <w:rPr>
          <w:rFonts w:ascii="Times New Roman" w:hAnsi="Times New Roman"/>
        </w:rPr>
        <w:t xml:space="preserve"> a upravuje sa postup pri vydávaní kontrolných známok, ktorých reklamáciu tlačiareň uznala</w:t>
      </w:r>
      <w:r w:rsidRPr="007468F9">
        <w:rPr>
          <w:rFonts w:ascii="Times New Roman" w:hAnsi="Times New Roman"/>
        </w:rPr>
        <w:t>.</w:t>
      </w:r>
      <w:r>
        <w:rPr>
          <w:rFonts w:ascii="Times New Roman" w:hAnsi="Times New Roman"/>
        </w:rPr>
        <w:t xml:space="preserve"> Súčasne sa ustanovuje povinnosť tlačiarni informovať správcu dane o počte a identifikačných číslach kontrolných známok, ktorých reklamáciu posúdila ako oprávnenú. </w:t>
      </w:r>
    </w:p>
    <w:p w:rsidR="00C415DB" w:rsidRPr="001926C6" w:rsidP="00C415DB">
      <w:pPr>
        <w:tabs>
          <w:tab w:val="left" w:pos="360"/>
        </w:tabs>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10</w:t>
      </w:r>
    </w:p>
    <w:p w:rsidR="00C415DB" w:rsidRPr="007468F9" w:rsidP="00C415DB">
      <w:pPr>
        <w:bidi w:val="0"/>
        <w:ind w:firstLine="708"/>
        <w:jc w:val="both"/>
        <w:rPr>
          <w:rFonts w:ascii="Times New Roman" w:hAnsi="Times New Roman"/>
        </w:rPr>
      </w:pPr>
      <w:r w:rsidRPr="007468F9">
        <w:rPr>
          <w:rFonts w:ascii="Times New Roman" w:hAnsi="Times New Roman"/>
        </w:rPr>
        <w:t>Upravuje a zjednodušuje sa vedenie evidenc</w:t>
      </w:r>
      <w:r>
        <w:rPr>
          <w:rFonts w:ascii="Times New Roman" w:hAnsi="Times New Roman"/>
        </w:rPr>
        <w:t>ie o použití kontrolných známok.</w:t>
      </w:r>
      <w:r w:rsidRPr="007468F9">
        <w:rPr>
          <w:rFonts w:ascii="Times New Roman" w:hAnsi="Times New Roman"/>
        </w:rPr>
        <w:t xml:space="preserve"> </w:t>
      </w:r>
      <w:r>
        <w:rPr>
          <w:rFonts w:ascii="Times New Roman" w:hAnsi="Times New Roman"/>
        </w:rPr>
        <w:t>Kontrolné známky nalepené na spotrebiteľské balenie tabakových výrobkov odovzdané colnému úradu na zničenie uvedie odberateľ kontrolných známok medzi poškodené kontrolné známky z iného dôvodu ako vyššej moci.</w:t>
      </w:r>
    </w:p>
    <w:p w:rsidR="00C415DB" w:rsidRPr="001926C6" w:rsidP="00C415DB">
      <w:pPr>
        <w:tabs>
          <w:tab w:val="left" w:pos="360"/>
        </w:tabs>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11</w:t>
      </w:r>
    </w:p>
    <w:p w:rsidR="00C415DB" w:rsidRPr="001926C6" w:rsidP="00C415DB">
      <w:pPr>
        <w:bidi w:val="0"/>
        <w:ind w:firstLine="567"/>
        <w:jc w:val="both"/>
        <w:rPr>
          <w:rFonts w:ascii="Times New Roman" w:hAnsi="Times New Roman"/>
        </w:rPr>
      </w:pPr>
      <w:r w:rsidRPr="001926C6">
        <w:rPr>
          <w:rFonts w:ascii="Times New Roman" w:hAnsi="Times New Roman"/>
        </w:rPr>
        <w:t>Úpravou ustanovenia sa doč</w:t>
      </w:r>
      <w:r>
        <w:rPr>
          <w:rFonts w:ascii="Times New Roman" w:hAnsi="Times New Roman"/>
        </w:rPr>
        <w:t>asne (do 30. júna 2016</w:t>
      </w:r>
      <w:r w:rsidRPr="001926C6">
        <w:rPr>
          <w:rFonts w:ascii="Times New Roman" w:hAnsi="Times New Roman"/>
        </w:rPr>
        <w:t>) povoľuje uznať vyššie percento nenávratne zničených kontrolných známok v technologickom zariadení slúžiacom na nalepenie kontrolných známok na spotrebiteľské balenie cigariet.</w:t>
      </w:r>
    </w:p>
    <w:p w:rsidR="00C415DB" w:rsidRPr="001926C6" w:rsidP="00C415DB">
      <w:pPr>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12</w:t>
      </w:r>
    </w:p>
    <w:p w:rsidR="00C415DB" w:rsidP="00C415DB">
      <w:pPr>
        <w:bidi w:val="0"/>
        <w:ind w:firstLine="567"/>
        <w:jc w:val="both"/>
        <w:rPr>
          <w:rFonts w:ascii="Times New Roman" w:hAnsi="Times New Roman"/>
        </w:rPr>
      </w:pPr>
      <w:r w:rsidRPr="001926C6">
        <w:rPr>
          <w:rFonts w:ascii="Times New Roman" w:hAnsi="Times New Roman"/>
        </w:rPr>
        <w:t xml:space="preserve">Vzhľadom na technickú špecifickosť pri označovaní cigár, cigariek a tabaku kontrolnými známkami sa navrhuje ustanoviť samostatný limit na kontrolné známky nenávratne zničené </w:t>
      </w:r>
      <w:r>
        <w:rPr>
          <w:rFonts w:ascii="Times New Roman" w:hAnsi="Times New Roman"/>
        </w:rPr>
        <w:t xml:space="preserve">               </w:t>
      </w:r>
      <w:r w:rsidRPr="001926C6">
        <w:rPr>
          <w:rFonts w:ascii="Times New Roman" w:hAnsi="Times New Roman"/>
        </w:rPr>
        <w:t>v technologickom zariadení slúžiacom na nalepenie kontrolných známok na tieto spotrebiteľské balenia.</w:t>
      </w:r>
    </w:p>
    <w:p w:rsidR="00C415DB" w:rsidRPr="001926C6" w:rsidP="00C415DB">
      <w:pPr>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13</w:t>
      </w:r>
    </w:p>
    <w:p w:rsidR="00C415DB" w:rsidRPr="007468F9" w:rsidP="00C415DB">
      <w:pPr>
        <w:bidi w:val="0"/>
        <w:ind w:firstLine="708"/>
        <w:jc w:val="both"/>
        <w:rPr>
          <w:rFonts w:ascii="Times New Roman" w:hAnsi="Times New Roman"/>
          <w:bCs/>
        </w:rPr>
      </w:pPr>
      <w:r w:rsidRPr="007468F9">
        <w:rPr>
          <w:rFonts w:ascii="Times New Roman" w:hAnsi="Times New Roman"/>
        </w:rPr>
        <w:t xml:space="preserve">Ustanovenie sa dopĺňa tak, aby bolo zrejmé, že odberateľ kontrolných známok, ktorý nemá kontrolné známky, nie je povinný viesť nulovú evidenciu kontrolných známok. </w:t>
      </w:r>
      <w:r>
        <w:rPr>
          <w:rFonts w:ascii="Times New Roman" w:hAnsi="Times New Roman"/>
        </w:rPr>
        <w:t>V prípade, že v danom mesiaci obdrží poškodené alebo reklamované kontrolné známky, je povinný uviesť tieto skutočnosti v evidencii.</w:t>
      </w:r>
    </w:p>
    <w:p w:rsidR="00C415DB" w:rsidP="00C415DB">
      <w:pPr>
        <w:autoSpaceDE w:val="0"/>
        <w:autoSpaceDN w:val="0"/>
        <w:bidi w:val="0"/>
        <w:jc w:val="both"/>
        <w:rPr>
          <w:rFonts w:ascii="Times New Roman" w:hAnsi="Times New Roman"/>
          <w:b/>
          <w:bCs/>
          <w:color w:val="000000"/>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14</w:t>
      </w:r>
    </w:p>
    <w:p w:rsidR="00C415DB" w:rsidRPr="007468F9" w:rsidP="00C415DB">
      <w:pPr>
        <w:bidi w:val="0"/>
        <w:ind w:firstLine="708"/>
        <w:jc w:val="both"/>
        <w:rPr>
          <w:rFonts w:ascii="Times New Roman" w:hAnsi="Times New Roman"/>
        </w:rPr>
      </w:pPr>
      <w:r w:rsidRPr="007468F9">
        <w:rPr>
          <w:rFonts w:ascii="Times New Roman" w:hAnsi="Times New Roman"/>
        </w:rPr>
        <w:t>Odberateľ kontrolných známok je povinný oznamovať prostredníctvom elektronického systému kontrolných známok údaje o  kontrolných známkach, ktoré použil na označenie spotrebiteľských balení</w:t>
      </w:r>
      <w:r>
        <w:rPr>
          <w:rFonts w:ascii="Times New Roman" w:hAnsi="Times New Roman"/>
        </w:rPr>
        <w:t xml:space="preserve"> a viesť evidenciu o kontrolných známkach</w:t>
      </w:r>
      <w:r w:rsidRPr="007468F9">
        <w:rPr>
          <w:rFonts w:ascii="Times New Roman" w:hAnsi="Times New Roman"/>
        </w:rPr>
        <w:t xml:space="preserve">. V prípade, že dôjde k pochybeniu a odberateľ kontrolných známok zistí, že údaje, ktoré oznámil sú nesprávne, umožňuje sa so súhlasom colného úradu chybne oznámené údaje v elektronickom systéme opraviť. </w:t>
      </w:r>
    </w:p>
    <w:p w:rsidR="00C415DB" w:rsidRPr="001926C6" w:rsidP="00C415DB">
      <w:pPr>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15</w:t>
      </w:r>
    </w:p>
    <w:p w:rsidR="00C415DB" w:rsidRPr="001926C6" w:rsidP="00C415DB">
      <w:pPr>
        <w:bidi w:val="0"/>
        <w:ind w:firstLine="567"/>
        <w:jc w:val="both"/>
        <w:rPr>
          <w:rFonts w:ascii="Times New Roman" w:hAnsi="Times New Roman"/>
        </w:rPr>
      </w:pPr>
      <w:r w:rsidRPr="001926C6">
        <w:rPr>
          <w:rFonts w:ascii="Times New Roman" w:hAnsi="Times New Roman"/>
        </w:rPr>
        <w:t>Navrhovanou úpravou sa spresňuje zákaz predaja cigár alebo cigariek na konečnú spotrebu podmienený kúpou iného tabakového výrobku alebo iného tovaru za cenu nižšiu, ako je výška dane pripadajúcej na spotrebiteľské balenie tabaku, cigár alebo cigariek a dane z pridanej hodnoty pripadajúcej na toto spotrebiteľské balenie tabaku, cigár alebo cigariek.</w:t>
      </w:r>
    </w:p>
    <w:p w:rsidR="00C415DB" w:rsidRPr="001926C6" w:rsidP="00C415DB">
      <w:pPr>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16</w:t>
      </w:r>
    </w:p>
    <w:p w:rsidR="00C415DB" w:rsidRPr="001926C6" w:rsidP="00C415DB">
      <w:pPr>
        <w:bidi w:val="0"/>
        <w:ind w:firstLine="567"/>
        <w:jc w:val="both"/>
        <w:rPr>
          <w:rFonts w:ascii="Times New Roman" w:hAnsi="Times New Roman"/>
        </w:rPr>
      </w:pPr>
      <w:r w:rsidRPr="001926C6">
        <w:rPr>
          <w:rFonts w:ascii="Times New Roman" w:hAnsi="Times New Roman"/>
        </w:rPr>
        <w:t xml:space="preserve">Z dôvodu, že prevádzkovateľ daňového skladu nie je vždy vopred informovaný </w:t>
      </w:r>
      <w:r>
        <w:rPr>
          <w:rFonts w:ascii="Times New Roman" w:hAnsi="Times New Roman"/>
        </w:rPr>
        <w:t xml:space="preserve">                       o obchodných názvoch</w:t>
      </w:r>
      <w:r w:rsidRPr="001926C6">
        <w:rPr>
          <w:rFonts w:ascii="Times New Roman" w:hAnsi="Times New Roman"/>
        </w:rPr>
        <w:t xml:space="preserve"> tabakových výrobkov, ktoré chce prijať, umožňuje sa, aby tento údaj oznamoval colnému úradu do 15 dní po dni</w:t>
      </w:r>
      <w:r>
        <w:rPr>
          <w:rFonts w:ascii="Times New Roman" w:hAnsi="Times New Roman"/>
        </w:rPr>
        <w:t>,</w:t>
      </w:r>
      <w:r w:rsidRPr="001926C6">
        <w:rPr>
          <w:rFonts w:ascii="Times New Roman" w:hAnsi="Times New Roman"/>
        </w:rPr>
        <w:t xml:space="preserve"> kedy tieto tabakové výrobky prijal.</w:t>
      </w:r>
    </w:p>
    <w:p w:rsidR="00C415DB" w:rsidRPr="001926C6" w:rsidP="00C415DB">
      <w:pPr>
        <w:bidi w:val="0"/>
        <w:jc w:val="both"/>
        <w:rPr>
          <w:rFonts w:ascii="Times New Roman" w:hAnsi="Times New Roman"/>
        </w:rPr>
      </w:pPr>
    </w:p>
    <w:p w:rsidR="00C415DB" w:rsidRPr="001926C6" w:rsidP="00C415DB">
      <w:pPr>
        <w:bidi w:val="0"/>
        <w:jc w:val="both"/>
        <w:rPr>
          <w:rFonts w:ascii="Times New Roman" w:hAnsi="Times New Roman"/>
          <w:b/>
        </w:rPr>
      </w:pPr>
      <w:r w:rsidRPr="001926C6">
        <w:rPr>
          <w:rFonts w:ascii="Times New Roman" w:hAnsi="Times New Roman"/>
          <w:b/>
        </w:rPr>
        <w:t>K bodom 1</w:t>
      </w:r>
      <w:r>
        <w:rPr>
          <w:rFonts w:ascii="Times New Roman" w:hAnsi="Times New Roman"/>
          <w:b/>
        </w:rPr>
        <w:t>7 a 18</w:t>
      </w:r>
    </w:p>
    <w:p w:rsidR="00C415DB" w:rsidRPr="001926C6" w:rsidP="00C415DB">
      <w:pPr>
        <w:bidi w:val="0"/>
        <w:ind w:firstLine="567"/>
        <w:jc w:val="both"/>
        <w:rPr>
          <w:rFonts w:ascii="Times New Roman" w:hAnsi="Times New Roman"/>
        </w:rPr>
      </w:pPr>
      <w:r w:rsidRPr="001926C6">
        <w:rPr>
          <w:rFonts w:ascii="Times New Roman" w:hAnsi="Times New Roman"/>
        </w:rPr>
        <w:t>Navrhovanou úpravou sa spresňuje vznik daňovej povinnosti pri dovoze tabakovej suroviny z tretích štátov, ktorá je uvedená do colného režimu voľný obeh tak, že držiteľovi povolenia na obchodovanie s tabakovou surovinou, ktorý je prevádzkovateľom daňového skladu a nie je konečným spotrebiteľom tabakovej suroviny daňová povinnosť</w:t>
      </w:r>
      <w:r>
        <w:rPr>
          <w:rFonts w:ascii="Times New Roman" w:hAnsi="Times New Roman"/>
        </w:rPr>
        <w:t>,</w:t>
      </w:r>
      <w:r w:rsidRPr="001926C6">
        <w:rPr>
          <w:rFonts w:ascii="Times New Roman" w:hAnsi="Times New Roman"/>
        </w:rPr>
        <w:t xml:space="preserve"> nevzniká ak sa preukáže colnému úradu povolením na prevádzkovanie daňového skladu a čestným vyhlásením, že nie je konečným spotrebiteľom tabakovej suroviny. Zároveň sa v tejto súvislosti spresňuje, kto je platiteľom dane.</w:t>
      </w:r>
    </w:p>
    <w:p w:rsidR="00896B85" w:rsidRPr="001926C6" w:rsidP="00C415DB">
      <w:pPr>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bodu </w:t>
      </w:r>
      <w:r>
        <w:rPr>
          <w:rFonts w:ascii="Times New Roman" w:hAnsi="Times New Roman"/>
          <w:b/>
          <w:bCs/>
          <w:color w:val="000000"/>
        </w:rPr>
        <w:t>19</w:t>
      </w:r>
    </w:p>
    <w:p w:rsidR="00C415DB" w:rsidRPr="001926C6" w:rsidP="00C415DB">
      <w:pPr>
        <w:bidi w:val="0"/>
        <w:ind w:firstLine="567"/>
        <w:jc w:val="both"/>
        <w:rPr>
          <w:rFonts w:ascii="Times New Roman" w:hAnsi="Times New Roman"/>
        </w:rPr>
      </w:pPr>
      <w:r w:rsidRPr="001926C6">
        <w:rPr>
          <w:rFonts w:ascii="Times New Roman" w:hAnsi="Times New Roman"/>
        </w:rPr>
        <w:t>Navrhované znenie spresňuje definíciu daňovej spoľahlivosti pre žiadateľa o upustenie od zloženia zábezpeky na daň tak, že za daňovo nespoľahlivého sa bude považovať len ten prevádzkovateľ daňového skladu, ktorý sa dopustí niektorého z vybraných správnych deliktov.</w:t>
      </w:r>
    </w:p>
    <w:p w:rsidR="00C415DB" w:rsidRPr="001926C6" w:rsidP="00C415DB">
      <w:pPr>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K</w:t>
      </w:r>
      <w:r>
        <w:rPr>
          <w:rFonts w:ascii="Times New Roman" w:hAnsi="Times New Roman"/>
          <w:b/>
          <w:bCs/>
          <w:color w:val="000000"/>
        </w:rPr>
        <w:t> bodu 20</w:t>
      </w:r>
    </w:p>
    <w:p w:rsidR="00C415DB" w:rsidRPr="001926C6" w:rsidP="00C415DB">
      <w:pPr>
        <w:autoSpaceDE w:val="0"/>
        <w:autoSpaceDN w:val="0"/>
        <w:bidi w:val="0"/>
        <w:ind w:firstLine="567"/>
        <w:jc w:val="both"/>
        <w:rPr>
          <w:rStyle w:val="PlaceholderText"/>
          <w:color w:val="000000"/>
        </w:rPr>
      </w:pPr>
      <w:r w:rsidRPr="001926C6">
        <w:rPr>
          <w:rFonts w:ascii="Times New Roman" w:hAnsi="Times New Roman"/>
        </w:rPr>
        <w:t xml:space="preserve">Navrhované znenie upravuje </w:t>
      </w:r>
      <w:r w:rsidRPr="001926C6">
        <w:rPr>
          <w:rStyle w:val="PlaceholderText"/>
          <w:color w:val="000000"/>
        </w:rPr>
        <w:t xml:space="preserve">možnosť dočasne pozastaviť prístup do elektronického systému prepráv tabakových výrobkov daňovému subjektu, ktorým </w:t>
      </w:r>
      <w:r>
        <w:rPr>
          <w:rStyle w:val="PlaceholderText"/>
          <w:color w:val="000000"/>
        </w:rPr>
        <w:t xml:space="preserve">je </w:t>
      </w:r>
      <w:r w:rsidRPr="001926C6">
        <w:rPr>
          <w:rStyle w:val="PlaceholderText"/>
          <w:color w:val="000000"/>
        </w:rPr>
        <w:t>prevádzkovateľ daňového skladu, oprávnený príjemca alebo registrovaný odosielateľ, ak má správca dane odôvodnenú obavu, že nesplatná daň alebo nevyrubená daň bude v rozsahu presahujúcom zloženú zábezpeku na daň, v čase jej splatnosti a vymáhateľnosti nevymožiteľná alebo že v tomto čase bude vymáhanie dane spojené so značnými ťažkosťami</w:t>
      </w:r>
      <w:r>
        <w:rPr>
          <w:rStyle w:val="PlaceholderText"/>
          <w:color w:val="000000"/>
        </w:rPr>
        <w:t xml:space="preserve">. Obdobná úprava je i v </w:t>
      </w:r>
      <w:r w:rsidRPr="001926C6">
        <w:rPr>
          <w:rStyle w:val="PlaceholderText"/>
          <w:color w:val="000000"/>
        </w:rPr>
        <w:t xml:space="preserve"> zákone o spotrebnej dani z minerálneho oleja a alkoholických nápojov. </w:t>
      </w:r>
    </w:p>
    <w:p w:rsidR="00C415DB" w:rsidRPr="001926C6" w:rsidP="00C415DB">
      <w:pPr>
        <w:bidi w:val="0"/>
        <w:jc w:val="both"/>
        <w:rPr>
          <w:rFonts w:ascii="Times New Roman" w:hAnsi="Times New Roman"/>
        </w:rPr>
      </w:pPr>
    </w:p>
    <w:p w:rsidR="00C415DB" w:rsidP="00C415DB">
      <w:pPr>
        <w:autoSpaceDE w:val="0"/>
        <w:autoSpaceDN w:val="0"/>
        <w:bidi w:val="0"/>
        <w:jc w:val="both"/>
        <w:rPr>
          <w:rFonts w:ascii="Times New Roman" w:hAnsi="Times New Roman"/>
          <w:b/>
          <w:bCs/>
          <w:color w:val="000000"/>
        </w:rPr>
      </w:pPr>
      <w:r>
        <w:rPr>
          <w:rFonts w:ascii="Times New Roman" w:hAnsi="Times New Roman"/>
          <w:b/>
          <w:bCs/>
          <w:color w:val="000000"/>
        </w:rPr>
        <w:t>K bodu 22</w:t>
      </w:r>
    </w:p>
    <w:p w:rsidR="00C415DB" w:rsidRPr="00554534" w:rsidP="00954C75">
      <w:pPr>
        <w:autoSpaceDE w:val="0"/>
        <w:autoSpaceDN w:val="0"/>
        <w:bidi w:val="0"/>
        <w:ind w:firstLine="567"/>
        <w:jc w:val="both"/>
        <w:rPr>
          <w:rFonts w:ascii="Times New Roman" w:hAnsi="Times New Roman"/>
          <w:bCs/>
          <w:color w:val="000000"/>
        </w:rPr>
      </w:pPr>
      <w:r w:rsidRPr="00554534">
        <w:rPr>
          <w:rFonts w:ascii="Times New Roman" w:hAnsi="Times New Roman"/>
          <w:bCs/>
          <w:color w:val="000000"/>
        </w:rPr>
        <w:t>Legislatívno-technická úprava ustanovenia.</w:t>
      </w:r>
    </w:p>
    <w:p w:rsidR="00C415DB" w:rsidP="00C415DB">
      <w:pPr>
        <w:autoSpaceDE w:val="0"/>
        <w:autoSpaceDN w:val="0"/>
        <w:bidi w:val="0"/>
        <w:jc w:val="both"/>
        <w:rPr>
          <w:rFonts w:ascii="Times New Roman" w:hAnsi="Times New Roman"/>
          <w:b/>
          <w:bCs/>
          <w:color w:val="000000"/>
        </w:rPr>
      </w:pPr>
    </w:p>
    <w:p w:rsidR="00C415DB" w:rsidRPr="001926C6" w:rsidP="00C415DB">
      <w:pPr>
        <w:autoSpaceDE w:val="0"/>
        <w:autoSpaceDN w:val="0"/>
        <w:bidi w:val="0"/>
        <w:jc w:val="both"/>
        <w:rPr>
          <w:rFonts w:ascii="Times New Roman" w:hAnsi="Times New Roman"/>
          <w:b/>
          <w:bCs/>
          <w:color w:val="000000"/>
        </w:rPr>
      </w:pPr>
      <w:r>
        <w:rPr>
          <w:rFonts w:ascii="Times New Roman" w:hAnsi="Times New Roman"/>
          <w:b/>
          <w:bCs/>
          <w:color w:val="000000"/>
        </w:rPr>
        <w:t>K bodom 23 a 25</w:t>
      </w:r>
    </w:p>
    <w:p w:rsidR="00C415DB" w:rsidRPr="001926C6" w:rsidP="00C415DB">
      <w:pPr>
        <w:bidi w:val="0"/>
        <w:ind w:firstLine="567"/>
        <w:jc w:val="both"/>
        <w:rPr>
          <w:rFonts w:ascii="Times New Roman" w:hAnsi="Times New Roman"/>
        </w:rPr>
      </w:pPr>
      <w:r w:rsidRPr="001926C6">
        <w:rPr>
          <w:rFonts w:ascii="Times New Roman" w:hAnsi="Times New Roman"/>
        </w:rPr>
        <w:t xml:space="preserve">V súvislosti s úpravou, ktorou sa </w:t>
      </w:r>
      <w:r>
        <w:rPr>
          <w:rFonts w:ascii="Times New Roman" w:hAnsi="Times New Roman"/>
        </w:rPr>
        <w:t>upravuje</w:t>
      </w:r>
      <w:r w:rsidRPr="001926C6">
        <w:rPr>
          <w:rFonts w:ascii="Times New Roman" w:hAnsi="Times New Roman"/>
        </w:rPr>
        <w:t xml:space="preserve"> limit na </w:t>
      </w:r>
      <w:r>
        <w:rPr>
          <w:rFonts w:ascii="Times New Roman" w:hAnsi="Times New Roman"/>
        </w:rPr>
        <w:t>množstvo kontrolných známok nenávratne zničených</w:t>
      </w:r>
      <w:r w:rsidRPr="001926C6">
        <w:rPr>
          <w:rFonts w:ascii="Times New Roman" w:hAnsi="Times New Roman"/>
        </w:rPr>
        <w:t xml:space="preserve"> v technologickom zariadení slúžiacom na nalepenie kontrolných známok na spotrebiteľské balenie cigariet, je potrebné primerane upraviť správne delikty.</w:t>
      </w:r>
    </w:p>
    <w:p w:rsidR="00C415DB" w:rsidP="00C415DB">
      <w:pPr>
        <w:bidi w:val="0"/>
        <w:ind w:firstLine="567"/>
        <w:jc w:val="both"/>
        <w:rPr>
          <w:rFonts w:ascii="Times New Roman" w:hAnsi="Times New Roman"/>
        </w:rPr>
      </w:pPr>
      <w:r>
        <w:rPr>
          <w:rFonts w:ascii="Times New Roman" w:hAnsi="Times New Roman"/>
        </w:rPr>
        <w:t>Tiež sa n</w:t>
      </w:r>
      <w:r w:rsidRPr="001926C6">
        <w:rPr>
          <w:rFonts w:ascii="Times New Roman" w:hAnsi="Times New Roman"/>
        </w:rPr>
        <w:t xml:space="preserve">avrhuje </w:t>
      </w:r>
      <w:r>
        <w:rPr>
          <w:rFonts w:ascii="Times New Roman" w:hAnsi="Times New Roman"/>
        </w:rPr>
        <w:t>upraviť</w:t>
      </w:r>
      <w:r w:rsidRPr="001926C6">
        <w:rPr>
          <w:rFonts w:ascii="Times New Roman" w:hAnsi="Times New Roman"/>
        </w:rPr>
        <w:t xml:space="preserve"> </w:t>
      </w:r>
      <w:r>
        <w:rPr>
          <w:rFonts w:ascii="Times New Roman" w:hAnsi="Times New Roman"/>
        </w:rPr>
        <w:t>sankcia</w:t>
      </w:r>
      <w:r w:rsidRPr="001926C6">
        <w:rPr>
          <w:rFonts w:ascii="Times New Roman" w:hAnsi="Times New Roman"/>
        </w:rPr>
        <w:t xml:space="preserve"> za správne delikty, a to v súvislosti s navrhovanou úpravou limitu kontrolných známok nenávratne zničených v technologickom zariadení slúžiacom na nalepenie kontrolných známok na spotrebiteľské balenie tabakových výrobkov.</w:t>
      </w:r>
    </w:p>
    <w:p w:rsidR="00C415DB" w:rsidRPr="001926C6" w:rsidP="00C415DB">
      <w:pPr>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K </w:t>
      </w:r>
      <w:r w:rsidRPr="0003415A">
        <w:rPr>
          <w:rFonts w:ascii="Times New Roman" w:hAnsi="Times New Roman"/>
          <w:b/>
          <w:bCs/>
          <w:color w:val="000000"/>
        </w:rPr>
        <w:t>bodom 2</w:t>
      </w:r>
      <w:r>
        <w:rPr>
          <w:rFonts w:ascii="Times New Roman" w:hAnsi="Times New Roman"/>
          <w:b/>
          <w:bCs/>
          <w:color w:val="000000"/>
        </w:rPr>
        <w:t>4 a 26</w:t>
      </w:r>
    </w:p>
    <w:p w:rsidR="00C415DB" w:rsidRPr="001926C6" w:rsidP="00C415DB">
      <w:pPr>
        <w:bidi w:val="0"/>
        <w:ind w:firstLine="567"/>
        <w:jc w:val="both"/>
        <w:rPr>
          <w:rFonts w:ascii="Times New Roman" w:hAnsi="Times New Roman"/>
        </w:rPr>
      </w:pPr>
      <w:r w:rsidRPr="001926C6">
        <w:rPr>
          <w:rFonts w:ascii="Times New Roman" w:hAnsi="Times New Roman"/>
        </w:rPr>
        <w:t>Navrhované ustanovenie sa dopĺňa o nové skutkové podstaty správnych deliktov, a to za porušenie resp. neplnenie si povinností vyplývajúcich zo zákona č. 106/2004 Z. z. a v</w:t>
      </w:r>
      <w:r w:rsidRPr="001926C6">
        <w:rPr>
          <w:rFonts w:ascii="Times New Roman" w:hAnsi="Times New Roman"/>
          <w:color w:val="000000"/>
        </w:rPr>
        <w:t xml:space="preserve">yhlášky Ministerstva financií Slovenskej republiky č. 254/2014 Z. z., ktorou sa ustanovujú náležitosti, vyhotovenie a cena kontrolnej známky určenej na označovanie spotrebiteľského balenia tabakových výrobkov </w:t>
      </w:r>
      <w:r w:rsidRPr="001926C6">
        <w:rPr>
          <w:rFonts w:ascii="Times New Roman" w:hAnsi="Times New Roman"/>
        </w:rPr>
        <w:t xml:space="preserve">tlačiarňou a za nesprávne oznámené údaje podľa vyhlášky </w:t>
      </w:r>
      <w:r w:rsidRPr="001926C6">
        <w:rPr>
          <w:rFonts w:ascii="Times New Roman" w:hAnsi="Times New Roman"/>
          <w:color w:val="000000"/>
        </w:rPr>
        <w:t xml:space="preserve">Ministerstva financií Slovenskej republiky č. 255/2014 Z. z. o označovaní balení kontrolných známok určených na označovanie spotrebiteľského balenia tabakových výrobkov a o oznamovaní a zverejňovaní údajov o týchto kontrolných známkach </w:t>
      </w:r>
      <w:r w:rsidRPr="001926C6">
        <w:rPr>
          <w:rFonts w:ascii="Times New Roman" w:hAnsi="Times New Roman"/>
        </w:rPr>
        <w:t>odberateľom kontrolných známok. Správne delikty sa usta</w:t>
      </w:r>
      <w:r>
        <w:rPr>
          <w:rFonts w:ascii="Times New Roman" w:hAnsi="Times New Roman"/>
        </w:rPr>
        <w:t>novujú samostatne pre prípad, ak</w:t>
      </w:r>
      <w:r w:rsidRPr="001926C6">
        <w:rPr>
          <w:rFonts w:ascii="Times New Roman" w:hAnsi="Times New Roman"/>
        </w:rPr>
        <w:t xml:space="preserve"> sa nezrovnalosť v oznámených údajoch zistí u odberateľa spotrebiteľských balení v daňovom voľnom obehu a ak sa nezrovnalosť zistí v rámci výkonu daňového dozoru správcom dane. Zároveň sa v súvislosti s úpravou, ktorou sa povoľuje vyššie percento nenávratne zničených kontrolných známok v technologickom zariadení slúžiacom na nalepenie kontrolných známok na spotrebiteľské balenie tabaku, cigár a cigariek, </w:t>
      </w:r>
      <w:r>
        <w:rPr>
          <w:rFonts w:ascii="Times New Roman" w:hAnsi="Times New Roman"/>
        </w:rPr>
        <w:t>primerane upravujú</w:t>
      </w:r>
      <w:r w:rsidRPr="001926C6">
        <w:rPr>
          <w:rFonts w:ascii="Times New Roman" w:hAnsi="Times New Roman"/>
        </w:rPr>
        <w:t xml:space="preserve"> správne delikty.</w:t>
      </w:r>
      <w:r>
        <w:rPr>
          <w:rFonts w:ascii="Times New Roman" w:hAnsi="Times New Roman"/>
        </w:rPr>
        <w:t xml:space="preserve"> Súčasne sa stanovuje pokuta za neoznámenie údajov do informačného systému kontrolných známok.</w:t>
      </w:r>
    </w:p>
    <w:p w:rsidR="00C415DB" w:rsidRPr="001926C6" w:rsidP="00C415DB">
      <w:pPr>
        <w:autoSpaceDE w:val="0"/>
        <w:autoSpaceDN w:val="0"/>
        <w:bidi w:val="0"/>
        <w:ind w:firstLine="567"/>
        <w:jc w:val="both"/>
        <w:rPr>
          <w:rFonts w:ascii="Times New Roman" w:hAnsi="Times New Roman"/>
          <w:b/>
          <w:bCs/>
          <w:color w:val="000000"/>
        </w:rPr>
      </w:pPr>
      <w:r>
        <w:rPr>
          <w:rFonts w:ascii="Times New Roman" w:hAnsi="Times New Roman"/>
        </w:rPr>
        <w:t xml:space="preserve">Zároveň sa  ustanovujú výšky pokút, ktoré </w:t>
      </w:r>
      <w:r w:rsidRPr="001926C6">
        <w:rPr>
          <w:rFonts w:ascii="Times New Roman" w:hAnsi="Times New Roman"/>
        </w:rPr>
        <w:t>sú odstupňované v závislosti od závažnosti pochybenia odberateľa kontrolných známok.</w:t>
      </w:r>
    </w:p>
    <w:p w:rsidR="00896B85" w:rsidRPr="001926C6" w:rsidP="00C415DB">
      <w:pPr>
        <w:autoSpaceDE w:val="0"/>
        <w:autoSpaceDN w:val="0"/>
        <w:bidi w:val="0"/>
        <w:jc w:val="both"/>
        <w:rPr>
          <w:rFonts w:ascii="Times New Roman" w:hAnsi="Times New Roman"/>
          <w:b/>
          <w:bCs/>
          <w:color w:val="000000"/>
        </w:rPr>
      </w:pPr>
    </w:p>
    <w:p w:rsidR="00C415DB" w:rsidRPr="001926C6" w:rsidP="00C415DB">
      <w:pPr>
        <w:autoSpaceDE w:val="0"/>
        <w:autoSpaceDN w:val="0"/>
        <w:bidi w:val="0"/>
        <w:jc w:val="both"/>
        <w:rPr>
          <w:rFonts w:ascii="Times New Roman" w:hAnsi="Times New Roman"/>
          <w:b/>
          <w:bCs/>
          <w:color w:val="000000"/>
        </w:rPr>
      </w:pPr>
      <w:r w:rsidRPr="001926C6">
        <w:rPr>
          <w:rFonts w:ascii="Times New Roman" w:hAnsi="Times New Roman"/>
          <w:b/>
          <w:bCs/>
          <w:color w:val="000000"/>
        </w:rPr>
        <w:t xml:space="preserve">K bodom </w:t>
      </w:r>
      <w:r>
        <w:rPr>
          <w:rFonts w:ascii="Times New Roman" w:hAnsi="Times New Roman"/>
          <w:b/>
          <w:bCs/>
          <w:color w:val="000000"/>
        </w:rPr>
        <w:t>27 a 28</w:t>
      </w:r>
    </w:p>
    <w:p w:rsidR="00C415DB" w:rsidRPr="001926C6" w:rsidP="00C415DB">
      <w:pPr>
        <w:bidi w:val="0"/>
        <w:ind w:firstLine="567"/>
        <w:jc w:val="both"/>
        <w:rPr>
          <w:rFonts w:ascii="Times New Roman" w:hAnsi="Times New Roman"/>
        </w:rPr>
      </w:pPr>
      <w:r w:rsidRPr="001926C6">
        <w:rPr>
          <w:rFonts w:ascii="Times New Roman" w:hAnsi="Times New Roman"/>
        </w:rPr>
        <w:t>Navrhuje sa aby colný úrad nebol povinný uložiť pokutu v prípade, že osoba predá, ponúkne na predaj, skladuje alebo prepravuje spotrebiteľské balenie tabakových výrobkov označené kontrolnou známkou, ktorá nie je falzifik</w:t>
      </w:r>
      <w:r>
        <w:rPr>
          <w:rFonts w:ascii="Times New Roman" w:hAnsi="Times New Roman"/>
        </w:rPr>
        <w:t>átom, bola prevzatá zo štátnej tlačiarne podľa zákona</w:t>
      </w:r>
      <w:r w:rsidRPr="001926C6">
        <w:rPr>
          <w:rFonts w:ascii="Times New Roman" w:hAnsi="Times New Roman"/>
        </w:rPr>
        <w:t xml:space="preserve"> avšak táto kontrolná známka obsahuje chybu tlače, čo bolo zistené až po jej nalepení na spotrebiteľské balenie tabakových výrobkov.</w:t>
      </w:r>
    </w:p>
    <w:p w:rsidR="00C415DB" w:rsidRPr="001926C6" w:rsidP="00C415DB">
      <w:pPr>
        <w:tabs>
          <w:tab w:val="left" w:pos="709"/>
        </w:tabs>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861F1">
        <w:rPr>
          <w:rFonts w:ascii="Times New Roman" w:hAnsi="Times New Roman"/>
          <w:b/>
          <w:bCs/>
          <w:color w:val="000000"/>
        </w:rPr>
        <w:t>K</w:t>
      </w:r>
      <w:r>
        <w:rPr>
          <w:rFonts w:ascii="Times New Roman" w:hAnsi="Times New Roman"/>
          <w:b/>
          <w:bCs/>
          <w:color w:val="000000"/>
        </w:rPr>
        <w:t> bodu 29</w:t>
      </w:r>
    </w:p>
    <w:p w:rsidR="00C415DB" w:rsidRPr="001926C6" w:rsidP="00C415DB">
      <w:pPr>
        <w:bidi w:val="0"/>
        <w:ind w:firstLine="567"/>
        <w:jc w:val="both"/>
        <w:rPr>
          <w:rFonts w:ascii="Times New Roman" w:hAnsi="Times New Roman"/>
        </w:rPr>
      </w:pPr>
      <w:r w:rsidRPr="001926C6">
        <w:rPr>
          <w:rStyle w:val="PlaceholderText"/>
          <w:color w:val="000000"/>
        </w:rPr>
        <w:t>V súvislosti s navrhovanými zmenami je potrebné upraviť prechodné ustanovenia.</w:t>
      </w:r>
      <w:r>
        <w:rPr>
          <w:rStyle w:val="PlaceholderText"/>
          <w:color w:val="000000"/>
        </w:rPr>
        <w:t xml:space="preserve"> Upravuje sa aj lehota na dopredaj spotrebiteľských balení cigár a cigariek, a to v súvislosti so zmenou zdaňovania cigár a cigariek z počtu kusov na hmotnosť v kilogramoch.</w:t>
      </w:r>
    </w:p>
    <w:p w:rsidR="00C415DB" w:rsidP="00C415DB">
      <w:pPr>
        <w:autoSpaceDE w:val="0"/>
        <w:autoSpaceDN w:val="0"/>
        <w:bidi w:val="0"/>
        <w:jc w:val="both"/>
        <w:rPr>
          <w:rFonts w:ascii="Times New Roman" w:hAnsi="Times New Roman"/>
          <w:bCs/>
        </w:rPr>
      </w:pPr>
    </w:p>
    <w:p w:rsidR="00C415DB" w:rsidRPr="00C65986" w:rsidP="00C415DB">
      <w:pPr>
        <w:autoSpaceDE w:val="0"/>
        <w:autoSpaceDN w:val="0"/>
        <w:bidi w:val="0"/>
        <w:jc w:val="both"/>
        <w:rPr>
          <w:rFonts w:ascii="Times New Roman" w:hAnsi="Times New Roman"/>
          <w:b/>
          <w:bCs/>
        </w:rPr>
      </w:pPr>
      <w:r w:rsidRPr="00C65986">
        <w:rPr>
          <w:rFonts w:ascii="Times New Roman" w:hAnsi="Times New Roman"/>
          <w:b/>
          <w:bCs/>
        </w:rPr>
        <w:t>K článku II</w:t>
      </w:r>
    </w:p>
    <w:p w:rsidR="00C415DB" w:rsidRPr="001926C6" w:rsidP="00C415DB">
      <w:pPr>
        <w:tabs>
          <w:tab w:val="left" w:pos="709"/>
        </w:tabs>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861F1">
        <w:rPr>
          <w:rFonts w:ascii="Times New Roman" w:hAnsi="Times New Roman"/>
          <w:b/>
          <w:bCs/>
          <w:color w:val="000000"/>
        </w:rPr>
        <w:t>K</w:t>
      </w:r>
      <w:r w:rsidR="00727266">
        <w:rPr>
          <w:rFonts w:ascii="Times New Roman" w:hAnsi="Times New Roman"/>
          <w:b/>
          <w:bCs/>
          <w:color w:val="000000"/>
        </w:rPr>
        <w:t> bodom</w:t>
      </w:r>
      <w:r>
        <w:rPr>
          <w:rFonts w:ascii="Times New Roman" w:hAnsi="Times New Roman"/>
          <w:b/>
          <w:bCs/>
          <w:color w:val="000000"/>
        </w:rPr>
        <w:t xml:space="preserve"> 1</w:t>
      </w:r>
      <w:r w:rsidR="00727266">
        <w:rPr>
          <w:rFonts w:ascii="Times New Roman" w:hAnsi="Times New Roman"/>
          <w:b/>
          <w:bCs/>
          <w:color w:val="000000"/>
        </w:rPr>
        <w:t xml:space="preserve"> a 3</w:t>
      </w:r>
    </w:p>
    <w:p w:rsidR="00C415DB" w:rsidRPr="00BB7944" w:rsidP="00C415DB">
      <w:pPr>
        <w:autoSpaceDE w:val="0"/>
        <w:autoSpaceDN w:val="0"/>
        <w:bidi w:val="0"/>
        <w:ind w:firstLine="567"/>
        <w:jc w:val="both"/>
        <w:rPr>
          <w:rFonts w:ascii="Times New Roman" w:hAnsi="Times New Roman"/>
          <w:bCs/>
        </w:rPr>
      </w:pPr>
      <w:r w:rsidRPr="0003415A">
        <w:rPr>
          <w:rStyle w:val="PlaceholderText"/>
          <w:color w:val="000000"/>
        </w:rPr>
        <w:t>V nadväznosti na nadobudnutie účinnosti</w:t>
      </w:r>
      <w:r w:rsidRPr="0003415A">
        <w:rPr>
          <w:rFonts w:ascii="Times New Roman" w:hAnsi="Times New Roman"/>
          <w:bCs/>
        </w:rPr>
        <w:t xml:space="preserve"> </w:t>
      </w:r>
      <w:r w:rsidRPr="0003415A">
        <w:rPr>
          <w:rFonts w:ascii="Times New Roman" w:hAnsi="Times New Roman"/>
        </w:rPr>
        <w:t>smernice Európskeho Parlamentu a Rady 2</w:t>
      </w:r>
      <w:r w:rsidRPr="0003415A">
        <w:rPr>
          <w:rFonts w:ascii="Times New Roman" w:hAnsi="Times New Roman"/>
          <w:bCs/>
        </w:rPr>
        <w:t xml:space="preserve">014/40/EÚ o aproximácii zákonov, iných právnych predpisov a správnych opatrení členských štátov týkajúcich sa výroby, prezentácie a predaja tabakových a súvisiacich výrobkov a o zrušení smernice 2001/37/ES </w:t>
      </w:r>
      <w:r w:rsidRPr="0003415A">
        <w:rPr>
          <w:rStyle w:val="PlaceholderText"/>
          <w:color w:val="000000"/>
        </w:rPr>
        <w:t>sa znenie</w:t>
      </w:r>
      <w:r w:rsidRPr="00CE6E38">
        <w:rPr>
          <w:rStyle w:val="PlaceholderText"/>
          <w:color w:val="000000"/>
        </w:rPr>
        <w:t xml:space="preserve"> ustanovenia upravuje tak, že</w:t>
      </w:r>
      <w:r>
        <w:rPr>
          <w:rStyle w:val="PlaceholderText"/>
          <w:color w:val="000000"/>
        </w:rPr>
        <w:t xml:space="preserve"> </w:t>
      </w:r>
      <w:r>
        <w:rPr>
          <w:rFonts w:ascii="Times New Roman" w:hAnsi="Times New Roman"/>
        </w:rPr>
        <w:t xml:space="preserve">sa zakazuje predaj tabakových výrobkov </w:t>
      </w:r>
      <w:r w:rsidRPr="001861F1">
        <w:rPr>
          <w:rFonts w:ascii="Times New Roman" w:hAnsi="Times New Roman"/>
        </w:rPr>
        <w:t>v spotrebiteľskom balení cigariet s obsahom iným ako dvadsať kusov cigariet a</w:t>
      </w:r>
      <w:r w:rsidRPr="001861F1">
        <w:rPr>
          <w:rFonts w:ascii="Times New Roman" w:hAnsi="Times New Roman"/>
          <w:bCs/>
        </w:rPr>
        <w:t> </w:t>
      </w:r>
      <w:r>
        <w:rPr>
          <w:rFonts w:ascii="Times New Roman" w:hAnsi="Times New Roman"/>
          <w:bCs/>
        </w:rPr>
        <w:t>predaj</w:t>
      </w:r>
      <w:r w:rsidRPr="001861F1">
        <w:rPr>
          <w:rFonts w:ascii="Times New Roman" w:hAnsi="Times New Roman"/>
          <w:bCs/>
        </w:rPr>
        <w:t xml:space="preserve"> </w:t>
      </w:r>
      <w:r w:rsidRPr="001861F1">
        <w:rPr>
          <w:rFonts w:ascii="Times New Roman" w:hAnsi="Times New Roman"/>
        </w:rPr>
        <w:t>spotrebiteľského balenia tabaku s hmotnosťou tabaku menej ako 30 g</w:t>
      </w:r>
      <w:r w:rsidRPr="00222767">
        <w:rPr>
          <w:rFonts w:ascii="Times New Roman" w:hAnsi="Times New Roman"/>
        </w:rPr>
        <w:t>. Zároveň sa</w:t>
      </w:r>
      <w:r w:rsidRPr="00222767" w:rsidR="00727266">
        <w:rPr>
          <w:rFonts w:ascii="Times New Roman" w:hAnsi="Times New Roman"/>
        </w:rPr>
        <w:t xml:space="preserve"> na základe teraz platnej právnej úpravy uvedenej v zákone o spotrebnej dani z tabakových výrobkov </w:t>
      </w:r>
      <w:r w:rsidRPr="00222767">
        <w:rPr>
          <w:rFonts w:ascii="Times New Roman" w:hAnsi="Times New Roman"/>
        </w:rPr>
        <w:t>stanovuje, že hmotnosť väčšieho spotrebiteľského balenia tabaku ako 30 g je vždy násobok desiatich gramov.</w:t>
      </w:r>
      <w:r w:rsidRPr="00222767" w:rsidR="00727266">
        <w:rPr>
          <w:rFonts w:ascii="Times New Roman" w:hAnsi="Times New Roman"/>
        </w:rPr>
        <w:t xml:space="preserve"> V súvislosti s uvedeným sa </w:t>
      </w:r>
      <w:r w:rsidRPr="00222767" w:rsidR="00DA69C7">
        <w:rPr>
          <w:rFonts w:ascii="Times New Roman" w:hAnsi="Times New Roman"/>
        </w:rPr>
        <w:t xml:space="preserve">súčasne </w:t>
      </w:r>
      <w:r w:rsidRPr="00222767" w:rsidR="00727266">
        <w:rPr>
          <w:rFonts w:ascii="Times New Roman" w:hAnsi="Times New Roman"/>
        </w:rPr>
        <w:t>dopĺňa zoznam preberaných právne záväzných aktov Európskej únie.</w:t>
      </w:r>
      <w:r w:rsidR="00727266">
        <w:rPr>
          <w:rFonts w:ascii="Times New Roman" w:hAnsi="Times New Roman"/>
        </w:rPr>
        <w:t xml:space="preserve"> </w:t>
      </w:r>
    </w:p>
    <w:p w:rsidR="00C415DB" w:rsidRPr="001926C6" w:rsidP="00C415DB">
      <w:pPr>
        <w:tabs>
          <w:tab w:val="left" w:pos="709"/>
        </w:tabs>
        <w:bidi w:val="0"/>
        <w:jc w:val="both"/>
        <w:rPr>
          <w:rFonts w:ascii="Times New Roman" w:hAnsi="Times New Roman"/>
        </w:rPr>
      </w:pPr>
    </w:p>
    <w:p w:rsidR="00C415DB" w:rsidRPr="001926C6" w:rsidP="00C415DB">
      <w:pPr>
        <w:autoSpaceDE w:val="0"/>
        <w:autoSpaceDN w:val="0"/>
        <w:bidi w:val="0"/>
        <w:jc w:val="both"/>
        <w:rPr>
          <w:rFonts w:ascii="Times New Roman" w:hAnsi="Times New Roman"/>
          <w:b/>
          <w:bCs/>
          <w:color w:val="000000"/>
        </w:rPr>
      </w:pPr>
      <w:r w:rsidRPr="001861F1">
        <w:rPr>
          <w:rFonts w:ascii="Times New Roman" w:hAnsi="Times New Roman"/>
          <w:b/>
          <w:bCs/>
          <w:color w:val="000000"/>
        </w:rPr>
        <w:t>K</w:t>
      </w:r>
      <w:r>
        <w:rPr>
          <w:rFonts w:ascii="Times New Roman" w:hAnsi="Times New Roman"/>
          <w:b/>
          <w:bCs/>
          <w:color w:val="000000"/>
        </w:rPr>
        <w:t> bodu 2</w:t>
      </w:r>
    </w:p>
    <w:p w:rsidR="00C415DB" w:rsidP="00C415DB">
      <w:pPr>
        <w:autoSpaceDE w:val="0"/>
        <w:autoSpaceDN w:val="0"/>
        <w:bidi w:val="0"/>
        <w:ind w:firstLine="567"/>
        <w:jc w:val="both"/>
        <w:rPr>
          <w:rFonts w:ascii="Times New Roman" w:hAnsi="Times New Roman"/>
          <w:bCs/>
        </w:rPr>
      </w:pPr>
      <w:r w:rsidRPr="0003415A">
        <w:rPr>
          <w:rStyle w:val="PlaceholderText"/>
          <w:color w:val="000000"/>
        </w:rPr>
        <w:t>V súvislosti s navrhovanými zmenami je potrebné upraviť prechodné ustanovenia, v ktorých sa upravuje lehota na dopredaj spotrebiteľských balení cigariet s iným počtom kusov cigariet v spotrebiteľskom balení ako je 20 kusov a spotrebiteľského ba</w:t>
      </w:r>
      <w:r>
        <w:rPr>
          <w:rStyle w:val="PlaceholderText"/>
          <w:color w:val="000000"/>
        </w:rPr>
        <w:t>lenia tabaku s hmotnosťou 20 g.</w:t>
      </w:r>
    </w:p>
    <w:p w:rsidR="00C415DB" w:rsidP="00C415DB">
      <w:pPr>
        <w:autoSpaceDE w:val="0"/>
        <w:autoSpaceDN w:val="0"/>
        <w:bidi w:val="0"/>
        <w:jc w:val="both"/>
        <w:rPr>
          <w:rFonts w:ascii="Times New Roman" w:hAnsi="Times New Roman"/>
          <w:bCs/>
        </w:rPr>
      </w:pPr>
    </w:p>
    <w:p w:rsidR="00727266" w:rsidRPr="00C415DB" w:rsidP="00C415DB">
      <w:pPr>
        <w:autoSpaceDE w:val="0"/>
        <w:autoSpaceDN w:val="0"/>
        <w:bidi w:val="0"/>
        <w:jc w:val="both"/>
        <w:rPr>
          <w:rFonts w:ascii="Times New Roman" w:hAnsi="Times New Roman"/>
          <w:bCs/>
        </w:rPr>
      </w:pPr>
    </w:p>
    <w:p w:rsidR="00C415DB" w:rsidRPr="00C415DB" w:rsidP="00C415DB">
      <w:pPr>
        <w:bidi w:val="0"/>
        <w:jc w:val="both"/>
        <w:rPr>
          <w:rFonts w:ascii="Times New Roman" w:hAnsi="Times New Roman"/>
          <w:b/>
          <w:bCs/>
        </w:rPr>
      </w:pPr>
      <w:r w:rsidRPr="00C415DB">
        <w:rPr>
          <w:rFonts w:ascii="Times New Roman" w:hAnsi="Times New Roman"/>
          <w:b/>
          <w:bCs/>
        </w:rPr>
        <w:t>K článku III</w:t>
      </w:r>
    </w:p>
    <w:p w:rsidR="00C415DB" w:rsidRPr="0055669E" w:rsidP="00C415DB">
      <w:pPr>
        <w:bidi w:val="0"/>
        <w:jc w:val="both"/>
        <w:rPr>
          <w:rFonts w:ascii="Times New Roman" w:hAnsi="Times New Roman"/>
          <w:bCs/>
        </w:rPr>
      </w:pPr>
    </w:p>
    <w:p w:rsidR="0055669E" w:rsidRPr="0055669E" w:rsidP="0055669E">
      <w:pPr>
        <w:pStyle w:val="Zkladntext"/>
        <w:tabs>
          <w:tab w:val="left" w:pos="0"/>
        </w:tabs>
        <w:bidi w:val="0"/>
        <w:ind w:firstLine="426"/>
        <w:jc w:val="both"/>
        <w:rPr>
          <w:rFonts w:ascii="Times New Roman" w:hAnsi="Times New Roman" w:cs="Times New Roman"/>
          <w:color w:val="auto"/>
        </w:rPr>
      </w:pPr>
      <w:r w:rsidRPr="0055669E">
        <w:rPr>
          <w:rFonts w:ascii="Times New Roman" w:hAnsi="Times New Roman" w:cs="Times New Roman"/>
          <w:color w:val="auto"/>
        </w:rPr>
        <w:t>Tento zákon nadobúda účinnosť 1. novembra 2015 okrem čl. I bodov 1, 3 až 5, 7 a 21, ktoré nadobúdajú účinnosť 1. januára 2016 a okrem čl. I bodu 2 a čl. II, ktoré nadobúdajú účinnosť 1. marca 2016.</w:t>
      </w:r>
    </w:p>
    <w:p w:rsidR="00C415DB" w:rsidRPr="002A154A" w:rsidP="00C415DB">
      <w:pPr>
        <w:widowControl/>
        <w:bidi w:val="0"/>
        <w:rPr>
          <w:rStyle w:val="PlaceholderText"/>
          <w:color w:val="000000"/>
        </w:rPr>
      </w:pPr>
    </w:p>
    <w:p w:rsidR="00C415DB" w:rsidRPr="00A477AD" w:rsidP="00C547A9">
      <w:pPr>
        <w:autoSpaceDE w:val="0"/>
        <w:autoSpaceDN w:val="0"/>
        <w:bidi w:val="0"/>
        <w:spacing w:after="120" w:line="240" w:lineRule="atLeast"/>
        <w:ind w:firstLine="567"/>
        <w:jc w:val="both"/>
        <w:rPr>
          <w:rFonts w:ascii="Times New Roman" w:hAnsi="Times New Roman"/>
          <w:color w:val="000000"/>
        </w:rPr>
      </w:pPr>
      <w:r w:rsidRPr="00A477AD">
        <w:rPr>
          <w:rFonts w:ascii="Times New Roman" w:hAnsi="Times New Roman"/>
          <w:color w:val="000000"/>
        </w:rPr>
        <w:t xml:space="preserve">Schválené uznesením </w:t>
      </w:r>
      <w:r>
        <w:rPr>
          <w:rFonts w:ascii="Times New Roman" w:hAnsi="Times New Roman"/>
          <w:color w:val="000000"/>
        </w:rPr>
        <w:t xml:space="preserve">vlády Slovenskej republiky dňa 27. </w:t>
      </w:r>
      <w:r w:rsidR="0070224E">
        <w:rPr>
          <w:rFonts w:ascii="Times New Roman" w:hAnsi="Times New Roman"/>
          <w:color w:val="000000"/>
        </w:rPr>
        <w:t>mája</w:t>
      </w:r>
      <w:r>
        <w:rPr>
          <w:rFonts w:ascii="Times New Roman" w:hAnsi="Times New Roman"/>
          <w:color w:val="000000"/>
        </w:rPr>
        <w:t xml:space="preserve"> 2015</w:t>
      </w:r>
      <w:r w:rsidRPr="00A477AD">
        <w:rPr>
          <w:rFonts w:ascii="Times New Roman" w:hAnsi="Times New Roman"/>
          <w:color w:val="000000"/>
        </w:rPr>
        <w:t>.</w:t>
      </w:r>
    </w:p>
    <w:p w:rsidR="00C415DB" w:rsidRPr="00A477AD" w:rsidP="00C415DB">
      <w:pPr>
        <w:autoSpaceDE w:val="0"/>
        <w:autoSpaceDN w:val="0"/>
        <w:bidi w:val="0"/>
        <w:spacing w:line="240" w:lineRule="atLeast"/>
        <w:rPr>
          <w:rFonts w:ascii="Times New Roman" w:hAnsi="Times New Roman"/>
          <w:color w:val="000000"/>
        </w:rPr>
      </w:pPr>
    </w:p>
    <w:p w:rsidR="00C415DB" w:rsidRPr="00A477AD" w:rsidP="00C415DB">
      <w:pPr>
        <w:autoSpaceDE w:val="0"/>
        <w:autoSpaceDN w:val="0"/>
        <w:bidi w:val="0"/>
        <w:spacing w:line="240" w:lineRule="atLeast"/>
        <w:rPr>
          <w:rFonts w:ascii="Times New Roman" w:hAnsi="Times New Roman"/>
          <w:color w:val="000000"/>
        </w:rPr>
      </w:pPr>
    </w:p>
    <w:p w:rsidR="00C415DB" w:rsidRPr="00A477AD" w:rsidP="00C415DB">
      <w:pPr>
        <w:autoSpaceDE w:val="0"/>
        <w:autoSpaceDN w:val="0"/>
        <w:bidi w:val="0"/>
        <w:spacing w:line="240" w:lineRule="atLeast"/>
        <w:rPr>
          <w:rFonts w:ascii="Times New Roman" w:hAnsi="Times New Roman"/>
          <w:color w:val="000000"/>
        </w:rPr>
      </w:pPr>
    </w:p>
    <w:p w:rsidR="00C415DB" w:rsidRPr="00A477AD" w:rsidP="00C415DB">
      <w:pPr>
        <w:autoSpaceDE w:val="0"/>
        <w:autoSpaceDN w:val="0"/>
        <w:bidi w:val="0"/>
        <w:spacing w:line="240" w:lineRule="atLeast"/>
        <w:jc w:val="center"/>
        <w:rPr>
          <w:rFonts w:ascii="Times New Roman" w:hAnsi="Times New Roman"/>
          <w:bCs/>
          <w:color w:val="000000"/>
        </w:rPr>
      </w:pPr>
      <w:r w:rsidRPr="00A477AD">
        <w:rPr>
          <w:rFonts w:ascii="Times New Roman" w:hAnsi="Times New Roman"/>
          <w:bCs/>
          <w:color w:val="000000"/>
        </w:rPr>
        <w:t>Robert Fico</w:t>
      </w:r>
      <w:r>
        <w:rPr>
          <w:rFonts w:ascii="Times New Roman" w:hAnsi="Times New Roman"/>
          <w:bCs/>
          <w:color w:val="000000"/>
        </w:rPr>
        <w:t>, v. r.</w:t>
      </w:r>
    </w:p>
    <w:p w:rsidR="00C415DB" w:rsidRPr="00A477AD" w:rsidP="00C415DB">
      <w:pPr>
        <w:autoSpaceDE w:val="0"/>
        <w:autoSpaceDN w:val="0"/>
        <w:bidi w:val="0"/>
        <w:spacing w:line="240" w:lineRule="atLeast"/>
        <w:jc w:val="center"/>
        <w:rPr>
          <w:rFonts w:ascii="Times New Roman" w:hAnsi="Times New Roman"/>
          <w:color w:val="000000"/>
        </w:rPr>
      </w:pPr>
      <w:r w:rsidRPr="00A477AD">
        <w:rPr>
          <w:rFonts w:ascii="Times New Roman" w:hAnsi="Times New Roman"/>
          <w:color w:val="000000"/>
        </w:rPr>
        <w:t>predseda vlády Slovenskej republiky</w:t>
      </w:r>
    </w:p>
    <w:p w:rsidR="00C415DB" w:rsidP="00C415DB">
      <w:pPr>
        <w:autoSpaceDE w:val="0"/>
        <w:autoSpaceDN w:val="0"/>
        <w:bidi w:val="0"/>
        <w:spacing w:line="240" w:lineRule="atLeast"/>
        <w:jc w:val="both"/>
        <w:rPr>
          <w:rFonts w:ascii="Times New Roman" w:hAnsi="Times New Roman"/>
          <w:color w:val="000000"/>
        </w:rPr>
      </w:pPr>
    </w:p>
    <w:p w:rsidR="001B639E" w:rsidP="00C415DB">
      <w:pPr>
        <w:autoSpaceDE w:val="0"/>
        <w:autoSpaceDN w:val="0"/>
        <w:bidi w:val="0"/>
        <w:spacing w:line="240" w:lineRule="atLeast"/>
        <w:jc w:val="both"/>
        <w:rPr>
          <w:rFonts w:ascii="Times New Roman" w:hAnsi="Times New Roman"/>
          <w:color w:val="000000"/>
        </w:rPr>
      </w:pPr>
    </w:p>
    <w:p w:rsidR="001B639E" w:rsidRPr="00A477AD" w:rsidP="00C415DB">
      <w:pPr>
        <w:autoSpaceDE w:val="0"/>
        <w:autoSpaceDN w:val="0"/>
        <w:bidi w:val="0"/>
        <w:spacing w:line="240" w:lineRule="atLeast"/>
        <w:jc w:val="both"/>
        <w:rPr>
          <w:rFonts w:ascii="Times New Roman" w:hAnsi="Times New Roman"/>
          <w:color w:val="000000"/>
        </w:rPr>
      </w:pPr>
    </w:p>
    <w:p w:rsidR="00C415DB" w:rsidRPr="00A477AD" w:rsidP="00C415DB">
      <w:pPr>
        <w:autoSpaceDE w:val="0"/>
        <w:autoSpaceDN w:val="0"/>
        <w:bidi w:val="0"/>
        <w:spacing w:line="240" w:lineRule="atLeast"/>
        <w:jc w:val="center"/>
        <w:rPr>
          <w:rFonts w:ascii="Times New Roman" w:hAnsi="Times New Roman"/>
          <w:bCs/>
          <w:color w:val="000000"/>
        </w:rPr>
      </w:pPr>
      <w:r w:rsidRPr="00A477AD">
        <w:rPr>
          <w:rFonts w:ascii="Times New Roman" w:hAnsi="Times New Roman"/>
          <w:bCs/>
          <w:color w:val="000000"/>
        </w:rPr>
        <w:t>Peter Kažimír, v. r.</w:t>
      </w:r>
    </w:p>
    <w:p w:rsidR="00C415DB" w:rsidP="00896B85">
      <w:pPr>
        <w:autoSpaceDE w:val="0"/>
        <w:autoSpaceDN w:val="0"/>
        <w:bidi w:val="0"/>
        <w:spacing w:line="240" w:lineRule="atLeast"/>
        <w:jc w:val="center"/>
        <w:rPr>
          <w:rFonts w:ascii="Times New Roman" w:hAnsi="Times New Roman"/>
        </w:rPr>
      </w:pPr>
      <w:r w:rsidRPr="00BA6433">
        <w:rPr>
          <w:rFonts w:ascii="Times New Roman" w:hAnsi="Times New Roman"/>
          <w:color w:val="000000"/>
        </w:rPr>
        <w:t xml:space="preserve">podpredseda vlády a minister financií </w:t>
      </w:r>
      <w:r w:rsidRPr="00BA6433">
        <w:rPr>
          <w:rFonts w:ascii="Times New Roman" w:hAnsi="Times New Roman"/>
        </w:rPr>
        <w:t>Slovenskej republiky</w:t>
      </w:r>
    </w:p>
    <w:p w:rsidR="002C0757" w:rsidP="00896B85">
      <w:pPr>
        <w:autoSpaceDE w:val="0"/>
        <w:autoSpaceDN w:val="0"/>
        <w:bidi w:val="0"/>
        <w:spacing w:line="240" w:lineRule="atLeast"/>
        <w:jc w:val="center"/>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A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56EA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D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B639E">
      <w:rPr>
        <w:rFonts w:ascii="Times New Roman" w:hAnsi="Times New Roman"/>
        <w:noProof/>
      </w:rPr>
      <w:t>13</w:t>
    </w:r>
    <w:r>
      <w:rPr>
        <w:rFonts w:ascii="Times New Roman" w:hAnsi="Times New Roman"/>
      </w:rPr>
      <w:fldChar w:fldCharType="end"/>
    </w:r>
  </w:p>
  <w:p w:rsidR="00C415DB">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983">
    <w:pPr>
      <w:pStyle w:val="Footer"/>
      <w:bidi w:val="0"/>
      <w:jc w:val="center"/>
      <w:rPr>
        <w:rFonts w:ascii="Times New Roman" w:hAnsi="Times New Roman"/>
      </w:rPr>
    </w:pPr>
  </w:p>
  <w:p w:rsidR="0035798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F61D3"/>
    <w:multiLevelType w:val="hybridMultilevel"/>
    <w:tmpl w:val="B1687168"/>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0BB08A6"/>
    <w:multiLevelType w:val="hybridMultilevel"/>
    <w:tmpl w:val="9A7024F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602835AA"/>
    <w:multiLevelType w:val="hybridMultilevel"/>
    <w:tmpl w:val="83C6E62A"/>
    <w:lvl w:ilvl="0">
      <w:start w:val="1"/>
      <w:numFmt w:val="decimal"/>
      <w:lvlText w:val="%1."/>
      <w:lvlJc w:val="left"/>
      <w:pPr>
        <w:ind w:left="644" w:hanging="360"/>
      </w:pPr>
      <w:rPr>
        <w:rFonts w:cs="Arial Narrow"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4">
    <w:nsid w:val="6ADD75F4"/>
    <w:multiLevelType w:val="hybridMultilevel"/>
    <w:tmpl w:val="820C7906"/>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B625AE5"/>
    <w:multiLevelType w:val="singleLevel"/>
    <w:tmpl w:val="0405000F"/>
    <w:lvl w:ilvl="0">
      <w:start w:val="2"/>
      <w:numFmt w:val="decimal"/>
      <w:lvlText w:val="%1."/>
      <w:lvlJc w:val="left"/>
      <w:pPr>
        <w:tabs>
          <w:tab w:val="num" w:pos="360"/>
        </w:tabs>
        <w:ind w:left="360" w:hanging="360"/>
      </w:pPr>
      <w:rPr>
        <w:rFonts w:cs="Times New Roman" w:hint="default"/>
        <w:rtl w:val="0"/>
        <w:cs w:val="0"/>
      </w:rPr>
    </w:lvl>
  </w:abstractNum>
  <w:abstractNum w:abstractNumId="6">
    <w:nsid w:val="7F1E6760"/>
    <w:multiLevelType w:val="hybridMultilevel"/>
    <w:tmpl w:val="CD34C702"/>
    <w:lvl w:ilvl="0">
      <w:start w:val="1"/>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num w:numId="1">
    <w:abstractNumId w:val="4"/>
    <w:lvlOverride w:ilvl="0"/>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C415DB"/>
    <w:rsid w:val="0003415A"/>
    <w:rsid w:val="00035531"/>
    <w:rsid w:val="000773D5"/>
    <w:rsid w:val="000C08F6"/>
    <w:rsid w:val="00172ECE"/>
    <w:rsid w:val="001861F1"/>
    <w:rsid w:val="001926C6"/>
    <w:rsid w:val="001B639E"/>
    <w:rsid w:val="00222767"/>
    <w:rsid w:val="00256EA9"/>
    <w:rsid w:val="002A154A"/>
    <w:rsid w:val="002C0757"/>
    <w:rsid w:val="002F4A31"/>
    <w:rsid w:val="003135C3"/>
    <w:rsid w:val="00344B3F"/>
    <w:rsid w:val="00357983"/>
    <w:rsid w:val="003A2756"/>
    <w:rsid w:val="003F00D8"/>
    <w:rsid w:val="004C1204"/>
    <w:rsid w:val="00554534"/>
    <w:rsid w:val="0055669E"/>
    <w:rsid w:val="00564670"/>
    <w:rsid w:val="006E10B4"/>
    <w:rsid w:val="0070224E"/>
    <w:rsid w:val="00727266"/>
    <w:rsid w:val="007468F9"/>
    <w:rsid w:val="00822094"/>
    <w:rsid w:val="008904B9"/>
    <w:rsid w:val="00896B85"/>
    <w:rsid w:val="008B25A6"/>
    <w:rsid w:val="00954C75"/>
    <w:rsid w:val="00A477AD"/>
    <w:rsid w:val="00A64D2D"/>
    <w:rsid w:val="00BA6433"/>
    <w:rsid w:val="00BB7944"/>
    <w:rsid w:val="00C0489E"/>
    <w:rsid w:val="00C415DB"/>
    <w:rsid w:val="00C547A9"/>
    <w:rsid w:val="00C65986"/>
    <w:rsid w:val="00CE6E38"/>
    <w:rsid w:val="00D476F6"/>
    <w:rsid w:val="00D5641D"/>
    <w:rsid w:val="00D6194D"/>
    <w:rsid w:val="00DA472A"/>
    <w:rsid w:val="00DA69C7"/>
    <w:rsid w:val="00E164CE"/>
    <w:rsid w:val="00E34366"/>
    <w:rsid w:val="00E51020"/>
    <w:rsid w:val="00ED660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imes New Roman"/>
      <w:sz w:val="16"/>
      <w:rtl w:val="0"/>
      <w:cs w:val="0"/>
      <w:lang w:val="sk-SK" w:eastAsia="sk-SK"/>
    </w:rPr>
  </w:style>
  <w:style w:type="paragraph" w:styleId="BodyText">
    <w:name w:val="Body Text"/>
    <w:basedOn w:val="Normal"/>
    <w:link w:val="ZkladntextChar"/>
    <w:uiPriority w:val="99"/>
    <w:rsid w:val="00C415DB"/>
    <w:pPr>
      <w:widowControl/>
      <w:adjustRightInd/>
      <w:spacing w:after="120"/>
      <w:jc w:val="left"/>
    </w:pPr>
  </w:style>
  <w:style w:type="character" w:customStyle="1" w:styleId="ZkladntextChar">
    <w:name w:val="Základný text Char"/>
    <w:basedOn w:val="DefaultParagraphFont"/>
    <w:link w:val="BodyText"/>
    <w:uiPriority w:val="99"/>
    <w:locked/>
    <w:rsid w:val="00C415DB"/>
    <w:rPr>
      <w:rFonts w:ascii="Times New Roman" w:hAnsi="Times New Roman" w:cs="Times New Roman"/>
      <w:sz w:val="24"/>
      <w:rtl w:val="0"/>
      <w:cs w:val="0"/>
    </w:rPr>
  </w:style>
  <w:style w:type="paragraph" w:customStyle="1" w:styleId="CM19">
    <w:name w:val="CM1+9"/>
    <w:basedOn w:val="Normal"/>
    <w:next w:val="Normal"/>
    <w:uiPriority w:val="99"/>
    <w:rsid w:val="00C415DB"/>
    <w:pPr>
      <w:widowControl/>
      <w:autoSpaceDE w:val="0"/>
      <w:autoSpaceDN w:val="0"/>
      <w:jc w:val="left"/>
    </w:pPr>
    <w:rPr>
      <w:rFonts w:ascii="EUAlbertina" w:hAnsi="EUAlbertina"/>
    </w:rPr>
  </w:style>
  <w:style w:type="paragraph" w:customStyle="1" w:styleId="Zkladntext">
    <w:name w:val="Základní text"/>
    <w:aliases w:val="Základný text Char Char"/>
    <w:uiPriority w:val="99"/>
    <w:rsid w:val="00C415DB"/>
    <w:pPr>
      <w:framePr w:wrap="auto"/>
      <w:widowControl w:val="0"/>
      <w:autoSpaceDE w:val="0"/>
      <w:autoSpaceDN w:val="0"/>
      <w:adjustRightInd/>
      <w:ind w:left="0" w:right="0"/>
      <w:jc w:val="left"/>
      <w:textAlignment w:val="auto"/>
    </w:pPr>
    <w:rPr>
      <w:rFonts w:ascii="Arial Narrow" w:hAnsi="Arial Narrow" w:cs="Arial Narrow"/>
      <w:color w:val="000000"/>
      <w:sz w:val="24"/>
      <w:szCs w:val="24"/>
      <w:rtl w:val="0"/>
      <w:cs w:val="0"/>
      <w:lang w:val="sk-SK" w:eastAsia="sk-SK" w:bidi="ar-SA"/>
    </w:rPr>
  </w:style>
  <w:style w:type="paragraph" w:styleId="Footer">
    <w:name w:val="footer"/>
    <w:basedOn w:val="Normal"/>
    <w:link w:val="PtaChar"/>
    <w:uiPriority w:val="99"/>
    <w:rsid w:val="00C415DB"/>
    <w:pPr>
      <w:widowControl/>
      <w:tabs>
        <w:tab w:val="center" w:pos="4536"/>
        <w:tab w:val="right" w:pos="9072"/>
      </w:tabs>
      <w:adjustRightInd/>
      <w:jc w:val="left"/>
    </w:pPr>
  </w:style>
  <w:style w:type="character" w:customStyle="1" w:styleId="PtaChar">
    <w:name w:val="Päta Char"/>
    <w:basedOn w:val="DefaultParagraphFont"/>
    <w:link w:val="Footer"/>
    <w:uiPriority w:val="99"/>
    <w:locked/>
    <w:rsid w:val="00C415DB"/>
    <w:rPr>
      <w:rFonts w:ascii="Times New Roman" w:hAnsi="Times New Roman" w:cs="Times New Roman"/>
      <w:sz w:val="24"/>
      <w:rtl w:val="0"/>
      <w:cs w:val="0"/>
    </w:rPr>
  </w:style>
  <w:style w:type="character" w:styleId="PageNumber">
    <w:name w:val="page number"/>
    <w:basedOn w:val="DefaultParagraphFont"/>
    <w:uiPriority w:val="99"/>
    <w:rsid w:val="00C415DB"/>
    <w:rPr>
      <w:rFonts w:cs="Times New Roman"/>
      <w:rtl w:val="0"/>
      <w:cs w:val="0"/>
    </w:rPr>
  </w:style>
  <w:style w:type="paragraph" w:customStyle="1" w:styleId="Default">
    <w:name w:val="Default"/>
    <w:rsid w:val="00C415DB"/>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customStyle="1" w:styleId="Zkladntext0">
    <w:name w:val="Zkladn text"/>
    <w:rsid w:val="00C415DB"/>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dka">
    <w:name w:val="dka"/>
    <w:rsid w:val="00C415DB"/>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styleId="Title">
    <w:name w:val="Title"/>
    <w:basedOn w:val="Normal"/>
    <w:link w:val="NzovChar"/>
    <w:uiPriority w:val="10"/>
    <w:qFormat/>
    <w:locked/>
    <w:rsid w:val="00C415DB"/>
    <w:pPr>
      <w:widowControl/>
      <w:autoSpaceDE w:val="0"/>
      <w:autoSpaceDN w:val="0"/>
      <w:adjustRightInd/>
      <w:jc w:val="center"/>
    </w:pPr>
    <w:rPr>
      <w:b/>
      <w:bCs/>
    </w:rPr>
  </w:style>
  <w:style w:type="character" w:customStyle="1" w:styleId="NzovChar">
    <w:name w:val="Názov Char"/>
    <w:basedOn w:val="DefaultParagraphFont"/>
    <w:link w:val="Title"/>
    <w:uiPriority w:val="10"/>
    <w:locked/>
    <w:rsid w:val="00C415DB"/>
    <w:rPr>
      <w:rFonts w:ascii="Times New Roman" w:hAnsi="Times New Roman" w:cs="Times New Roman"/>
      <w:b/>
      <w:sz w:val="24"/>
      <w:rtl w:val="0"/>
      <w:cs w:val="0"/>
    </w:rPr>
  </w:style>
  <w:style w:type="character" w:styleId="Emphasis">
    <w:name w:val="Emphasis"/>
    <w:basedOn w:val="DefaultParagraphFont"/>
    <w:uiPriority w:val="20"/>
    <w:qFormat/>
    <w:locked/>
    <w:rsid w:val="00C415DB"/>
    <w:rPr>
      <w:rFonts w:cs="Times New Roman"/>
      <w:i/>
      <w:rtl w:val="0"/>
      <w:cs w:val="0"/>
    </w:rPr>
  </w:style>
  <w:style w:type="paragraph" w:styleId="BodyTextIndent">
    <w:name w:val="Body Text Indent"/>
    <w:basedOn w:val="Normal"/>
    <w:link w:val="ZarkazkladnhotextuChar"/>
    <w:uiPriority w:val="99"/>
    <w:semiHidden/>
    <w:unhideWhenUsed/>
    <w:rsid w:val="00C415DB"/>
    <w:pPr>
      <w:widowControl/>
      <w:adjustRightInd/>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C415DB"/>
    <w:rPr>
      <w:rFonts w:ascii="Times New Roman" w:hAnsi="Times New Roman" w:cs="Times New Roman"/>
      <w:sz w:val="24"/>
      <w:rtl w:val="0"/>
      <w:cs w:val="0"/>
    </w:rPr>
  </w:style>
  <w:style w:type="character" w:styleId="Strong">
    <w:name w:val="Strong"/>
    <w:basedOn w:val="DefaultParagraphFont"/>
    <w:uiPriority w:val="22"/>
    <w:qFormat/>
    <w:locked/>
    <w:rsid w:val="00C415DB"/>
    <w:rPr>
      <w:rFonts w:cs="Times New Roman"/>
      <w:b/>
      <w:rtl w:val="0"/>
      <w:cs w:val="0"/>
    </w:rPr>
  </w:style>
  <w:style w:type="paragraph" w:styleId="Header">
    <w:name w:val="header"/>
    <w:basedOn w:val="Normal"/>
    <w:link w:val="HlavikaChar"/>
    <w:uiPriority w:val="99"/>
    <w:unhideWhenUsed/>
    <w:rsid w:val="00C415DB"/>
    <w:pPr>
      <w:tabs>
        <w:tab w:val="center" w:pos="4536"/>
        <w:tab w:val="right" w:pos="9072"/>
      </w:tabs>
      <w:jc w:val="left"/>
    </w:pPr>
  </w:style>
  <w:style w:type="character" w:customStyle="1" w:styleId="HlavikaChar">
    <w:name w:val="Hlavička Char"/>
    <w:basedOn w:val="DefaultParagraphFont"/>
    <w:link w:val="Header"/>
    <w:uiPriority w:val="99"/>
    <w:locked/>
    <w:rsid w:val="00C415DB"/>
    <w:rPr>
      <w:rFonts w:ascii="Times New Roman" w:hAnsi="Times New Roman"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55</TotalTime>
  <Pages>14</Pages>
  <Words>3584</Words>
  <Characters>20429</Characters>
  <Application>Microsoft Office Word</Application>
  <DocSecurity>0</DocSecurity>
  <Lines>0</Lines>
  <Paragraphs>0</Paragraphs>
  <ScaleCrop>false</ScaleCrop>
  <Company>Abyss</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Danisovic Milan</cp:lastModifiedBy>
  <cp:revision>16</cp:revision>
  <cp:lastPrinted>2015-05-27T12:46:00Z</cp:lastPrinted>
  <dcterms:created xsi:type="dcterms:W3CDTF">2007-05-29T20:23:00Z</dcterms:created>
  <dcterms:modified xsi:type="dcterms:W3CDTF">2015-05-28T09:39:00Z</dcterms:modified>
</cp:coreProperties>
</file>