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302"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67"/>
        <w:gridCol w:w="1080"/>
        <w:gridCol w:w="5866"/>
        <w:gridCol w:w="567"/>
        <w:gridCol w:w="851"/>
        <w:gridCol w:w="992"/>
        <w:gridCol w:w="4536"/>
        <w:gridCol w:w="709"/>
        <w:gridCol w:w="1134"/>
      </w:tblGrid>
      <w:tr>
        <w:tblPrEx>
          <w:tblW w:w="16302"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302"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0B7EC1" w:rsidP="0078287E">
            <w:pPr>
              <w:pStyle w:val="Heading1"/>
              <w:bidi w:val="0"/>
              <w:spacing w:after="0" w:line="240" w:lineRule="auto"/>
              <w:rPr>
                <w:rFonts w:ascii="Times New Roman" w:hAnsi="Times New Roman"/>
                <w:sz w:val="20"/>
                <w:szCs w:val="20"/>
              </w:rPr>
            </w:pPr>
            <w:r w:rsidRPr="000B7EC1">
              <w:rPr>
                <w:rFonts w:ascii="Times New Roman" w:hAnsi="Times New Roman"/>
                <w:sz w:val="20"/>
                <w:szCs w:val="20"/>
              </w:rPr>
              <w:t>TABUĽKA  ZHODY</w:t>
            </w:r>
          </w:p>
          <w:p w:rsidR="00C60AF2" w:rsidRPr="000B7EC1" w:rsidP="00C60AF2">
            <w:pPr>
              <w:pStyle w:val="Zkladntext"/>
              <w:bidi w:val="0"/>
              <w:spacing w:after="0" w:line="240" w:lineRule="auto"/>
              <w:jc w:val="center"/>
              <w:rPr>
                <w:rFonts w:ascii="Times New Roman" w:hAnsi="Times New Roman"/>
                <w:b/>
                <w:sz w:val="20"/>
                <w:szCs w:val="20"/>
              </w:rPr>
            </w:pPr>
            <w:r w:rsidRPr="000B7EC1" w:rsidR="004577EC">
              <w:rPr>
                <w:rFonts w:ascii="Times New Roman" w:hAnsi="Times New Roman"/>
                <w:b/>
                <w:sz w:val="20"/>
                <w:szCs w:val="20"/>
              </w:rPr>
              <w:t>k </w:t>
            </w:r>
            <w:r w:rsidRPr="000B7EC1" w:rsidR="0078287E">
              <w:rPr>
                <w:rFonts w:ascii="Times New Roman" w:hAnsi="Times New Roman"/>
                <w:b/>
                <w:sz w:val="20"/>
                <w:szCs w:val="20"/>
              </w:rPr>
              <w:t>n</w:t>
            </w:r>
            <w:r w:rsidRPr="000B7EC1" w:rsidR="0091636B">
              <w:rPr>
                <w:rFonts w:ascii="Times New Roman" w:hAnsi="Times New Roman"/>
                <w:b/>
                <w:sz w:val="20"/>
                <w:szCs w:val="20"/>
              </w:rPr>
              <w:t>ávrh</w:t>
            </w:r>
            <w:r w:rsidRPr="000B7EC1" w:rsidR="00D05C7E">
              <w:rPr>
                <w:rFonts w:ascii="Times New Roman" w:hAnsi="Times New Roman"/>
                <w:b/>
                <w:sz w:val="20"/>
                <w:szCs w:val="20"/>
              </w:rPr>
              <w:t>u</w:t>
            </w:r>
            <w:r w:rsidRPr="000B7EC1" w:rsidR="0091636B">
              <w:rPr>
                <w:rFonts w:ascii="Times New Roman" w:hAnsi="Times New Roman"/>
                <w:b/>
                <w:sz w:val="20"/>
                <w:szCs w:val="20"/>
              </w:rPr>
              <w:t xml:space="preserve"> zákona</w:t>
            </w:r>
            <w:r w:rsidRPr="000B7EC1" w:rsidR="002E1D16">
              <w:rPr>
                <w:rFonts w:ascii="Times New Roman" w:hAnsi="Times New Roman"/>
                <w:b/>
                <w:sz w:val="20"/>
                <w:szCs w:val="20"/>
              </w:rPr>
              <w:t xml:space="preserve">, </w:t>
            </w:r>
            <w:r w:rsidRPr="000B7EC1">
              <w:rPr>
                <w:rFonts w:ascii="Times New Roman" w:hAnsi="Times New Roman"/>
                <w:b/>
                <w:sz w:val="20"/>
                <w:szCs w:val="20"/>
              </w:rPr>
              <w:t xml:space="preserve">ktorým sa mení a dopĺňa zákon č. 222/2004 Z. z. o dani z pridanej hodnoty v znení neskorších predpisov </w:t>
            </w:r>
          </w:p>
          <w:p w:rsidR="008C54C3" w:rsidRPr="000B7EC1" w:rsidP="00217BF4">
            <w:pPr>
              <w:pStyle w:val="Zkladntext"/>
              <w:bidi w:val="0"/>
              <w:spacing w:after="0" w:line="240" w:lineRule="auto"/>
              <w:jc w:val="center"/>
              <w:rPr>
                <w:rFonts w:ascii="Times New Roman" w:hAnsi="Times New Roman"/>
                <w:b/>
                <w:bCs/>
                <w:sz w:val="20"/>
                <w:szCs w:val="20"/>
              </w:rPr>
            </w:pPr>
            <w:r w:rsidRPr="000B7EC1" w:rsidR="00217BF4">
              <w:rPr>
                <w:rFonts w:ascii="Times New Roman" w:hAnsi="Times New Roman"/>
                <w:b/>
                <w:sz w:val="20"/>
                <w:szCs w:val="20"/>
              </w:rPr>
              <w:t xml:space="preserve"> </w:t>
            </w:r>
            <w:r w:rsidRPr="000B7EC1" w:rsidR="00127033">
              <w:rPr>
                <w:rFonts w:ascii="Times New Roman" w:hAnsi="Times New Roman"/>
                <w:b/>
                <w:sz w:val="20"/>
                <w:szCs w:val="20"/>
              </w:rPr>
              <w:t>s právom Európskej únie</w:t>
            </w:r>
          </w:p>
        </w:tc>
      </w:tr>
      <w:tr>
        <w:tblPrEx>
          <w:tblW w:w="16302" w:type="dxa"/>
          <w:tblInd w:w="-524" w:type="dxa"/>
          <w:tblLayout w:type="fixed"/>
          <w:tblCellMar>
            <w:left w:w="43" w:type="dxa"/>
            <w:right w:w="43" w:type="dxa"/>
          </w:tblCellMar>
        </w:tblPrEx>
        <w:trPr>
          <w:cantSplit/>
          <w:trHeight w:val="567"/>
        </w:trPr>
        <w:tc>
          <w:tcPr>
            <w:tcW w:w="1647" w:type="dxa"/>
            <w:gridSpan w:val="2"/>
            <w:tcBorders>
              <w:top w:val="single" w:sz="4" w:space="0" w:color="auto"/>
              <w:left w:val="single" w:sz="12" w:space="0" w:color="auto"/>
              <w:bottom w:val="single" w:sz="4" w:space="0" w:color="auto"/>
              <w:right w:val="nil"/>
            </w:tcBorders>
            <w:textDirection w:val="lrTb"/>
            <w:vAlign w:val="top"/>
          </w:tcPr>
          <w:p w:rsidR="008C54C3" w:rsidRPr="000B7EC1">
            <w:pPr>
              <w:pStyle w:val="Heading4"/>
              <w:bidi w:val="0"/>
              <w:spacing w:after="0" w:line="240" w:lineRule="auto"/>
              <w:jc w:val="both"/>
              <w:rPr>
                <w:rFonts w:ascii="Times New Roman" w:hAnsi="Times New Roman"/>
                <w:sz w:val="20"/>
                <w:szCs w:val="20"/>
              </w:rPr>
            </w:pPr>
            <w:r w:rsidRPr="000B7EC1">
              <w:rPr>
                <w:rFonts w:ascii="Times New Roman" w:hAnsi="Times New Roman"/>
                <w:sz w:val="20"/>
                <w:szCs w:val="20"/>
              </w:rPr>
              <w:t>Názov smernice:</w:t>
            </w:r>
          </w:p>
        </w:tc>
        <w:tc>
          <w:tcPr>
            <w:tcW w:w="14655" w:type="dxa"/>
            <w:gridSpan w:val="7"/>
            <w:tcBorders>
              <w:top w:val="single" w:sz="4" w:space="0" w:color="auto"/>
              <w:left w:val="nil"/>
              <w:bottom w:val="single" w:sz="4" w:space="0" w:color="auto"/>
              <w:right w:val="single" w:sz="12" w:space="0" w:color="auto"/>
            </w:tcBorders>
            <w:textDirection w:val="lrTb"/>
            <w:vAlign w:val="top"/>
          </w:tcPr>
          <w:p w:rsidR="008C54C3" w:rsidRPr="000B7EC1" w:rsidP="00C60AF2">
            <w:pPr>
              <w:pStyle w:val="Default"/>
              <w:bidi w:val="0"/>
              <w:spacing w:after="0" w:line="240" w:lineRule="auto"/>
              <w:rPr>
                <w:rFonts w:ascii="Times New Roman" w:hAnsi="Times New Roman" w:cs="Times New Roman"/>
                <w:b/>
                <w:bCs/>
                <w:color w:val="auto"/>
                <w:sz w:val="20"/>
                <w:szCs w:val="20"/>
              </w:rPr>
            </w:pPr>
            <w:r w:rsidRPr="000B7EC1" w:rsidR="0078287E">
              <w:rPr>
                <w:rFonts w:ascii="Times New Roman" w:hAnsi="Times New Roman" w:cs="Times New Roman"/>
                <w:b/>
                <w:bCs/>
                <w:color w:val="auto"/>
                <w:sz w:val="20"/>
                <w:szCs w:val="20"/>
              </w:rPr>
              <w:t xml:space="preserve">SMERNICA </w:t>
            </w:r>
            <w:r w:rsidRPr="000B7EC1" w:rsidR="00C60AF2">
              <w:rPr>
                <w:rFonts w:ascii="Times New Roman" w:hAnsi="Times New Roman" w:cs="Times New Roman"/>
                <w:b/>
                <w:bCs/>
                <w:color w:val="auto"/>
                <w:sz w:val="20"/>
                <w:szCs w:val="20"/>
              </w:rPr>
              <w:t xml:space="preserve">RADY </w:t>
            </w:r>
            <w:r w:rsidRPr="000B7EC1" w:rsidR="00C60AF2">
              <w:rPr>
                <w:rFonts w:ascii="Times New Roman" w:hAnsi="Times New Roman" w:cs="Times New Roman"/>
                <w:b/>
                <w:bCs/>
                <w:color w:val="auto"/>
                <w:sz w:val="20"/>
                <w:szCs w:val="20"/>
                <w:u w:val="single"/>
              </w:rPr>
              <w:t>2006/112/ES</w:t>
            </w:r>
            <w:r w:rsidRPr="000B7EC1" w:rsidR="00C60AF2">
              <w:rPr>
                <w:rFonts w:ascii="Times New Roman" w:hAnsi="Times New Roman" w:cs="Times New Roman"/>
                <w:b/>
                <w:bCs/>
                <w:color w:val="auto"/>
                <w:sz w:val="20"/>
                <w:szCs w:val="20"/>
              </w:rPr>
              <w:t xml:space="preserve"> z 28. novembra 2006 </w:t>
            </w:r>
            <w:hyperlink r:id="rId4" w:tooltip="32006L0112" w:history="1">
              <w:r w:rsidRPr="000B7EC1" w:rsidR="00C60AF2">
                <w:rPr>
                  <w:rStyle w:val="Hyperlink"/>
                  <w:rFonts w:ascii="Times New Roman" w:hAnsi="Times New Roman"/>
                  <w:b/>
                  <w:bCs/>
                  <w:color w:val="auto"/>
                  <w:sz w:val="20"/>
                  <w:szCs w:val="20"/>
                  <w:u w:val="none"/>
                </w:rPr>
                <w:t xml:space="preserve">o spoločnom systéme dane z pridanej </w:t>
              </w:r>
              <w:r w:rsidRPr="000B7EC1" w:rsidR="00290FE4">
                <w:rPr>
                  <w:rStyle w:val="Hyperlink"/>
                  <w:rFonts w:ascii="Times New Roman" w:hAnsi="Times New Roman"/>
                  <w:b/>
                  <w:bCs/>
                  <w:color w:val="auto"/>
                  <w:sz w:val="20"/>
                  <w:szCs w:val="20"/>
                  <w:u w:val="none"/>
                </w:rPr>
                <w:t xml:space="preserve"> </w:t>
              </w:r>
              <w:r w:rsidRPr="000B7EC1" w:rsidR="00C60AF2">
                <w:rPr>
                  <w:rStyle w:val="Hyperlink"/>
                  <w:rFonts w:ascii="Times New Roman" w:hAnsi="Times New Roman"/>
                  <w:b/>
                  <w:bCs/>
                  <w:color w:val="auto"/>
                  <w:sz w:val="20"/>
                  <w:szCs w:val="20"/>
                  <w:u w:val="none"/>
                </w:rPr>
                <w:t>hodnoty</w:t>
              </w:r>
            </w:hyperlink>
            <w:r w:rsidRPr="000B7EC1" w:rsidR="00C60AF2">
              <w:rPr>
                <w:rFonts w:ascii="Times New Roman" w:hAnsi="Times New Roman" w:cs="Times New Roman"/>
                <w:b/>
                <w:bCs/>
                <w:color w:val="auto"/>
                <w:sz w:val="20"/>
                <w:szCs w:val="20"/>
              </w:rPr>
              <w:t xml:space="preserve"> </w:t>
            </w:r>
            <w:r w:rsidRPr="000B7EC1" w:rsidR="00C60AF2">
              <w:rPr>
                <w:rFonts w:ascii="Times New Roman" w:hAnsi="Times New Roman" w:cs="Times New Roman"/>
                <w:b/>
                <w:bCs/>
                <w:sz w:val="20"/>
                <w:szCs w:val="20"/>
              </w:rPr>
              <w:t>v platnom znení</w:t>
            </w:r>
          </w:p>
        </w:tc>
      </w:tr>
      <w:tr>
        <w:tblPrEx>
          <w:tblW w:w="16302" w:type="dxa"/>
          <w:tblInd w:w="-524" w:type="dxa"/>
          <w:tblLayout w:type="fixed"/>
          <w:tblCellMar>
            <w:left w:w="43" w:type="dxa"/>
            <w:right w:w="43" w:type="dxa"/>
          </w:tblCellMar>
        </w:tblPrEx>
        <w:trPr>
          <w:trHeight w:val="567"/>
        </w:trPr>
        <w:tc>
          <w:tcPr>
            <w:tcW w:w="8080"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0B7EC1">
            <w:pPr>
              <w:pStyle w:val="Heading4"/>
              <w:bidi w:val="0"/>
              <w:spacing w:before="120" w:after="0" w:line="240" w:lineRule="auto"/>
              <w:rPr>
                <w:rFonts w:ascii="Times New Roman" w:hAnsi="Times New Roman"/>
                <w:sz w:val="20"/>
                <w:szCs w:val="20"/>
              </w:rPr>
            </w:pPr>
            <w:r w:rsidRPr="000B7EC1" w:rsidR="00DE0F85">
              <w:rPr>
                <w:rFonts w:ascii="Times New Roman" w:hAnsi="Times New Roman"/>
                <w:sz w:val="20"/>
                <w:szCs w:val="20"/>
              </w:rPr>
              <w:t>Smernica EÚ</w:t>
            </w:r>
          </w:p>
          <w:p w:rsidR="00EE7DD6" w:rsidRPr="000B7EC1" w:rsidP="00C60AF2">
            <w:pPr>
              <w:pStyle w:val="BodyText3"/>
              <w:bidi w:val="0"/>
              <w:spacing w:after="0" w:line="240" w:lineRule="exact"/>
              <w:rPr>
                <w:rFonts w:ascii="Times New Roman" w:hAnsi="Times New Roman"/>
                <w:b/>
                <w:sz w:val="20"/>
                <w:szCs w:val="20"/>
              </w:rPr>
            </w:pPr>
            <w:r w:rsidRPr="000B7EC1" w:rsidR="002E1D16">
              <w:rPr>
                <w:rFonts w:ascii="Times New Roman" w:hAnsi="Times New Roman"/>
                <w:b/>
                <w:bCs/>
                <w:color w:val="000000"/>
                <w:sz w:val="20"/>
                <w:szCs w:val="20"/>
              </w:rPr>
              <w:t>SMERNICA RADY</w:t>
            </w:r>
            <w:r w:rsidRPr="000B7EC1" w:rsidR="00C60AF2">
              <w:rPr>
                <w:rFonts w:ascii="Times New Roman" w:hAnsi="Times New Roman"/>
                <w:b/>
                <w:bCs/>
                <w:sz w:val="20"/>
                <w:szCs w:val="20"/>
              </w:rPr>
              <w:t xml:space="preserve"> </w:t>
            </w:r>
            <w:r w:rsidRPr="000B7EC1" w:rsidR="00C60AF2">
              <w:rPr>
                <w:rFonts w:ascii="Times New Roman" w:hAnsi="Times New Roman"/>
                <w:b/>
                <w:bCs/>
                <w:sz w:val="20"/>
                <w:szCs w:val="20"/>
                <w:u w:val="single"/>
              </w:rPr>
              <w:t>2006/112/ES</w:t>
            </w:r>
            <w:r w:rsidRPr="000B7EC1" w:rsidR="00C60AF2">
              <w:rPr>
                <w:rFonts w:ascii="Times New Roman" w:hAnsi="Times New Roman"/>
                <w:b/>
                <w:bCs/>
                <w:sz w:val="20"/>
                <w:szCs w:val="20"/>
              </w:rPr>
              <w:t xml:space="preserve"> z 28. novembra 2006 </w:t>
            </w:r>
            <w:hyperlink r:id="rId4" w:tooltip="32006L0112" w:history="1">
              <w:r w:rsidRPr="000B7EC1" w:rsidR="00C60AF2">
                <w:rPr>
                  <w:rStyle w:val="Hyperlink"/>
                  <w:rFonts w:ascii="Times New Roman" w:hAnsi="Times New Roman"/>
                  <w:b/>
                  <w:bCs/>
                  <w:color w:val="auto"/>
                  <w:sz w:val="20"/>
                  <w:szCs w:val="20"/>
                  <w:u w:val="none"/>
                </w:rPr>
                <w:t>o spoločnom systéme dane z pridanej hodnoty</w:t>
              </w:r>
            </w:hyperlink>
            <w:r w:rsidRPr="000B7EC1" w:rsidR="00C60AF2">
              <w:rPr>
                <w:rFonts w:ascii="Times New Roman" w:hAnsi="Times New Roman"/>
                <w:b/>
                <w:bCs/>
                <w:sz w:val="20"/>
                <w:szCs w:val="20"/>
              </w:rPr>
              <w:t xml:space="preserve"> v platnom znení</w:t>
            </w:r>
          </w:p>
        </w:tc>
        <w:tc>
          <w:tcPr>
            <w:tcW w:w="8222" w:type="dxa"/>
            <w:gridSpan w:val="5"/>
            <w:tcBorders>
              <w:top w:val="single" w:sz="4" w:space="0" w:color="auto"/>
              <w:left w:val="nil"/>
              <w:bottom w:val="single" w:sz="4" w:space="0" w:color="auto"/>
              <w:right w:val="single" w:sz="12" w:space="0" w:color="auto"/>
            </w:tcBorders>
            <w:textDirection w:val="lrTb"/>
            <w:vAlign w:val="top"/>
          </w:tcPr>
          <w:p w:rsidR="008C54C3" w:rsidRPr="000B7EC1">
            <w:pPr>
              <w:pStyle w:val="Heading4"/>
              <w:bidi w:val="0"/>
              <w:spacing w:before="120" w:after="0" w:line="240" w:lineRule="auto"/>
              <w:rPr>
                <w:rFonts w:ascii="Times New Roman" w:hAnsi="Times New Roman"/>
                <w:sz w:val="20"/>
                <w:szCs w:val="20"/>
              </w:rPr>
            </w:pPr>
            <w:r w:rsidRPr="000B7EC1">
              <w:rPr>
                <w:rFonts w:ascii="Times New Roman" w:hAnsi="Times New Roman"/>
                <w:sz w:val="20"/>
                <w:szCs w:val="20"/>
              </w:rPr>
              <w:t>Všeobecne záväzné právne predpisy Slovenskej republiky</w:t>
            </w:r>
          </w:p>
          <w:p w:rsidR="00217BF4" w:rsidRPr="000B7EC1" w:rsidP="00217BF4">
            <w:pPr>
              <w:pStyle w:val="Zkladntext"/>
              <w:bidi w:val="0"/>
              <w:spacing w:after="0" w:line="240" w:lineRule="auto"/>
              <w:jc w:val="both"/>
              <w:rPr>
                <w:rFonts w:ascii="Times New Roman" w:hAnsi="Times New Roman"/>
                <w:b/>
                <w:sz w:val="20"/>
                <w:szCs w:val="20"/>
              </w:rPr>
            </w:pPr>
            <w:r w:rsidRPr="000B7EC1" w:rsidR="004577EC">
              <w:rPr>
                <w:rFonts w:ascii="Times New Roman" w:hAnsi="Times New Roman"/>
                <w:b/>
                <w:sz w:val="20"/>
                <w:szCs w:val="20"/>
              </w:rPr>
              <w:t xml:space="preserve">Návrh zákona, </w:t>
            </w:r>
            <w:r w:rsidRPr="000B7EC1" w:rsidR="00C60AF2">
              <w:rPr>
                <w:rFonts w:ascii="Times New Roman" w:hAnsi="Times New Roman"/>
                <w:b/>
                <w:sz w:val="20"/>
                <w:szCs w:val="20"/>
              </w:rPr>
              <w:t>ktorým sa mení a dopĺňa zákon č. 222/2004 Z. z. o dani z pridanej hodnoty v znení neskorších predpisov</w:t>
            </w:r>
            <w:r w:rsidRPr="000B7EC1" w:rsidR="00C2077D">
              <w:rPr>
                <w:rFonts w:ascii="Times New Roman" w:hAnsi="Times New Roman"/>
                <w:b/>
                <w:sz w:val="20"/>
                <w:szCs w:val="20"/>
              </w:rPr>
              <w:t xml:space="preserve"> (ďalej „návrh zákona“)</w:t>
            </w:r>
          </w:p>
          <w:p w:rsidR="00DA0E34" w:rsidRPr="000B7EC1" w:rsidP="00217BF4">
            <w:pPr>
              <w:pStyle w:val="Zkladntext"/>
              <w:bidi w:val="0"/>
              <w:spacing w:after="0" w:line="240" w:lineRule="auto"/>
              <w:jc w:val="both"/>
              <w:rPr>
                <w:rFonts w:ascii="Times New Roman" w:hAnsi="Times New Roman"/>
                <w:b/>
                <w:sz w:val="20"/>
                <w:szCs w:val="20"/>
              </w:rPr>
            </w:pPr>
          </w:p>
          <w:p w:rsidR="00DA0E34" w:rsidRPr="000B7EC1" w:rsidP="00DA0E34">
            <w:pPr>
              <w:pStyle w:val="Zkladntext"/>
              <w:bidi w:val="0"/>
              <w:spacing w:after="0" w:line="240" w:lineRule="auto"/>
              <w:jc w:val="both"/>
              <w:rPr>
                <w:rFonts w:ascii="Times New Roman" w:hAnsi="Times New Roman"/>
                <w:sz w:val="20"/>
                <w:szCs w:val="20"/>
              </w:rPr>
            </w:pPr>
            <w:r w:rsidRPr="000B7EC1">
              <w:rPr>
                <w:rFonts w:ascii="Times New Roman" w:hAnsi="Times New Roman"/>
                <w:sz w:val="20"/>
                <w:szCs w:val="20"/>
              </w:rPr>
              <w:t>Zákon č. 222/2004 Z. z. o dani z pridanej hodnoty v znení neskorších predpisov (ďalej „222/2004“)</w:t>
            </w:r>
          </w:p>
          <w:p w:rsidR="00DA0E34" w:rsidRPr="000B7EC1" w:rsidP="00217BF4">
            <w:pPr>
              <w:pStyle w:val="Zkladntext"/>
              <w:bidi w:val="0"/>
              <w:spacing w:after="0" w:line="240" w:lineRule="auto"/>
              <w:jc w:val="both"/>
              <w:rPr>
                <w:rFonts w:ascii="Times New Roman" w:hAnsi="Times New Roman"/>
                <w:sz w:val="20"/>
                <w:szCs w:val="20"/>
              </w:rPr>
            </w:pPr>
          </w:p>
          <w:p w:rsidR="002E1D16" w:rsidRPr="000B7EC1" w:rsidP="002E1D16">
            <w:pPr>
              <w:pStyle w:val="Zkladntext"/>
              <w:bidi w:val="0"/>
              <w:spacing w:after="0" w:line="240" w:lineRule="auto"/>
              <w:jc w:val="both"/>
              <w:rPr>
                <w:rFonts w:ascii="Times New Roman" w:hAnsi="Times New Roman"/>
                <w:sz w:val="20"/>
                <w:szCs w:val="20"/>
              </w:rPr>
            </w:pPr>
          </w:p>
        </w:tc>
      </w:tr>
      <w:tr>
        <w:tblPrEx>
          <w:tblW w:w="16302" w:type="dxa"/>
          <w:tblInd w:w="-524" w:type="dxa"/>
          <w:tblLayout w:type="fixed"/>
          <w:tblCellMar>
            <w:left w:w="43" w:type="dxa"/>
            <w:right w:w="43" w:type="dxa"/>
          </w:tblCellMar>
        </w:tblPrEx>
        <w:tc>
          <w:tcPr>
            <w:tcW w:w="567" w:type="dxa"/>
            <w:tcBorders>
              <w:top w:val="single" w:sz="4" w:space="0" w:color="auto"/>
              <w:left w:val="single" w:sz="12" w:space="0" w:color="auto"/>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Pr>
                <w:rFonts w:ascii="Times New Roman" w:hAnsi="Times New Roman"/>
                <w:sz w:val="20"/>
                <w:szCs w:val="20"/>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Pr>
                <w:rFonts w:ascii="Times New Roman" w:hAnsi="Times New Roman"/>
                <w:sz w:val="20"/>
                <w:szCs w:val="20"/>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pPr>
              <w:pStyle w:val="BodyText2"/>
              <w:bidi w:val="0"/>
              <w:spacing w:after="0" w:line="240" w:lineRule="exact"/>
              <w:rPr>
                <w:rFonts w:ascii="Times New Roman" w:hAnsi="Times New Roman"/>
              </w:rPr>
            </w:pPr>
            <w:r w:rsidRPr="000B7EC1">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pPr>
              <w:pStyle w:val="BodyText2"/>
              <w:bidi w:val="0"/>
              <w:spacing w:after="0" w:line="240" w:lineRule="exact"/>
              <w:rPr>
                <w:rFonts w:ascii="Times New Roman" w:hAnsi="Times New Roman"/>
              </w:rPr>
            </w:pPr>
            <w:r w:rsidRPr="000B7EC1">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5170A9">
              <w:rPr>
                <w:rFonts w:ascii="Times New Roman" w:hAnsi="Times New Roman"/>
                <w:sz w:val="20"/>
                <w:szCs w:val="20"/>
              </w:rPr>
              <w:t>8</w:t>
            </w:r>
          </w:p>
        </w:tc>
      </w:tr>
      <w:tr>
        <w:tblPrEx>
          <w:tblW w:w="16302" w:type="dxa"/>
          <w:tblInd w:w="-524" w:type="dxa"/>
          <w:tblLayout w:type="fixed"/>
          <w:tblCellMar>
            <w:left w:w="43" w:type="dxa"/>
            <w:right w:w="43" w:type="dxa"/>
          </w:tblCellMar>
        </w:tblPrEx>
        <w:tc>
          <w:tcPr>
            <w:tcW w:w="567" w:type="dxa"/>
            <w:tcBorders>
              <w:top w:val="single" w:sz="4" w:space="0" w:color="auto"/>
              <w:left w:val="single" w:sz="12" w:space="0" w:color="auto"/>
              <w:bottom w:val="single" w:sz="4" w:space="0" w:color="auto"/>
              <w:right w:val="single" w:sz="4" w:space="0" w:color="auto"/>
            </w:tcBorders>
            <w:textDirection w:val="lrTb"/>
            <w:vAlign w:val="top"/>
          </w:tcPr>
          <w:p w:rsidR="00A9063F" w:rsidRPr="000B7EC1">
            <w:pPr>
              <w:pStyle w:val="Normlny"/>
              <w:bidi w:val="0"/>
              <w:spacing w:after="0" w:line="240" w:lineRule="auto"/>
              <w:jc w:val="center"/>
              <w:rPr>
                <w:rFonts w:ascii="Times New Roman" w:hAnsi="Times New Roman"/>
              </w:rPr>
            </w:pPr>
            <w:r w:rsidRPr="000B7EC1">
              <w:rPr>
                <w:rFonts w:ascii="Times New Roman" w:hAnsi="Times New Roman"/>
              </w:rPr>
              <w:t>Článok</w:t>
            </w:r>
          </w:p>
          <w:p w:rsidR="00A9063F" w:rsidRPr="000B7EC1">
            <w:pPr>
              <w:pStyle w:val="Normlny"/>
              <w:bidi w:val="0"/>
              <w:spacing w:after="0" w:line="240" w:lineRule="auto"/>
              <w:jc w:val="center"/>
              <w:rPr>
                <w:rFonts w:ascii="Times New Roman" w:hAnsi="Times New Roman"/>
              </w:rPr>
            </w:pPr>
            <w:r w:rsidRPr="000B7EC1">
              <w:rPr>
                <w:rFonts w:ascii="Times New Roman" w:hAnsi="Times New Roman"/>
              </w:rPr>
              <w:t>(Č, O,</w:t>
            </w:r>
          </w:p>
          <w:p w:rsidR="00A9063F" w:rsidRPr="000B7EC1">
            <w:pPr>
              <w:pStyle w:val="Normlny"/>
              <w:bidi w:val="0"/>
              <w:spacing w:after="0" w:line="240" w:lineRule="auto"/>
              <w:jc w:val="center"/>
              <w:rPr>
                <w:rFonts w:ascii="Times New Roman" w:hAnsi="Times New Roman"/>
              </w:rPr>
            </w:pPr>
            <w:r w:rsidRPr="000B7EC1">
              <w:rPr>
                <w:rFonts w:ascii="Times New Roman" w:hAnsi="Times New Roman"/>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0B7EC1">
            <w:pPr>
              <w:pStyle w:val="Normlny"/>
              <w:bidi w:val="0"/>
              <w:spacing w:after="0" w:line="240" w:lineRule="auto"/>
              <w:jc w:val="center"/>
              <w:rPr>
                <w:rFonts w:ascii="Times New Roman" w:hAnsi="Times New Roman"/>
              </w:rPr>
            </w:pPr>
            <w:r w:rsidRPr="000B7EC1">
              <w:rPr>
                <w:rFonts w:ascii="Times New Roman" w:hAnsi="Times New Roman"/>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pStyle w:val="Normlny"/>
              <w:bidi w:val="0"/>
              <w:spacing w:after="0" w:line="240" w:lineRule="auto"/>
              <w:jc w:val="center"/>
              <w:rPr>
                <w:rFonts w:ascii="Times New Roman" w:hAnsi="Times New Roman"/>
              </w:rPr>
            </w:pPr>
            <w:r w:rsidRPr="000B7EC1">
              <w:rPr>
                <w:rFonts w:ascii="Times New Roman" w:hAnsi="Times New Roman"/>
              </w:rPr>
              <w:t>Spôsob transp.</w:t>
            </w:r>
          </w:p>
          <w:p w:rsidR="00A9063F" w:rsidRPr="000B7EC1">
            <w:pPr>
              <w:pStyle w:val="Normlny"/>
              <w:bidi w:val="0"/>
              <w:spacing w:after="0" w:line="240" w:lineRule="auto"/>
              <w:jc w:val="center"/>
              <w:rPr>
                <w:rFonts w:ascii="Times New Roman" w:hAnsi="Times New Roman"/>
              </w:rPr>
            </w:pPr>
            <w:r w:rsidRPr="000B7EC1">
              <w:rPr>
                <w:rFonts w:ascii="Times New Roman" w:hAnsi="Times New Roman"/>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0B7EC1">
            <w:pPr>
              <w:pStyle w:val="Normlny"/>
              <w:bidi w:val="0"/>
              <w:spacing w:after="0" w:line="240" w:lineRule="auto"/>
              <w:jc w:val="center"/>
              <w:rPr>
                <w:rFonts w:ascii="Times New Roman" w:hAnsi="Times New Roman"/>
              </w:rPr>
            </w:pPr>
            <w:r w:rsidRPr="000B7EC1">
              <w:rPr>
                <w:rFonts w:ascii="Times New Roman" w:hAnsi="Times New Roman"/>
              </w:rPr>
              <w:t>Číslo</w:t>
            </w:r>
          </w:p>
          <w:p w:rsidR="00A9063F" w:rsidRPr="000B7EC1">
            <w:pPr>
              <w:pStyle w:val="Normlny"/>
              <w:bidi w:val="0"/>
              <w:spacing w:after="0" w:line="240" w:lineRule="auto"/>
              <w:jc w:val="center"/>
              <w:rPr>
                <w:rFonts w:ascii="Times New Roman" w:hAnsi="Times New Roman"/>
              </w:rPr>
            </w:pPr>
            <w:r w:rsidRPr="000B7EC1">
              <w:rPr>
                <w:rFonts w:ascii="Times New Roman" w:hAnsi="Times New Roman"/>
              </w:rPr>
              <w:t>predpisu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pPr>
              <w:pStyle w:val="Normlny"/>
              <w:bidi w:val="0"/>
              <w:spacing w:after="0" w:line="240" w:lineRule="auto"/>
              <w:jc w:val="center"/>
              <w:rPr>
                <w:rFonts w:ascii="Times New Roman" w:hAnsi="Times New Roman"/>
              </w:rPr>
            </w:pPr>
            <w:r w:rsidRPr="000B7EC1">
              <w:rPr>
                <w:rFonts w:ascii="Times New Roman" w:hAnsi="Times New Roman"/>
              </w:rPr>
              <w:t>Článok (Č, §, O, V, P)</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pPr>
              <w:pStyle w:val="Normlny"/>
              <w:bidi w:val="0"/>
              <w:spacing w:after="0" w:line="240" w:lineRule="auto"/>
              <w:jc w:val="center"/>
              <w:rPr>
                <w:rFonts w:ascii="Times New Roman" w:hAnsi="Times New Roman"/>
              </w:rPr>
            </w:pPr>
            <w:r w:rsidRPr="000B7EC1">
              <w:rPr>
                <w:rFonts w:ascii="Times New Roman" w:hAnsi="Times New Roman"/>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pPr>
              <w:pStyle w:val="Normlny"/>
              <w:bidi w:val="0"/>
              <w:spacing w:after="0" w:line="240" w:lineRule="auto"/>
              <w:jc w:val="center"/>
              <w:rPr>
                <w:rFonts w:ascii="Times New Roman" w:hAnsi="Times New Roman"/>
              </w:rPr>
            </w:pPr>
            <w:r w:rsidRPr="000B7EC1">
              <w:rPr>
                <w:rFonts w:ascii="Times New Roman" w:hAnsi="Times New Roman"/>
              </w:rPr>
              <w:t>Zhoda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pStyle w:val="Normlny"/>
              <w:bidi w:val="0"/>
              <w:spacing w:after="0" w:line="240" w:lineRule="auto"/>
              <w:jc w:val="center"/>
              <w:rPr>
                <w:rFonts w:ascii="Times New Roman" w:hAnsi="Times New Roman"/>
              </w:rPr>
            </w:pPr>
            <w:r w:rsidRPr="000B7EC1">
              <w:rPr>
                <w:rFonts w:ascii="Times New Roman" w:hAnsi="Times New Roman"/>
              </w:rPr>
              <w:t>Poznámky</w:t>
            </w:r>
          </w:p>
        </w:tc>
      </w:tr>
      <w:tr>
        <w:tblPrEx>
          <w:tblW w:w="16302" w:type="dxa"/>
          <w:tblInd w:w="-524" w:type="dxa"/>
          <w:tblLayout w:type="fixed"/>
          <w:tblCellMar>
            <w:left w:w="43" w:type="dxa"/>
            <w:right w:w="43" w:type="dxa"/>
          </w:tblCellMar>
        </w:tblPrEx>
        <w:tc>
          <w:tcPr>
            <w:tcW w:w="567" w:type="dxa"/>
            <w:tcBorders>
              <w:top w:val="single" w:sz="4" w:space="0" w:color="auto"/>
              <w:left w:val="single" w:sz="12" w:space="0" w:color="auto"/>
              <w:bottom w:val="single" w:sz="4" w:space="0" w:color="auto"/>
              <w:right w:val="single" w:sz="4" w:space="0" w:color="auto"/>
            </w:tcBorders>
            <w:textDirection w:val="lrTb"/>
            <w:vAlign w:val="top"/>
          </w:tcPr>
          <w:p w:rsidR="00A9063F" w:rsidRPr="000B7EC1" w:rsidP="002E1D16">
            <w:pPr>
              <w:bidi w:val="0"/>
              <w:spacing w:after="0" w:line="240" w:lineRule="auto"/>
              <w:jc w:val="center"/>
              <w:rPr>
                <w:rFonts w:ascii="Times New Roman" w:hAnsi="Times New Roman"/>
                <w:sz w:val="20"/>
                <w:szCs w:val="20"/>
              </w:rPr>
            </w:pPr>
            <w:r w:rsidRPr="000B7EC1" w:rsidR="00C60AF2">
              <w:rPr>
                <w:rFonts w:ascii="Times New Roman" w:hAnsi="Times New Roman"/>
                <w:sz w:val="20"/>
                <w:szCs w:val="20"/>
              </w:rPr>
              <w:t>Čl. 66</w:t>
            </w:r>
            <w:r w:rsidRPr="000B7EC1" w:rsidR="0078287E">
              <w:rPr>
                <w:rFonts w:ascii="Times New Roman" w:hAnsi="Times New Roman"/>
                <w:sz w:val="20"/>
                <w:szCs w:val="20"/>
              </w:rPr>
              <w:t xml:space="preserve">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60AF2" w:rsidRPr="000B7EC1" w:rsidP="000B7EC1">
            <w:pPr>
              <w:pStyle w:val="CM4"/>
              <w:bidi w:val="0"/>
              <w:spacing w:before="60" w:after="60" w:line="240" w:lineRule="auto"/>
              <w:jc w:val="both"/>
              <w:rPr>
                <w:rFonts w:ascii="Times New Roman" w:hAnsi="Times New Roman"/>
                <w:sz w:val="20"/>
                <w:szCs w:val="20"/>
              </w:rPr>
            </w:pPr>
            <w:r w:rsidRPr="000B7EC1">
              <w:rPr>
                <w:rFonts w:ascii="Times New Roman" w:hAnsi="Times New Roman"/>
                <w:sz w:val="20"/>
                <w:szCs w:val="20"/>
              </w:rPr>
              <w:t>Odchylne od článkov 63, 64 a 65 môžu členské štáty stanoviť, že pri niektorých transakciách alebo niektorých kategóriách zdaniteľných osôb daňová povinnosť vzniká v jednom z nasledovných okamihov:</w:t>
            </w:r>
          </w:p>
          <w:p w:rsidR="00C60AF2" w:rsidRPr="000B7EC1" w:rsidP="000B7EC1">
            <w:pPr>
              <w:pStyle w:val="CM4"/>
              <w:bidi w:val="0"/>
              <w:spacing w:before="60" w:after="60" w:line="240" w:lineRule="auto"/>
              <w:jc w:val="both"/>
              <w:rPr>
                <w:rFonts w:ascii="Times New Roman" w:hAnsi="Times New Roman"/>
                <w:sz w:val="20"/>
                <w:szCs w:val="20"/>
              </w:rPr>
            </w:pPr>
            <w:r w:rsidRPr="000B7EC1">
              <w:rPr>
                <w:rFonts w:ascii="Times New Roman" w:hAnsi="Times New Roman"/>
                <w:sz w:val="20"/>
                <w:szCs w:val="20"/>
              </w:rPr>
              <w:t>a) najneskôr v deň vyhotovenia faktúry,</w:t>
            </w:r>
          </w:p>
          <w:p w:rsidR="00C60AF2" w:rsidRPr="000B7EC1" w:rsidP="000B7EC1">
            <w:pPr>
              <w:pStyle w:val="CM4"/>
              <w:bidi w:val="0"/>
              <w:spacing w:before="60" w:after="60" w:line="240" w:lineRule="auto"/>
              <w:jc w:val="both"/>
              <w:rPr>
                <w:rFonts w:ascii="Times New Roman" w:hAnsi="Times New Roman"/>
                <w:sz w:val="20"/>
                <w:szCs w:val="20"/>
              </w:rPr>
            </w:pPr>
            <w:r w:rsidRPr="000B7EC1">
              <w:rPr>
                <w:rFonts w:ascii="Times New Roman" w:hAnsi="Times New Roman"/>
                <w:sz w:val="20"/>
                <w:szCs w:val="20"/>
              </w:rPr>
              <w:t>b) najneskôr v deň prijatia platby,</w:t>
            </w:r>
          </w:p>
          <w:p w:rsidR="00C60AF2" w:rsidRPr="000B7EC1" w:rsidP="000B7EC1">
            <w:pPr>
              <w:pStyle w:val="CM4"/>
              <w:bidi w:val="0"/>
              <w:spacing w:before="60" w:after="60" w:line="240" w:lineRule="auto"/>
              <w:jc w:val="both"/>
              <w:rPr>
                <w:rFonts w:ascii="Times New Roman" w:hAnsi="Times New Roman"/>
                <w:sz w:val="20"/>
                <w:szCs w:val="20"/>
              </w:rPr>
            </w:pPr>
            <w:r w:rsidRPr="000B7EC1">
              <w:rPr>
                <w:rFonts w:ascii="Times New Roman" w:hAnsi="Times New Roman"/>
                <w:sz w:val="20"/>
                <w:szCs w:val="20"/>
              </w:rPr>
              <w:t>c) ak sa faktúra nevyhotoví alebo ak sa vyhotoví neskoro, v stanovenej lehote ale najneskôr v deň uplynutia lehoty pre vyhotovenie faktúr stanovenej členskými štátmi podľa druhého odseku článku 222 alebo v prípade, že členský štát žiadnu takúto lehotu nestanovil, faktúra sa vyhotoví v stanovenej lehote po dni vzniku zdaniteľnej udalosti.</w:t>
            </w:r>
          </w:p>
          <w:p w:rsidR="002E1D16" w:rsidRPr="000B7EC1" w:rsidP="000B7EC1">
            <w:pPr>
              <w:pStyle w:val="CM4"/>
              <w:bidi w:val="0"/>
              <w:spacing w:before="60" w:after="60" w:line="240" w:lineRule="auto"/>
              <w:jc w:val="both"/>
              <w:rPr>
                <w:rFonts w:ascii="Times New Roman" w:hAnsi="Times New Roman"/>
                <w:sz w:val="20"/>
                <w:szCs w:val="20"/>
              </w:rPr>
            </w:pPr>
            <w:r w:rsidRPr="000B7EC1" w:rsidR="00C60AF2">
              <w:rPr>
                <w:rFonts w:ascii="Times New Roman" w:hAnsi="Times New Roman"/>
                <w:sz w:val="20"/>
                <w:szCs w:val="20"/>
              </w:rPr>
              <w:t>Výnimka ustanovená v prvom odseku sa však nevzťahuje na poskytovania služieb, v súvislosti s ktorými platí DPH odberateľ podľa článku 196, a na dodania alebo premiestnenia tovaru uvedené v článku 67.</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78287E">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b/>
                <w:sz w:val="20"/>
                <w:szCs w:val="20"/>
              </w:rPr>
            </w:pPr>
            <w:r w:rsidRPr="000B7EC1" w:rsidR="00C2077D">
              <w:rPr>
                <w:rFonts w:ascii="Times New Roman" w:hAnsi="Times New Roman"/>
                <w:b/>
                <w:sz w:val="20"/>
                <w:szCs w:val="20"/>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rsidP="0091636B">
            <w:pPr>
              <w:pStyle w:val="Normlny"/>
              <w:bidi w:val="0"/>
              <w:spacing w:after="0" w:line="240" w:lineRule="auto"/>
              <w:jc w:val="center"/>
              <w:rPr>
                <w:rFonts w:ascii="Times New Roman" w:hAnsi="Times New Roman"/>
              </w:rPr>
            </w:pPr>
            <w:r w:rsidRPr="000B7EC1" w:rsidR="00C2077D">
              <w:rPr>
                <w:rFonts w:ascii="Times New Roman" w:hAnsi="Times New Roman"/>
              </w:rPr>
              <w:t>§ 68d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 xml:space="preserve">(1) Platiteľ registrovaný podľa § 4 sa môže rozhodnúť pre uplatňovanie osobitnej úpravy podľa odsekov 3 až 13, ak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a) za predchádzajúci kalendárny rok nedosiahol obrat 75 000 eur a odôvodnene predpokladá, že v prebiehajúcom kalendárnom roku nedosiahne obrat 75 000 eur a</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b) na platiteľa nebol vyhlásený konkurz alebo platiteľ nevstúpil do likvidácie</w:t>
            </w:r>
            <w:r w:rsidR="00B35199">
              <w:rPr>
                <w:rFonts w:ascii="Times New Roman" w:hAnsi="Times New Roman"/>
                <w:b/>
                <w:sz w:val="20"/>
                <w:szCs w:val="20"/>
              </w:rPr>
              <w:t>.</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(2) Platiteľ, ktorý spĺňa podmienky podľa odseku 1 a ktorý sa rozhodol uplatňovať osobitnú úpravu, uplatňuje túto úpravu od prvého dňa zdaňovacieho obdobia. Dátum začatia uplatňovania osobitnej úpravy platiteľ písomne oznámi daňovému úradu najneskôr do konca kalendárneho mesiaca, v ktorom za</w:t>
            </w:r>
            <w:r w:rsidR="00B35199">
              <w:rPr>
                <w:rFonts w:ascii="Times New Roman" w:hAnsi="Times New Roman"/>
                <w:b/>
                <w:sz w:val="20"/>
                <w:szCs w:val="20"/>
              </w:rPr>
              <w:t>čal uplatňovať osobitnú úpravu.</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(3) Osobitná úprava sa vzťahuje na odplatné dodania tovarov a služieb v tuzemsku, pri ktorých je platiteľ povinný platiť daň podľa § 69 ods. 1 okrem dodania tova</w:t>
            </w:r>
            <w:r w:rsidR="00B35199">
              <w:rPr>
                <w:rFonts w:ascii="Times New Roman" w:hAnsi="Times New Roman"/>
                <w:b/>
                <w:sz w:val="20"/>
                <w:szCs w:val="20"/>
              </w:rPr>
              <w:t xml:space="preserve">rov a služieb podľa § 43 a 47.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(4) Daňová povinnosť pri uplatňovaní osobitnej úpravy vzniká dňom prijatia platby za tovar alebo službu, ktoré sú alebo majú byť dodané, a to z prijatej platby. Faktúra vyhotovená platiteľom podľa odseku 2 okrem faktúry podľa § 74 ods. 3 písm. a) až c), ktorá je vyhotovená oproti prijatiu platby, musí obsahovať aj zreteľnú a čitateľnú slovnú informáciu „daň sa uplatňuje na základe prijatia platby“. Ak platiteľ takúto slovnú informáciu na faktúre neuvedie, daňová povinnosť vznikne podľa § 19. Platiteľ nesmie opraviť pôvodnú faktúru doplnením slovnej informácie „daň sa uplatňuje na základe prijatia platby“.</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(5) Právo odpočítať daň z tovarov a služieb, ktorú voči platiteľovi podľa odseku 2 uplatnil iný platiteľ, vzniká dňom zaplatenia za tovar alebo službu platiteľom podľa odseku 2 dodávateľovi. Ak platiteľ podľa odseku 2 zaplatí len časť protihodnoty za tovar alebo službu, právo odpočítať daň vzniká pomerne podľa výšky sumy, ktorú zaplatil.</w:t>
            </w:r>
            <w:r w:rsidR="00B35199">
              <w:rPr>
                <w:rFonts w:ascii="Times New Roman" w:hAnsi="Times New Roman"/>
                <w:b/>
                <w:sz w:val="20"/>
                <w:szCs w:val="20"/>
              </w:rPr>
              <w:t xml:space="preserve">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 xml:space="preserve">(6) Ak platiteľ podľa odseku 2 uplatňuje odpočítanie dane pri investičnom majetku uvedenom v § 54 ods. 2 až po skončení kalendárneho roka, v ktorom začalo plynúť obdobie na úpravu odpočítanej dane podľa § 54 alebo § 54a, je povinný pri odpočítaní dane a prípadnom vysporiadaní pomerného odpočítania dane zohľadniť zmenu alebo zmeny účelu použitia investičného majetku a zmenu alebo zmeny rozsahu použitia investičného majetku, ak k týmto zmenám došlo v období od začiatku plynutia obdobia na úpravu odpočítanej dane do konca kalendárneho roka, v ktorom uplatňuje odpočítanie dane.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(7) Odpočítanie dane podľa § 55 môže platiteľ podľa odseku 2 uplatniť pri tovaroch a službách, za ktoré zaplatil dodávateľovi. Ak platiteľ zaplatil len časť protihodnoty, odpočítanie dane môže uplatniť len pomerne pod</w:t>
            </w:r>
            <w:r w:rsidR="00B35199">
              <w:rPr>
                <w:rFonts w:ascii="Times New Roman" w:hAnsi="Times New Roman"/>
                <w:b/>
                <w:sz w:val="20"/>
                <w:szCs w:val="20"/>
              </w:rPr>
              <w:t xml:space="preserve">ľa výšky sumy, ktorú zaplatil.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(8) Ak po zdaňovacom období, v ktorom vznikla daňová povinnosť, nastane skutočnosť podľa § 25 ods. 1, ktorá má za následok zníženie vzniknutej daňovej povinnosti, platiteľ podľa odseku 2 uvedie opravu základu dane a dane v daňovom priznaní za zdaňovacie obdobie, v ktorom vrátil platbu, a to v rozsahu vrátenej platby. Ak sa opravou základu dane zvýši základ dane, platiteľ podľa odseku 2 uvedie opravu základu dane a dane v daňovom priznaní za zdaňovacie obdobie, v ktorom prijal platbu, a</w:t>
            </w:r>
            <w:r w:rsidR="00B35199">
              <w:rPr>
                <w:rFonts w:ascii="Times New Roman" w:hAnsi="Times New Roman"/>
                <w:b/>
                <w:sz w:val="20"/>
                <w:szCs w:val="20"/>
              </w:rPr>
              <w:t xml:space="preserve"> to v rozsahu prijatej platby.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(9) Platiteľ podľa odseku 2 má právo opraviť odpočítanú daň pri zvýšení základu dane, a to v tom zdaňovacom období, v ktorom zaplatil dodávateľovi a vo výške zodpovedajúcej sume, ktorú zaplatil.</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(10) Platiteľ podľa odseku 2 sa môže rozhodnúť pre skončenie uplatňovania osobitnej úpravy. Uplatňovanie osobitnej úpravy je platiteľ povinný skončiť posledným dňom kalendárneho roka, v ktorom svoje rozhodnutie písomne oznámi daňovému úradu.</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(11) Platiteľ je povinný skončiť uplatňovanie osobitnej úpravy, ak</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a) v prebiehajúcom kalendárnom roku dosiahne obrat 75 000 eur, a to posledným dňom zdaňovacieho obdobia, v ktorom dosiahol obrat,</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b) sa stane členom skupiny, a to dňom, ktorý predchádza dňu, keď sa stal členom skupiny,</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c) je naňho vyhlásený konkurz alebo vstúpil do likvidácie, a to dňom, ktorý predchádza vyhláseniu konkurzu alebo vstupu do likvidácie,</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d) sa zrušuje bez likvidácie, a to dňom, ktorý predchádza dňu jeho zániku,</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e) je fyzickou osobou pokračujúcou v živnosti po úmrtí platiteľa podľa § 83, a to posledným dňom posledného zdaňovacieho obdobia.</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(12) Dátum skončenia uplatňovania osobitnej úpravy podľa odseku 11 platiteľ alebo jeho právny nástupca písomne oznámi daňovému úradu najneskôr do 5 dní od skončenia zdaňovacieho obdobia, v ktorom uplatňovanie osobitnej úpravy skončil.</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(13) Posledným dňom zdaňovacieho obdobia, v ktorom platiteľ skončil uplatňovanie osobitnej úpravy, a dňom, uplynutím ktorého prestala byť právnická osoba alebo fyzická osoba platiteľom podľa § 81 ods. 5, vzniká daňová povinnosť z dodania tovarov a služieb za obdobie uplatňovania osobitnej úpravy, ktorá by bola vznikla, ak by nebol uplatňoval osobitnú úpravu, okrem daňovej povinnosti, ktorá vznikla za zdaňovacie obdobia, v ktorých uplatňoval osobitnú úpravu. V tomto zdaňovacom období platiteľ môže odpočítať daň z tovarov a služieb, pri ktorých by bolo vzniklo právo odpočítať daň v období uplatňovania osobitnej úpravy, ak by nebol uplatňoval osobitnú úpravu, okrem dane, kt</w:t>
            </w:r>
            <w:r w:rsidR="00B35199">
              <w:rPr>
                <w:rFonts w:ascii="Times New Roman" w:hAnsi="Times New Roman"/>
                <w:b/>
                <w:sz w:val="20"/>
                <w:szCs w:val="20"/>
              </w:rPr>
              <w:t xml:space="preserve">orú už odpočítal.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(14) Daňový úrad uloží pokutu do výšky 10 000 eur, ak</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a) platiteľ uplatňuje osobitnú úpravu a nesplnil podmienky podľa odseku 1,</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 xml:space="preserve">b) platiteľ pokračuje v uplatňovaní osobitnej úpravy po dni, ktorým bol povinný skončiť uplatňovanie osobitnej úpravy podľa odseku 10 alebo odseku 11,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c) platiteľ podľa odseku 2 na faktúre neuvedie sl</w:t>
            </w:r>
            <w:r w:rsidR="00B35199">
              <w:rPr>
                <w:rFonts w:ascii="Times New Roman" w:hAnsi="Times New Roman"/>
                <w:b/>
                <w:sz w:val="20"/>
                <w:szCs w:val="20"/>
              </w:rPr>
              <w:t>ovnú informáciu podľa odseku 4.</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(15) Pri určení výšky pokuty podľa odseku 14 prihliadne daňový úrad na závažnosť a dĺžku trvania protiprávneho stavu.</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(16) Finančné riaditeľstvo Slovenskej republiky zverejní na portáli Finančnej správy Slovenskej republiky zoznam platiteľov, ktorí písomne oznámili začatie uplatňovania osobitnej úpravy, platiteľov, ktorí písomne oznámili skončenie uplatňovania osobitnej úpravy, a platiteľov, ktorí uplatňovali osobitnú úpravu a ich registrácia pre daň bola zrušená.</w:t>
            </w:r>
          </w:p>
          <w:p w:rsidR="00A9063F" w:rsidRPr="000B7EC1" w:rsidP="00187269">
            <w:pPr>
              <w:pStyle w:val="Zkladntext"/>
              <w:bidi w:val="0"/>
              <w:spacing w:after="0" w:line="240" w:lineRule="auto"/>
              <w:jc w:val="both"/>
              <w:rPr>
                <w:rFonts w:ascii="Times New Roman" w:hAnsi="Times New Roman"/>
                <w:b/>
                <w:sz w:val="20"/>
                <w:szCs w:val="20"/>
              </w:rPr>
            </w:pPr>
            <w:r w:rsidRPr="00813A0B" w:rsidR="00813A0B">
              <w:rPr>
                <w:rFonts w:ascii="Times New Roman" w:hAnsi="Times New Roman"/>
                <w:b/>
                <w:sz w:val="20"/>
                <w:szCs w:val="20"/>
              </w:rPr>
              <w:t>(17) Oznámenie podľa odsekov 2, 10 a 12 sa podáva na tlačive, ktorého vzor zverejní Finančné riaditeľstvo Slovenskej republiky na portáli Finančnej správy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78287E">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pStyle w:val="Heading1"/>
              <w:bidi w:val="0"/>
              <w:spacing w:after="0" w:line="240" w:lineRule="auto"/>
              <w:rPr>
                <w:rFonts w:ascii="Times New Roman" w:hAnsi="Times New Roman"/>
                <w:b w:val="0"/>
                <w:bCs w:val="0"/>
                <w:sz w:val="20"/>
                <w:szCs w:val="20"/>
              </w:rPr>
            </w:pPr>
          </w:p>
        </w:tc>
      </w:tr>
      <w:tr>
        <w:tblPrEx>
          <w:tblW w:w="16302" w:type="dxa"/>
          <w:tblInd w:w="-524" w:type="dxa"/>
          <w:tblLayout w:type="fixed"/>
          <w:tblCellMar>
            <w:left w:w="43" w:type="dxa"/>
            <w:right w:w="43" w:type="dxa"/>
          </w:tblCellMar>
        </w:tblPrEx>
        <w:tc>
          <w:tcPr>
            <w:tcW w:w="567" w:type="dxa"/>
            <w:tcBorders>
              <w:top w:val="single" w:sz="4" w:space="0" w:color="auto"/>
              <w:left w:val="single" w:sz="12" w:space="0" w:color="auto"/>
              <w:bottom w:val="single" w:sz="4" w:space="0" w:color="auto"/>
              <w:right w:val="single" w:sz="4" w:space="0" w:color="auto"/>
            </w:tcBorders>
            <w:textDirection w:val="lrTb"/>
            <w:vAlign w:val="top"/>
          </w:tcPr>
          <w:p w:rsidR="00A9063F" w:rsidRPr="000B7EC1" w:rsidP="00C60AF2">
            <w:pPr>
              <w:bidi w:val="0"/>
              <w:spacing w:after="0" w:line="240" w:lineRule="auto"/>
              <w:jc w:val="center"/>
              <w:rPr>
                <w:rFonts w:ascii="Times New Roman" w:hAnsi="Times New Roman"/>
                <w:sz w:val="20"/>
                <w:szCs w:val="20"/>
              </w:rPr>
            </w:pPr>
            <w:r w:rsidRPr="000B7EC1" w:rsidR="002E1D16">
              <w:rPr>
                <w:rFonts w:ascii="Times New Roman" w:hAnsi="Times New Roman"/>
                <w:sz w:val="20"/>
                <w:szCs w:val="20"/>
              </w:rPr>
              <w:t xml:space="preserve">Čl. </w:t>
            </w:r>
            <w:r w:rsidRPr="000B7EC1" w:rsidR="00C60AF2">
              <w:rPr>
                <w:rFonts w:ascii="Times New Roman" w:hAnsi="Times New Roman"/>
                <w:sz w:val="20"/>
                <w:szCs w:val="20"/>
              </w:rPr>
              <w:t>136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60AF2" w:rsidRPr="000B7EC1" w:rsidP="00C60AF2">
            <w:pPr>
              <w:pStyle w:val="Normlny"/>
              <w:bidi w:val="0"/>
              <w:spacing w:after="0" w:line="240" w:lineRule="auto"/>
              <w:rPr>
                <w:rFonts w:ascii="Times New Roman" w:hAnsi="Times New Roman"/>
              </w:rPr>
            </w:pPr>
            <w:r w:rsidRPr="000B7EC1">
              <w:rPr>
                <w:rFonts w:ascii="Times New Roman" w:hAnsi="Times New Roman"/>
              </w:rPr>
              <w:t>Členské štáty oslobodia od dane tieto transakcie:</w:t>
            </w:r>
          </w:p>
          <w:p w:rsidR="00C60AF2" w:rsidRPr="000B7EC1" w:rsidP="000B7EC1">
            <w:pPr>
              <w:pStyle w:val="Normlny"/>
              <w:bidi w:val="0"/>
              <w:spacing w:after="0" w:line="240" w:lineRule="auto"/>
              <w:jc w:val="both"/>
              <w:rPr>
                <w:rFonts w:ascii="Times New Roman" w:hAnsi="Times New Roman"/>
              </w:rPr>
            </w:pPr>
            <w:r w:rsidRPr="000B7EC1">
              <w:rPr>
                <w:rFonts w:ascii="Times New Roman" w:hAnsi="Times New Roman"/>
              </w:rPr>
              <w:t>a) dodanie tovaru používaného výhradne na činnosť oslobodenú od dane podľa článkov 132, 135, 371, 375, 376 a 377, článku 378 ods. 2, článku 379 ods. 2 a článkov 380 až 390c, ak pri tomto tovare nie je možnosť odpočítania DPH;</w:t>
            </w:r>
          </w:p>
          <w:p w:rsidR="00CB2E5D" w:rsidRPr="000B7EC1" w:rsidP="000B7EC1">
            <w:pPr>
              <w:pStyle w:val="Normlny"/>
              <w:bidi w:val="0"/>
              <w:spacing w:after="0" w:line="240" w:lineRule="auto"/>
              <w:jc w:val="both"/>
              <w:rPr>
                <w:rFonts w:ascii="Times New Roman" w:hAnsi="Times New Roman"/>
              </w:rPr>
            </w:pPr>
            <w:r w:rsidRPr="000B7EC1" w:rsidR="00C60AF2">
              <w:rPr>
                <w:rFonts w:ascii="Times New Roman" w:hAnsi="Times New Roman"/>
              </w:rPr>
              <w:t>b) dodanie tovaru, pri nadobudnutí alebo použití ktorého nevzniká právo na odpočítanie DPH v súlade s článkom 176.</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C2077D">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C2077D">
              <w:rPr>
                <w:rFonts w:ascii="Times New Roman" w:hAnsi="Times New Roman"/>
                <w:sz w:val="20"/>
                <w:szCs w:val="20"/>
              </w:rPr>
              <w:t>222/2004 a </w:t>
            </w:r>
            <w:r w:rsidRPr="000B7EC1" w:rsidR="00C2077D">
              <w:rPr>
                <w:rFonts w:ascii="Times New Roman" w:hAnsi="Times New Roman"/>
                <w:b/>
                <w:sz w:val="20"/>
                <w:szCs w:val="20"/>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rsidP="004577EC">
            <w:pPr>
              <w:bidi w:val="0"/>
              <w:spacing w:after="0" w:line="240" w:lineRule="auto"/>
              <w:jc w:val="center"/>
              <w:rPr>
                <w:rFonts w:ascii="Times New Roman" w:hAnsi="Times New Roman"/>
                <w:sz w:val="20"/>
                <w:szCs w:val="20"/>
              </w:rPr>
            </w:pPr>
            <w:r w:rsidRPr="000B7EC1" w:rsidR="00C2077D">
              <w:rPr>
                <w:rFonts w:ascii="Times New Roman" w:hAnsi="Times New Roman"/>
                <w:sz w:val="20"/>
                <w:szCs w:val="20"/>
              </w:rPr>
              <w:t>§ 42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rsidP="000B7EC1">
            <w:pPr>
              <w:pStyle w:val="BodyText2"/>
              <w:bidi w:val="0"/>
              <w:spacing w:after="0" w:line="240" w:lineRule="exact"/>
              <w:jc w:val="both"/>
              <w:rPr>
                <w:rFonts w:ascii="Times New Roman" w:hAnsi="Times New Roman"/>
              </w:rPr>
            </w:pPr>
            <w:r w:rsidRPr="000B7EC1" w:rsidR="00C2077D">
              <w:rPr>
                <w:rFonts w:ascii="Times New Roman" w:hAnsi="Times New Roman"/>
              </w:rPr>
              <w:t xml:space="preserve">Oslobodené od dane je dodanie tovaru, ktorý sa používal výlučne na činnosti oslobodené od dane podľa § 28 až 41 bez možnosti odpočítania dane podľa § 49 ods. 3 </w:t>
            </w:r>
            <w:r w:rsidRPr="000B7EC1" w:rsidR="00B5273D">
              <w:rPr>
                <w:rFonts w:ascii="Times New Roman" w:hAnsi="Times New Roman"/>
                <w:b/>
              </w:rPr>
              <w:t>a bez možnosti úpravy odpočítanej dane vzťahujúcej sa na dodaný tovar podľa § 54</w:t>
            </w:r>
            <w:r w:rsidRPr="000B7EC1" w:rsidR="00C2077D">
              <w:rPr>
                <w:rFonts w:ascii="Times New Roman" w:hAnsi="Times New Roman"/>
              </w:rPr>
              <w:t>, a dodanie tovaru, pri ktorého nadobudnutí nie je možnosť odpočítania dane podľa § 49 ods. 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320F8B">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pStyle w:val="Heading1"/>
              <w:bidi w:val="0"/>
              <w:spacing w:after="0" w:line="240" w:lineRule="auto"/>
              <w:rPr>
                <w:rFonts w:ascii="Times New Roman" w:hAnsi="Times New Roman"/>
                <w:b w:val="0"/>
                <w:bCs w:val="0"/>
                <w:sz w:val="20"/>
                <w:szCs w:val="20"/>
              </w:rPr>
            </w:pPr>
          </w:p>
        </w:tc>
      </w:tr>
      <w:tr>
        <w:tblPrEx>
          <w:tblW w:w="16302" w:type="dxa"/>
          <w:tblInd w:w="-524" w:type="dxa"/>
          <w:tblLayout w:type="fixed"/>
          <w:tblCellMar>
            <w:left w:w="43" w:type="dxa"/>
            <w:right w:w="43" w:type="dxa"/>
          </w:tblCellMar>
        </w:tblPrEx>
        <w:tc>
          <w:tcPr>
            <w:tcW w:w="567" w:type="dxa"/>
            <w:tcBorders>
              <w:top w:val="single" w:sz="4" w:space="0" w:color="auto"/>
              <w:left w:val="single" w:sz="12" w:space="0" w:color="auto"/>
              <w:bottom w:val="single" w:sz="4" w:space="0" w:color="auto"/>
              <w:right w:val="single" w:sz="4" w:space="0" w:color="auto"/>
            </w:tcBorders>
            <w:textDirection w:val="lrTb"/>
            <w:vAlign w:val="top"/>
          </w:tcPr>
          <w:p w:rsidR="00753AC5" w:rsidRPr="000B7EC1" w:rsidP="00C60AF2">
            <w:pPr>
              <w:bidi w:val="0"/>
              <w:spacing w:after="0" w:line="240" w:lineRule="auto"/>
              <w:jc w:val="center"/>
              <w:rPr>
                <w:rFonts w:ascii="Times New Roman" w:hAnsi="Times New Roman"/>
                <w:sz w:val="20"/>
                <w:szCs w:val="20"/>
              </w:rPr>
            </w:pPr>
            <w:r w:rsidRPr="000B7EC1">
              <w:rPr>
                <w:rFonts w:ascii="Times New Roman" w:hAnsi="Times New Roman"/>
                <w:sz w:val="20"/>
                <w:szCs w:val="20"/>
              </w:rPr>
              <w:t>Čl. 141 písm. c)</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753AC5" w:rsidRPr="000B7EC1" w:rsidP="000B7EC1">
            <w:pPr>
              <w:pStyle w:val="Normlny"/>
              <w:bidi w:val="0"/>
              <w:spacing w:after="0" w:line="240" w:lineRule="auto"/>
              <w:jc w:val="both"/>
              <w:rPr>
                <w:rFonts w:ascii="Times New Roman" w:hAnsi="Times New Roman"/>
              </w:rPr>
            </w:pPr>
            <w:r w:rsidRPr="000B7EC1">
              <w:rPr>
                <w:rFonts w:ascii="Times New Roman" w:hAnsi="Times New Roman"/>
              </w:rPr>
              <w:t>Každý členský štát prijme osobitné opatrenia na zabezpečenie toho, aby sa DPH neuplatňovala pri nadobudnutí tovaru v rámci Spoločenstva uskutočnenému na jeho území v zmysle článku 40, ak sú splnené tieto podmienky:</w:t>
            </w:r>
          </w:p>
          <w:p w:rsidR="00753AC5" w:rsidRPr="000B7EC1" w:rsidP="000B7EC1">
            <w:pPr>
              <w:pStyle w:val="Normlny"/>
              <w:bidi w:val="0"/>
              <w:spacing w:after="0" w:line="240" w:lineRule="auto"/>
              <w:jc w:val="both"/>
              <w:rPr>
                <w:rFonts w:ascii="Times New Roman" w:hAnsi="Times New Roman"/>
              </w:rPr>
            </w:pPr>
            <w:r w:rsidRPr="000B7EC1">
              <w:rPr>
                <w:rFonts w:ascii="Times New Roman" w:hAnsi="Times New Roman"/>
              </w:rPr>
              <w:t>c) tovar takto nadobudnutý zdaniteľnou osobou uvedenou v písmene a) je priamo odoslaný alebo prepravený z iného členského štátu ako z toho, v ktorom je táto osoba identifikovaná pre DPH, osobe, pre ktorú zdaniteľná osoba následné dodanie uskutočňuje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53AC5" w:rsidRPr="000B7EC1">
            <w:pPr>
              <w:bidi w:val="0"/>
              <w:spacing w:after="0" w:line="240" w:lineRule="auto"/>
              <w:jc w:val="center"/>
              <w:rPr>
                <w:rFonts w:ascii="Times New Roman" w:hAnsi="Times New Roman"/>
                <w:sz w:val="20"/>
                <w:szCs w:val="20"/>
              </w:rPr>
            </w:pPr>
            <w:r w:rsidRPr="000B7EC1">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753AC5" w:rsidRPr="000B7EC1">
            <w:pPr>
              <w:bidi w:val="0"/>
              <w:spacing w:after="0" w:line="240" w:lineRule="auto"/>
              <w:jc w:val="center"/>
              <w:rPr>
                <w:rFonts w:ascii="Times New Roman" w:hAnsi="Times New Roman"/>
                <w:sz w:val="20"/>
                <w:szCs w:val="20"/>
              </w:rPr>
            </w:pPr>
            <w:r w:rsidRPr="000B7EC1">
              <w:rPr>
                <w:rFonts w:ascii="Times New Roman" w:hAnsi="Times New Roman"/>
                <w:sz w:val="20"/>
                <w:szCs w:val="20"/>
              </w:rPr>
              <w:t>222/2004 a </w:t>
            </w:r>
            <w:r w:rsidRPr="000B7EC1">
              <w:rPr>
                <w:rFonts w:ascii="Times New Roman" w:hAnsi="Times New Roman"/>
                <w:b/>
                <w:sz w:val="20"/>
                <w:szCs w:val="20"/>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753AC5" w:rsidRPr="000B7EC1" w:rsidP="004577EC">
            <w:pPr>
              <w:bidi w:val="0"/>
              <w:spacing w:after="0" w:line="240" w:lineRule="auto"/>
              <w:jc w:val="center"/>
              <w:rPr>
                <w:rFonts w:ascii="Times New Roman" w:hAnsi="Times New Roman"/>
                <w:sz w:val="20"/>
                <w:szCs w:val="20"/>
              </w:rPr>
            </w:pPr>
            <w:r w:rsidRPr="000B7EC1">
              <w:rPr>
                <w:rFonts w:ascii="Times New Roman" w:hAnsi="Times New Roman"/>
                <w:sz w:val="20"/>
                <w:szCs w:val="20"/>
              </w:rPr>
              <w:t xml:space="preserve">§ 45 ods. 1 </w:t>
            </w:r>
          </w:p>
          <w:p w:rsidR="00753AC5" w:rsidRPr="000B7EC1" w:rsidP="004577EC">
            <w:pPr>
              <w:bidi w:val="0"/>
              <w:spacing w:after="0" w:line="240" w:lineRule="auto"/>
              <w:jc w:val="center"/>
              <w:rPr>
                <w:rFonts w:ascii="Times New Roman" w:hAnsi="Times New Roman"/>
                <w:sz w:val="20"/>
                <w:szCs w:val="20"/>
              </w:rPr>
            </w:pPr>
            <w:r w:rsidRPr="000B7EC1">
              <w:rPr>
                <w:rFonts w:ascii="Times New Roman" w:hAnsi="Times New Roman"/>
                <w:sz w:val="20"/>
                <w:szCs w:val="20"/>
              </w:rPr>
              <w:t>písm.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753AC5" w:rsidRPr="000B7EC1" w:rsidP="000B7EC1">
            <w:pPr>
              <w:bidi w:val="0"/>
              <w:spacing w:after="0" w:line="240" w:lineRule="auto"/>
              <w:jc w:val="both"/>
              <w:rPr>
                <w:rFonts w:ascii="Times New Roman" w:hAnsi="Times New Roman"/>
                <w:sz w:val="20"/>
                <w:szCs w:val="20"/>
              </w:rPr>
            </w:pPr>
            <w:r w:rsidRPr="000B7EC1">
              <w:rPr>
                <w:rFonts w:ascii="Times New Roman" w:hAnsi="Times New Roman"/>
                <w:sz w:val="20"/>
                <w:szCs w:val="20"/>
              </w:rPr>
              <w:t>Trojstranným obchodom sa rozumie obchod, ak</w:t>
            </w:r>
          </w:p>
          <w:p w:rsidR="00753AC5" w:rsidRPr="000B7EC1" w:rsidP="00753AC5">
            <w:pPr>
              <w:bidi w:val="0"/>
              <w:spacing w:after="0" w:line="240" w:lineRule="auto"/>
              <w:jc w:val="both"/>
              <w:rPr>
                <w:rFonts w:ascii="Times New Roman" w:hAnsi="Times New Roman"/>
                <w:sz w:val="20"/>
                <w:szCs w:val="20"/>
              </w:rPr>
            </w:pPr>
            <w:r w:rsidRPr="000B7EC1">
              <w:rPr>
                <w:rFonts w:ascii="Times New Roman" w:hAnsi="Times New Roman"/>
                <w:sz w:val="20"/>
                <w:szCs w:val="20"/>
              </w:rPr>
              <w:t>tovar odoslal alebo prepravil prvý dodávateľ alebo prvý odberateľ, alebo iná osoba na ich účet</w:t>
            </w:r>
            <w:r w:rsidRPr="000B7EC1" w:rsidR="004100AD">
              <w:rPr>
                <w:rFonts w:ascii="Times New Roman" w:hAnsi="Times New Roman"/>
                <w:sz w:val="20"/>
                <w:szCs w:val="20"/>
              </w:rPr>
              <w:t xml:space="preserve">, </w:t>
            </w:r>
            <w:r w:rsidRPr="000B7EC1" w:rsidR="004100AD">
              <w:rPr>
                <w:rFonts w:ascii="Times New Roman" w:hAnsi="Times New Roman"/>
                <w:b/>
                <w:sz w:val="20"/>
                <w:szCs w:val="20"/>
              </w:rPr>
              <w:t>z členského štátu iného ako je členský štát identifikácie prvého odberateľa do členského štátu druhého odberateľa.</w:t>
            </w:r>
          </w:p>
          <w:p w:rsidR="00753AC5" w:rsidRPr="000B7EC1" w:rsidP="00B64B09">
            <w:pPr>
              <w:pStyle w:val="BodyText2"/>
              <w:bidi w:val="0"/>
              <w:spacing w:after="0" w:line="24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53AC5" w:rsidRPr="000B7EC1">
            <w:pPr>
              <w:bidi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753AC5" w:rsidRPr="000B7EC1">
            <w:pPr>
              <w:pStyle w:val="Heading1"/>
              <w:bidi w:val="0"/>
              <w:spacing w:after="0" w:line="240" w:lineRule="auto"/>
              <w:rPr>
                <w:rFonts w:ascii="Times New Roman" w:hAnsi="Times New Roman"/>
                <w:b w:val="0"/>
                <w:bCs w:val="0"/>
                <w:sz w:val="20"/>
                <w:szCs w:val="20"/>
              </w:rPr>
            </w:pPr>
          </w:p>
        </w:tc>
      </w:tr>
      <w:tr>
        <w:tblPrEx>
          <w:tblW w:w="16302" w:type="dxa"/>
          <w:tblInd w:w="-524" w:type="dxa"/>
          <w:tblLayout w:type="fixed"/>
          <w:tblCellMar>
            <w:left w:w="43" w:type="dxa"/>
            <w:right w:w="43" w:type="dxa"/>
          </w:tblCellMar>
        </w:tblPrEx>
        <w:tc>
          <w:tcPr>
            <w:tcW w:w="567" w:type="dxa"/>
            <w:tcBorders>
              <w:top w:val="single" w:sz="4" w:space="0" w:color="auto"/>
              <w:left w:val="single" w:sz="12" w:space="0" w:color="auto"/>
              <w:bottom w:val="single" w:sz="4" w:space="0" w:color="auto"/>
              <w:right w:val="single" w:sz="4" w:space="0" w:color="auto"/>
            </w:tcBorders>
            <w:textDirection w:val="lrTb"/>
            <w:vAlign w:val="top"/>
          </w:tcPr>
          <w:p w:rsidR="00A9063F" w:rsidRPr="000B7EC1" w:rsidP="00C55032">
            <w:pPr>
              <w:bidi w:val="0"/>
              <w:spacing w:after="0" w:line="240" w:lineRule="auto"/>
              <w:jc w:val="center"/>
              <w:rPr>
                <w:rFonts w:ascii="Times New Roman" w:hAnsi="Times New Roman"/>
                <w:sz w:val="20"/>
                <w:szCs w:val="20"/>
              </w:rPr>
            </w:pPr>
            <w:r w:rsidRPr="000B7EC1" w:rsidR="002E1D16">
              <w:rPr>
                <w:rFonts w:ascii="Times New Roman" w:hAnsi="Times New Roman"/>
                <w:sz w:val="20"/>
                <w:szCs w:val="20"/>
              </w:rPr>
              <w:t xml:space="preserve">Čl. </w:t>
            </w:r>
            <w:r w:rsidRPr="000B7EC1" w:rsidR="00C55032">
              <w:rPr>
                <w:rFonts w:ascii="Times New Roman" w:hAnsi="Times New Roman"/>
                <w:sz w:val="20"/>
                <w:szCs w:val="20"/>
              </w:rPr>
              <w:t>167a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55032" w:rsidRPr="000B7EC1" w:rsidP="000B7EC1">
            <w:pPr>
              <w:bidi w:val="0"/>
              <w:adjustRightInd w:val="0"/>
              <w:spacing w:after="0" w:line="240" w:lineRule="auto"/>
              <w:jc w:val="both"/>
              <w:rPr>
                <w:rFonts w:ascii="Times New Roman" w:hAnsi="Times New Roman"/>
                <w:sz w:val="20"/>
                <w:szCs w:val="20"/>
              </w:rPr>
            </w:pPr>
            <w:r w:rsidRPr="000B7EC1">
              <w:rPr>
                <w:rFonts w:ascii="Times New Roman" w:hAnsi="Times New Roman"/>
                <w:sz w:val="20"/>
                <w:szCs w:val="20"/>
              </w:rPr>
              <w:t>Členské štáty môžu v rámci voliteľnej úpravy ustanoviť, že právo zdaniteľnej osoby, ktorej daňová povinnosť vzniká výlučne podľa článku 66 písm. b), na odpočítanie dane sa odkladá, až kým sa DPH z dodaného tovaru alebo poskytnutých služieb nezaplatí jej dodávateľovi tovaru alebo poskytovateľovi služieb.</w:t>
            </w:r>
          </w:p>
          <w:p w:rsidR="00C55032" w:rsidRPr="000B7EC1" w:rsidP="000B7EC1">
            <w:pPr>
              <w:bidi w:val="0"/>
              <w:adjustRightInd w:val="0"/>
              <w:spacing w:after="0" w:line="240" w:lineRule="auto"/>
              <w:jc w:val="both"/>
              <w:rPr>
                <w:rFonts w:ascii="Times New Roman" w:hAnsi="Times New Roman"/>
                <w:sz w:val="20"/>
                <w:szCs w:val="20"/>
              </w:rPr>
            </w:pPr>
            <w:r w:rsidRPr="000B7EC1">
              <w:rPr>
                <w:rFonts w:ascii="Times New Roman" w:hAnsi="Times New Roman"/>
                <w:sz w:val="20"/>
                <w:szCs w:val="20"/>
              </w:rPr>
              <w:t>Členské štáty, ktoré uplatňujú voliteľnú úpravu uvedenú v prvom odseku, stanovia pre zdaniteľné osoby, ktoré túto úpravu používajú na ich území, limit založený na ročnom obrate zdaniteľnej osoby vypočítanom v súlade s článkom 288. Uvedený limit nesmie byť vyšší ako 500 000  EUR alebo ekvivalent tejto sumy v národnej mene. Členské štáty môžu zvýšiť tento limit až do výšky 2 000 000  EUR alebo ekvivalentu tejto sumy v národnej mene po konzultácii s Výborom pre DPH. Konzultácia s Výborom pre DPH sa však nevyžaduje od členských štátov, ktoré uplatnili limit vyšší ako 500 000  EUR alebo ekvivalent tejto sumy v národnej mene 31. decembra 2012.</w:t>
            </w:r>
          </w:p>
          <w:p w:rsidR="00C55032" w:rsidRPr="000B7EC1" w:rsidP="000B7EC1">
            <w:pPr>
              <w:bidi w:val="0"/>
              <w:adjustRightInd w:val="0"/>
              <w:spacing w:after="0" w:line="240" w:lineRule="auto"/>
              <w:jc w:val="both"/>
              <w:rPr>
                <w:rFonts w:ascii="Times New Roman" w:hAnsi="Times New Roman"/>
                <w:sz w:val="20"/>
                <w:szCs w:val="20"/>
              </w:rPr>
            </w:pPr>
            <w:r w:rsidRPr="000B7EC1">
              <w:rPr>
                <w:rFonts w:ascii="Times New Roman" w:hAnsi="Times New Roman"/>
                <w:sz w:val="20"/>
                <w:szCs w:val="20"/>
              </w:rPr>
              <w:t>Členské štáty informujú Výbor pre DPH o vnútroštátnych legislatívnych opatreniach, ktoré prijmú podľa prvého pododseku.</w:t>
            </w:r>
          </w:p>
          <w:p w:rsidR="002E1D16" w:rsidRPr="000B7EC1" w:rsidP="000B7EC1">
            <w:pPr>
              <w:bidi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8B1E7E">
              <w:rPr>
                <w:rFonts w:ascii="Times New Roman" w:hAnsi="Times New Roman"/>
                <w:sz w:val="20"/>
                <w:szCs w:val="20"/>
              </w:rPr>
              <w:t>D</w:t>
            </w:r>
          </w:p>
        </w:tc>
        <w:tc>
          <w:tcPr>
            <w:tcW w:w="851" w:type="dxa"/>
            <w:tcBorders>
              <w:top w:val="single" w:sz="4" w:space="0" w:color="auto"/>
              <w:left w:val="nil"/>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320F8B">
              <w:rPr>
                <w:rFonts w:ascii="Times New Roman" w:hAnsi="Times New Roman"/>
                <w:b/>
                <w:sz w:val="20"/>
                <w:szCs w:val="20"/>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rsidP="00320F8B">
            <w:pPr>
              <w:pStyle w:val="Normlny"/>
              <w:bidi w:val="0"/>
              <w:spacing w:after="0" w:line="240" w:lineRule="auto"/>
              <w:jc w:val="center"/>
              <w:rPr>
                <w:rFonts w:ascii="Times New Roman" w:hAnsi="Times New Roman"/>
              </w:rPr>
            </w:pPr>
            <w:r w:rsidRPr="000B7EC1" w:rsidR="00320F8B">
              <w:rPr>
                <w:rFonts w:ascii="Times New Roman" w:hAnsi="Times New Roman"/>
              </w:rPr>
              <w:t>§ 68d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 xml:space="preserve">(1) Platiteľ registrovaný podľa § 4 sa môže rozhodnúť pre uplatňovanie osobitnej úpravy podľa odsekov 3 až 13, ak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a) za predchádzajúci kalendárny rok nedosiahol obrat 75 000 eur a odôvodnene predpokladá, že v prebiehajúcom kalendárnom roku nedosiahne obrat 75 000 eur a</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b) na platiteľa nebol vyhlásený konkurz alebo platiteľ nevstúpil do likvidácie</w:t>
            </w:r>
            <w:r w:rsidR="00B35199">
              <w:rPr>
                <w:rFonts w:ascii="Times New Roman" w:hAnsi="Times New Roman"/>
                <w:b/>
                <w:sz w:val="20"/>
                <w:szCs w:val="20"/>
              </w:rPr>
              <w:t>.</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(2) Platiteľ, ktorý spĺňa podmienky podľa odseku 1 a ktorý sa rozhodol uplatňovať osobitnú úpravu, uplatňuje túto úpravu od prvého dňa zdaňovacieho obdobia. Dátum začatia uplatňovania osobitnej úpravy platiteľ písomne oznámi daňovému úradu najneskôr do konca kalendárneho mesiaca, v ktorom za</w:t>
            </w:r>
            <w:r w:rsidR="00B35199">
              <w:rPr>
                <w:rFonts w:ascii="Times New Roman" w:hAnsi="Times New Roman"/>
                <w:b/>
                <w:sz w:val="20"/>
                <w:szCs w:val="20"/>
              </w:rPr>
              <w:t>čal uplatňovať osobitnú úpravu.</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(3) Osobitná úprava sa vzťahuje na odplatné dodania tovarov a služieb v tuzemsku, pri ktorých je platiteľ povinný platiť daň podľa § 69 ods. 1 okrem dodania tova</w:t>
            </w:r>
            <w:r w:rsidR="00B35199">
              <w:rPr>
                <w:rFonts w:ascii="Times New Roman" w:hAnsi="Times New Roman"/>
                <w:b/>
                <w:sz w:val="20"/>
                <w:szCs w:val="20"/>
              </w:rPr>
              <w:t xml:space="preserve">rov a služieb podľa § 43 a 47.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(4) Daňová povinnosť pri uplatňovaní osobitnej úpravy vzniká dňom prijatia platby za tovar alebo službu, ktoré sú alebo majú byť dodané, a to z prijatej platby. Faktúra vyhotovená platiteľom podľa odseku 2 okrem faktúry podľa § 74 ods. 3 písm. a) až c), ktorá je vyhotovená oproti prijatiu platby, musí obsahovať aj zreteľnú a čitateľnú slovnú informáciu „daň sa uplatňuje na základe prijatia platby“. Ak platiteľ takúto slovnú informáciu na faktúre neuvedie, daňová povinnosť vznikne podľa § 19. Platiteľ nesmie opraviť pôvodnú faktúru doplnením slovnej informácie „daň sa uplatňuje na základe prijatia platby“.</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(5) Právo odpočítať daň z tovarov a služieb, ktorú voči platiteľovi podľa odseku 2 uplatnil iný platiteľ, vzniká dňom zaplatenia za tovar alebo službu platiteľom podľa odseku 2 dodávateľovi. Ak platiteľ podľa odseku 2 zaplatí len časť protihodnoty za tovar alebo službu, právo odpočítať daň vzniká pomerne podľa výšky sumy, ktorú zaplatil.</w:t>
            </w:r>
            <w:r w:rsidR="00B35199">
              <w:rPr>
                <w:rFonts w:ascii="Times New Roman" w:hAnsi="Times New Roman"/>
                <w:b/>
                <w:sz w:val="20"/>
                <w:szCs w:val="20"/>
              </w:rPr>
              <w:t xml:space="preserve">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 xml:space="preserve">(6) Ak platiteľ podľa odseku 2 uplatňuje odpočítanie dane pri investičnom majetku uvedenom v § 54 ods. 2 až po skončení kalendárneho roka, v ktorom začalo plynúť obdobie na úpravu odpočítanej dane podľa § 54 alebo § 54a, je povinný pri odpočítaní dane a prípadnom vysporiadaní pomerného odpočítania dane zohľadniť zmenu alebo zmeny účelu použitia investičného majetku a zmenu alebo zmeny rozsahu použitia investičného majetku, ak k týmto zmenám došlo v období od začiatku plynutia obdobia na úpravu odpočítanej dane do konca kalendárneho roka, v ktorom uplatňuje odpočítanie dane.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(7) Odpočítanie dane podľa § 55 môže platiteľ podľa odseku 2 uplatniť pri tovaroch a službách, za ktoré zaplatil dodávateľovi. Ak platiteľ zaplatil len časť protihodnoty, odpočítanie dane môže uplatniť len pomerne pod</w:t>
            </w:r>
            <w:r w:rsidR="00B35199">
              <w:rPr>
                <w:rFonts w:ascii="Times New Roman" w:hAnsi="Times New Roman"/>
                <w:b/>
                <w:sz w:val="20"/>
                <w:szCs w:val="20"/>
              </w:rPr>
              <w:t xml:space="preserve">ľa výšky sumy, ktorú zaplatil.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(8) Ak po zdaňovacom období, v ktorom vznikla daňová povinnosť, nastane skutočnosť podľa § 25 ods. 1, ktorá má za následok zníženie vzniknutej daňovej povinnosti, platiteľ podľa odseku 2 uvedie opravu základu dane a dane v daňovom priznaní za zdaňovacie obdobie, v ktorom vrátil platbu, a to v rozsahu vrátenej platby. Ak sa opravou základu dane zvýši základ dane, platiteľ podľa odseku 2 uvedie opravu základu dane a dane v daňovom priznaní za zdaňovacie obdobie, v ktorom prijal platbu, a</w:t>
            </w:r>
            <w:r w:rsidR="00B35199">
              <w:rPr>
                <w:rFonts w:ascii="Times New Roman" w:hAnsi="Times New Roman"/>
                <w:b/>
                <w:sz w:val="20"/>
                <w:szCs w:val="20"/>
              </w:rPr>
              <w:t xml:space="preserve"> to v rozsahu prijatej platby.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(9) Platiteľ podľa odseku 2 má právo opraviť odpočítanú daň pri zvýšení základu dane, a to v tom zdaňovacom období, v ktorom zaplatil dodávateľovi a vo výške zodpovedajúcej sume, ktorú zaplatil.</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(10) Platiteľ podľa odseku 2 sa môže rozhodnúť pre skončenie uplatňovania osobitnej úpravy. Uplatňovanie osobitnej úpravy je platiteľ povinný skončiť posledným dňom kalendárneho roka, v ktorom svoje rozhodnutie písomne oznámi daňovému úradu.</w:t>
            </w:r>
          </w:p>
          <w:p w:rsidR="00813A0B" w:rsidRPr="00813A0B" w:rsidP="00813A0B">
            <w:pPr>
              <w:pStyle w:val="Zkladntext"/>
              <w:bidi w:val="0"/>
              <w:spacing w:after="0" w:line="240" w:lineRule="auto"/>
              <w:jc w:val="both"/>
              <w:rPr>
                <w:rFonts w:ascii="Times New Roman" w:hAnsi="Times New Roman"/>
                <w:b/>
                <w:sz w:val="20"/>
                <w:szCs w:val="20"/>
              </w:rPr>
            </w:pP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(11) Platiteľ je povinný skončiť uplatňovanie osobitnej úpravy, ak</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a) v prebiehajúcom kalendárnom roku dosiahne obrat 75 000 eur, a to posledným dňom zdaňovacieho obdobia, v ktorom dosiahol obrat,</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b) sa stane členom skupiny, a to dňom, ktorý predchádza dňu, keď sa stal členom skupiny,</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c) je naňho vyhlásený konkurz alebo vstúpil do likvidácie, a to dňom, ktorý predchádza vyhláseniu konkurzu alebo vstupu do likvidácie,</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d) sa zrušuje bez likvidácie, a to dňom, ktorý predchádza dňu jeho zániku,</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e) je fyzickou osobou pokračujúcou v živnosti po úmrtí platiteľa podľa § 83, a to posledným dňom posledného zdaňovacieho obdobia.</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(12) Dátum skončenia uplatňovania osobitnej úpravy podľa odseku 11 platiteľ alebo jeho právny nástupca písomne oznámi daňovému úradu najneskôr do 5 dní od skončenia zdaňovacieho obdobia, v ktorom uplatňovanie osobitnej úpravy skončil.</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(13) Posledným dňom zdaňovacieho obdobia, v ktorom platiteľ skončil uplatňovanie osobitnej úpravy, a dňom, uplynutím ktorého prestala byť právnická osoba alebo fyzická osoba platiteľom podľa § 81 ods. 5, vzniká daňová povinnosť z dodania tovarov a služieb za obdobie uplatňovania osobitnej úpravy, ktorá by bola vznikla, ak by nebol uplatňoval osobitnú úpravu, okrem daňovej povinnosti, ktorá vznikla za zdaňovacie obdobia, v ktorých uplatňoval osobitnú úpravu. V tomto zdaňovacom období platiteľ môže odpočítať daň z tovarov a služieb, pri ktorých by bolo vzniklo právo odpočítať daň v období uplatňovania osobitnej úpravy, ak by nebol uplatňoval osobitnú úpravu, okrem dane, kt</w:t>
            </w:r>
            <w:r w:rsidR="00B35199">
              <w:rPr>
                <w:rFonts w:ascii="Times New Roman" w:hAnsi="Times New Roman"/>
                <w:b/>
                <w:sz w:val="20"/>
                <w:szCs w:val="20"/>
              </w:rPr>
              <w:t xml:space="preserve">orú už odpočítal.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(14) Daňový úrad uloží pokutu do výšky 10 000 eur, ak</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a) platiteľ uplatňuje osobitnú úpravu a nesplnil podmienky podľa odseku 1,</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 xml:space="preserve">b) platiteľ pokračuje v uplatňovaní osobitnej úpravy po dni, ktorým bol povinný skončiť uplatňovanie osobitnej úpravy podľa odseku 10 alebo odseku 11, </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c) platiteľ podľa odseku 2 na faktúre neuvedie sl</w:t>
            </w:r>
            <w:r w:rsidR="00B35199">
              <w:rPr>
                <w:rFonts w:ascii="Times New Roman" w:hAnsi="Times New Roman"/>
                <w:b/>
                <w:sz w:val="20"/>
                <w:szCs w:val="20"/>
              </w:rPr>
              <w:t>ovnú informáciu podľa odseku 4.</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(15) Pri určení výšky pokuty podľa odseku 14 prihliadne daňový úrad na závažnosť a dĺžku trvania protiprávneho stavu.</w:t>
            </w:r>
          </w:p>
          <w:p w:rsidR="00813A0B" w:rsidRPr="00813A0B" w:rsidP="00813A0B">
            <w:pPr>
              <w:pStyle w:val="Zkladntext"/>
              <w:bidi w:val="0"/>
              <w:spacing w:after="0" w:line="240" w:lineRule="auto"/>
              <w:jc w:val="both"/>
              <w:rPr>
                <w:rFonts w:ascii="Times New Roman" w:hAnsi="Times New Roman"/>
                <w:b/>
                <w:sz w:val="20"/>
                <w:szCs w:val="20"/>
              </w:rPr>
            </w:pPr>
            <w:r w:rsidRPr="00813A0B">
              <w:rPr>
                <w:rFonts w:ascii="Times New Roman" w:hAnsi="Times New Roman"/>
                <w:b/>
                <w:sz w:val="20"/>
                <w:szCs w:val="20"/>
              </w:rPr>
              <w:t>(16) Finančné riaditeľstvo Slovenskej republiky zverejní na portáli Finančnej správy Slovenskej republiky zoznam platiteľov, ktorí písomne oznámili začatie uplatňovania osobitnej úpravy, platiteľov, ktorí písomne oznámili skončenie uplatňovania osobitnej úpravy, a platiteľov, ktorí uplatňovali osobitnú úpravu a ich registrácia pre daň bola zrušená.</w:t>
            </w:r>
          </w:p>
          <w:p w:rsidR="00A9063F" w:rsidRPr="000B7EC1" w:rsidP="00C1629E">
            <w:pPr>
              <w:pStyle w:val="Zkladntext"/>
              <w:bidi w:val="0"/>
              <w:spacing w:after="0" w:line="240" w:lineRule="auto"/>
              <w:jc w:val="both"/>
              <w:rPr>
                <w:rFonts w:ascii="Times New Roman" w:hAnsi="Times New Roman"/>
                <w:b/>
                <w:sz w:val="20"/>
                <w:szCs w:val="20"/>
              </w:rPr>
            </w:pPr>
            <w:r w:rsidRPr="00813A0B" w:rsidR="00813A0B">
              <w:rPr>
                <w:rFonts w:ascii="Times New Roman" w:hAnsi="Times New Roman"/>
                <w:b/>
                <w:sz w:val="20"/>
                <w:szCs w:val="20"/>
              </w:rPr>
              <w:t>(17) Oznámenie podľa odsekov 2, 10 a 12 sa podáva na tlačive, ktorého vzor zverejní Finančné riaditeľstvo Slovenskej republiky na portáli Finančnej správy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320F8B">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pStyle w:val="Heading1"/>
              <w:bidi w:val="0"/>
              <w:spacing w:after="0" w:line="240" w:lineRule="auto"/>
              <w:rPr>
                <w:rFonts w:ascii="Times New Roman" w:hAnsi="Times New Roman"/>
                <w:b w:val="0"/>
                <w:bCs w:val="0"/>
                <w:sz w:val="20"/>
                <w:szCs w:val="20"/>
              </w:rPr>
            </w:pPr>
          </w:p>
        </w:tc>
      </w:tr>
      <w:tr>
        <w:tblPrEx>
          <w:tblW w:w="16302" w:type="dxa"/>
          <w:tblInd w:w="-524" w:type="dxa"/>
          <w:tblLayout w:type="fixed"/>
          <w:tblCellMar>
            <w:left w:w="43" w:type="dxa"/>
            <w:right w:w="43" w:type="dxa"/>
          </w:tblCellMar>
        </w:tblPrEx>
        <w:tc>
          <w:tcPr>
            <w:tcW w:w="567" w:type="dxa"/>
            <w:tcBorders>
              <w:top w:val="single" w:sz="4" w:space="0" w:color="auto"/>
              <w:left w:val="single" w:sz="12" w:space="0" w:color="auto"/>
              <w:bottom w:val="single" w:sz="4" w:space="0" w:color="auto"/>
              <w:right w:val="single" w:sz="4" w:space="0" w:color="auto"/>
            </w:tcBorders>
            <w:textDirection w:val="lrTb"/>
            <w:vAlign w:val="top"/>
          </w:tcPr>
          <w:p w:rsidR="00A9063F" w:rsidRPr="000B7EC1" w:rsidP="00C55032">
            <w:pPr>
              <w:bidi w:val="0"/>
              <w:spacing w:after="0" w:line="240" w:lineRule="auto"/>
              <w:jc w:val="center"/>
              <w:rPr>
                <w:rFonts w:ascii="Times New Roman" w:hAnsi="Times New Roman"/>
                <w:sz w:val="20"/>
                <w:szCs w:val="20"/>
              </w:rPr>
            </w:pPr>
            <w:r w:rsidRPr="000B7EC1" w:rsidR="002E1D16">
              <w:rPr>
                <w:rFonts w:ascii="Times New Roman" w:hAnsi="Times New Roman"/>
                <w:sz w:val="20"/>
                <w:szCs w:val="20"/>
              </w:rPr>
              <w:t xml:space="preserve">Čl. </w:t>
            </w:r>
            <w:r w:rsidRPr="000B7EC1" w:rsidR="00C55032">
              <w:rPr>
                <w:rFonts w:ascii="Times New Roman" w:hAnsi="Times New Roman"/>
                <w:sz w:val="20"/>
                <w:szCs w:val="20"/>
              </w:rPr>
              <w:t>168a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55032" w:rsidRPr="000B7EC1" w:rsidP="000B7EC1">
            <w:pPr>
              <w:pStyle w:val="Normlny"/>
              <w:bidi w:val="0"/>
              <w:spacing w:after="0" w:line="240" w:lineRule="auto"/>
              <w:jc w:val="both"/>
              <w:rPr>
                <w:rFonts w:ascii="Times New Roman" w:hAnsi="Times New Roman"/>
              </w:rPr>
            </w:pPr>
            <w:r w:rsidRPr="000B7EC1">
              <w:rPr>
                <w:rFonts w:ascii="Times New Roman" w:hAnsi="Times New Roman"/>
              </w:rPr>
              <w:t>1.  V prípade nehnuteľného majetku, ktorý je súčasťou majetku podniku zdaniteľnej osoby a používa sa ako na účely podnikateľskej činnosti zdaniteľnej osoby, tak aj na osobnú spotrebu tejto zdaniteľnej osoby alebo na osobnú spotrebu jej zamestnancov, alebo všeobecnejšie na iné účely ako účely jej podnikania, je DPH z výdavkov súvisiacich s týmto majetkom odpočítateľná v súlade so zásadami uvedenými v článkoch 167, 168, 169 a 173 len do tej miery, v akej sa tento majetok používa na účely podnikateľskej činnosti zdaniteľnej osoby.</w:t>
            </w:r>
          </w:p>
          <w:p w:rsidR="00C55032" w:rsidRPr="000B7EC1" w:rsidP="000B7EC1">
            <w:pPr>
              <w:pStyle w:val="Normlny"/>
              <w:bidi w:val="0"/>
              <w:spacing w:after="0" w:line="240" w:lineRule="auto"/>
              <w:jc w:val="both"/>
              <w:rPr>
                <w:rFonts w:ascii="Times New Roman" w:hAnsi="Times New Roman"/>
              </w:rPr>
            </w:pPr>
            <w:r w:rsidRPr="000B7EC1">
              <w:rPr>
                <w:rFonts w:ascii="Times New Roman" w:hAnsi="Times New Roman"/>
              </w:rPr>
              <w:t>Odchylne od článku 26 sa zmeny v miere používania nehnuteľného majetku uvedenej v prvom pododseku zohľadňujú v súlade so zásadami ustanovenými v článkoch 184 až 192 podľa ich uplatňovania v príslušnom členskom štáte.</w:t>
            </w:r>
          </w:p>
          <w:p w:rsidR="002E1D16" w:rsidRPr="000B7EC1" w:rsidP="000B7EC1">
            <w:pPr>
              <w:pStyle w:val="Normlny"/>
              <w:bidi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8B1E7E">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320F8B">
              <w:rPr>
                <w:rFonts w:ascii="Times New Roman" w:hAnsi="Times New Roman"/>
                <w:b/>
                <w:sz w:val="20"/>
                <w:szCs w:val="20"/>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rsidP="00B64B09">
            <w:pPr>
              <w:pStyle w:val="Normlny"/>
              <w:bidi w:val="0"/>
              <w:spacing w:after="0" w:line="240" w:lineRule="auto"/>
              <w:jc w:val="center"/>
              <w:rPr>
                <w:rFonts w:ascii="Times New Roman" w:hAnsi="Times New Roman"/>
              </w:rPr>
            </w:pPr>
            <w:r w:rsidRPr="000B7EC1" w:rsidR="00320F8B">
              <w:rPr>
                <w:rFonts w:ascii="Times New Roman" w:hAnsi="Times New Roman"/>
              </w:rPr>
              <w:t xml:space="preserve">§ 49 ods.5 4.veta </w:t>
            </w:r>
          </w:p>
          <w:p w:rsidR="00320F8B" w:rsidRPr="000B7EC1" w:rsidP="00B64B09">
            <w:pPr>
              <w:pStyle w:val="Normlny"/>
              <w:bidi w:val="0"/>
              <w:spacing w:after="0" w:line="240" w:lineRule="auto"/>
              <w:jc w:val="center"/>
              <w:rPr>
                <w:rFonts w:ascii="Times New Roman" w:hAnsi="Times New Roman"/>
              </w:rPr>
            </w:pPr>
          </w:p>
          <w:p w:rsidR="00320F8B" w:rsidRPr="000B7EC1" w:rsidP="00B64B09">
            <w:pPr>
              <w:pStyle w:val="Normlny"/>
              <w:bidi w:val="0"/>
              <w:spacing w:after="0" w:line="240" w:lineRule="auto"/>
              <w:jc w:val="center"/>
              <w:rPr>
                <w:rFonts w:ascii="Times New Roman" w:hAnsi="Times New Roman"/>
              </w:rPr>
            </w:pPr>
          </w:p>
          <w:p w:rsidR="00320F8B" w:rsidRPr="000B7EC1" w:rsidP="00B64B09">
            <w:pPr>
              <w:pStyle w:val="Normlny"/>
              <w:bidi w:val="0"/>
              <w:spacing w:after="0" w:line="240" w:lineRule="auto"/>
              <w:jc w:val="center"/>
              <w:rPr>
                <w:rFonts w:ascii="Times New Roman" w:hAnsi="Times New Roman"/>
              </w:rPr>
            </w:pPr>
          </w:p>
          <w:p w:rsidR="00320F8B" w:rsidRPr="000B7EC1" w:rsidP="00B64B09">
            <w:pPr>
              <w:pStyle w:val="Normlny"/>
              <w:bidi w:val="0"/>
              <w:spacing w:after="0" w:line="240" w:lineRule="auto"/>
              <w:jc w:val="center"/>
              <w:rPr>
                <w:rFonts w:ascii="Times New Roman" w:hAnsi="Times New Roman"/>
              </w:rPr>
            </w:pPr>
          </w:p>
          <w:p w:rsidR="00320F8B" w:rsidRPr="000B7EC1" w:rsidP="00B64B09">
            <w:pPr>
              <w:pStyle w:val="Normlny"/>
              <w:bidi w:val="0"/>
              <w:spacing w:after="0" w:line="240" w:lineRule="auto"/>
              <w:jc w:val="center"/>
              <w:rPr>
                <w:rFonts w:ascii="Times New Roman" w:hAnsi="Times New Roman"/>
              </w:rPr>
            </w:pPr>
          </w:p>
          <w:p w:rsidR="00320F8B" w:rsidRPr="000B7EC1" w:rsidP="00B64B09">
            <w:pPr>
              <w:pStyle w:val="Normlny"/>
              <w:bidi w:val="0"/>
              <w:spacing w:after="0" w:line="240" w:lineRule="auto"/>
              <w:jc w:val="center"/>
              <w:rPr>
                <w:rFonts w:ascii="Times New Roman" w:hAnsi="Times New Roman"/>
              </w:rPr>
            </w:pPr>
          </w:p>
          <w:p w:rsidR="00B5273D" w:rsidRPr="000B7EC1" w:rsidP="00B64B09">
            <w:pPr>
              <w:pStyle w:val="Normlny"/>
              <w:bidi w:val="0"/>
              <w:spacing w:after="0" w:line="240" w:lineRule="auto"/>
              <w:jc w:val="center"/>
              <w:rPr>
                <w:rFonts w:ascii="Times New Roman" w:hAnsi="Times New Roman"/>
              </w:rPr>
            </w:pPr>
          </w:p>
          <w:p w:rsidR="00917791" w:rsidRPr="000B7EC1" w:rsidP="00917791">
            <w:pPr>
              <w:pStyle w:val="Normlny"/>
              <w:bidi w:val="0"/>
              <w:spacing w:after="0" w:line="240" w:lineRule="auto"/>
              <w:rPr>
                <w:rFonts w:ascii="Times New Roman" w:hAnsi="Times New Roman"/>
              </w:rPr>
            </w:pPr>
          </w:p>
          <w:p w:rsidR="00320F8B" w:rsidRPr="000B7EC1" w:rsidP="00917791">
            <w:pPr>
              <w:pStyle w:val="Normlny"/>
              <w:bidi w:val="0"/>
              <w:spacing w:after="0" w:line="240" w:lineRule="auto"/>
              <w:rPr>
                <w:rFonts w:ascii="Times New Roman" w:hAnsi="Times New Roman"/>
              </w:rPr>
            </w:pPr>
            <w:r w:rsidRPr="000B7EC1">
              <w:rPr>
                <w:rFonts w:ascii="Times New Roman" w:hAnsi="Times New Roman"/>
              </w:rPr>
              <w:t>§ 49a ods.2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47734" w:rsidRPr="00A47734" w:rsidP="00A47734">
            <w:pPr>
              <w:pStyle w:val="Zkladntext"/>
              <w:bidi w:val="0"/>
              <w:spacing w:after="0" w:line="240" w:lineRule="auto"/>
              <w:jc w:val="both"/>
              <w:rPr>
                <w:rFonts w:ascii="Times New Roman" w:hAnsi="Times New Roman"/>
                <w:b/>
                <w:sz w:val="20"/>
                <w:szCs w:val="20"/>
              </w:rPr>
            </w:pPr>
            <w:r w:rsidRPr="00A47734">
              <w:rPr>
                <w:rFonts w:ascii="Times New Roman" w:hAnsi="Times New Roman"/>
                <w:b/>
                <w:sz w:val="20"/>
                <w:szCs w:val="20"/>
              </w:rPr>
              <w:t>Pomer použitia hmotného majetku a služieb na podnikanie a na iný účel ako na podnikanie platiteľ určí podľa výšky príjmu z podnikania a iného príjmu ako je príjem z podnikania, doby používania hmotného majetku a služieb na podnikanie a na iný účel ako na podnikanie alebo podľa iného kritéria, použitie ktorého objektívne odráža rozsah použitia hmotného majetku a služieb na podnikanie a na iný účel ako na podnikanie.</w:t>
            </w:r>
          </w:p>
          <w:p w:rsidR="006973D2" w:rsidRPr="000B7EC1" w:rsidP="00B64B09">
            <w:pPr>
              <w:pStyle w:val="Normlny"/>
              <w:bidi w:val="0"/>
              <w:spacing w:after="0" w:line="240" w:lineRule="auto"/>
              <w:rPr>
                <w:rFonts w:ascii="Times New Roman" w:hAnsi="Times New Roman"/>
                <w:b/>
              </w:rPr>
            </w:pPr>
          </w:p>
          <w:p w:rsidR="00320F8B" w:rsidRPr="000B7EC1" w:rsidP="000B7EC1">
            <w:pPr>
              <w:pStyle w:val="Normlny"/>
              <w:bidi w:val="0"/>
              <w:spacing w:after="0" w:line="240" w:lineRule="auto"/>
              <w:jc w:val="both"/>
              <w:rPr>
                <w:rFonts w:ascii="Times New Roman" w:hAnsi="Times New Roman"/>
                <w:b/>
              </w:rPr>
            </w:pPr>
            <w:r w:rsidRPr="000B7EC1" w:rsidR="00B5273D">
              <w:rPr>
                <w:rFonts w:ascii="Times New Roman" w:hAnsi="Times New Roman"/>
                <w:b/>
              </w:rPr>
              <w:t>Pomer použitia investičného majetku podľa § 54 ods. 2 písm. b) a c) na podnikani</w:t>
            </w:r>
            <w:r w:rsidRPr="000B7EC1" w:rsidR="00C031A5">
              <w:rPr>
                <w:rFonts w:ascii="Times New Roman" w:hAnsi="Times New Roman"/>
                <w:b/>
              </w:rPr>
              <w:t>e</w:t>
            </w:r>
            <w:r w:rsidRPr="000B7EC1" w:rsidR="00B5273D">
              <w:rPr>
                <w:rFonts w:ascii="Times New Roman" w:hAnsi="Times New Roman"/>
                <w:b/>
              </w:rPr>
              <w:t xml:space="preserve"> a na iný účel ako na podnikanie platiteľ určí podľa plochy nehnuteľnosti používanej na podnikanie a na iný účel ako na podnikanie, doby používania investičného majetku podľa § 54 ods. 2 písm. b) a c) na podnikanie a na iný účel ako na podnikanie alebo podľa iného kritéria, použitie ktorého objektívne odráža rozsah použitia investičného majetku podľa § 54 ods. 2 písm. b) a c) na podnikanie a na iný účel ako na podnikanie.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8B1E7E">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pStyle w:val="Heading1"/>
              <w:bidi w:val="0"/>
              <w:spacing w:after="0" w:line="240" w:lineRule="auto"/>
              <w:rPr>
                <w:rFonts w:ascii="Times New Roman" w:hAnsi="Times New Roman"/>
                <w:b w:val="0"/>
                <w:bCs w:val="0"/>
                <w:sz w:val="20"/>
                <w:szCs w:val="20"/>
              </w:rPr>
            </w:pPr>
          </w:p>
        </w:tc>
      </w:tr>
      <w:tr>
        <w:tblPrEx>
          <w:tblW w:w="16302" w:type="dxa"/>
          <w:tblInd w:w="-524" w:type="dxa"/>
          <w:tblLayout w:type="fixed"/>
          <w:tblCellMar>
            <w:left w:w="43" w:type="dxa"/>
            <w:right w:w="43" w:type="dxa"/>
          </w:tblCellMar>
        </w:tblPrEx>
        <w:tc>
          <w:tcPr>
            <w:tcW w:w="567" w:type="dxa"/>
            <w:tcBorders>
              <w:top w:val="single" w:sz="4" w:space="0" w:color="auto"/>
              <w:left w:val="single" w:sz="12" w:space="0" w:color="auto"/>
              <w:bottom w:val="single" w:sz="4" w:space="0" w:color="auto"/>
              <w:right w:val="single" w:sz="4" w:space="0" w:color="auto"/>
            </w:tcBorders>
            <w:textDirection w:val="lrTb"/>
            <w:vAlign w:val="top"/>
          </w:tcPr>
          <w:p w:rsidR="00132C27" w:rsidRPr="000B7EC1" w:rsidP="00C55032">
            <w:pPr>
              <w:bidi w:val="0"/>
              <w:spacing w:after="0" w:line="240" w:lineRule="auto"/>
              <w:jc w:val="center"/>
              <w:rPr>
                <w:rFonts w:ascii="Times New Roman" w:hAnsi="Times New Roman"/>
                <w:sz w:val="20"/>
                <w:szCs w:val="20"/>
              </w:rPr>
            </w:pPr>
            <w:r w:rsidRPr="000B7EC1">
              <w:rPr>
                <w:rFonts w:ascii="Times New Roman" w:hAnsi="Times New Roman"/>
                <w:sz w:val="20"/>
                <w:szCs w:val="20"/>
              </w:rPr>
              <w:t>Čl. 194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32C27" w:rsidRPr="000B7EC1" w:rsidP="000B7EC1">
            <w:pPr>
              <w:pStyle w:val="Normlny"/>
              <w:bidi w:val="0"/>
              <w:spacing w:after="0" w:line="240" w:lineRule="auto"/>
              <w:jc w:val="both"/>
              <w:rPr>
                <w:rFonts w:ascii="Times New Roman" w:hAnsi="Times New Roman"/>
              </w:rPr>
            </w:pPr>
            <w:r w:rsidRPr="000B7EC1">
              <w:rPr>
                <w:rFonts w:ascii="Times New Roman" w:hAnsi="Times New Roman"/>
              </w:rPr>
              <w:t>1.  Ak zdaniteľné dodanie tovaru alebo zdaniteľné poskytovanie služieb uskutočňuje zdaniteľná osoba, ktorá nie je usadená na území členského  štátu, v ktorom je DPH splatná, členské štáty môžu ustanoviť, že osobou povinnou platiť daň je príjemca dodaného tovaru alebo poskytovaných služieb.</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32C27" w:rsidRPr="000B7EC1">
            <w:pPr>
              <w:bidi w:val="0"/>
              <w:spacing w:after="0" w:line="240" w:lineRule="auto"/>
              <w:jc w:val="center"/>
              <w:rPr>
                <w:rFonts w:ascii="Times New Roman" w:hAnsi="Times New Roman"/>
                <w:sz w:val="20"/>
                <w:szCs w:val="20"/>
              </w:rPr>
            </w:pPr>
            <w:r w:rsidRPr="000B7EC1">
              <w:rPr>
                <w:rFonts w:ascii="Times New Roman" w:hAnsi="Times New Roman"/>
                <w:sz w:val="20"/>
                <w:szCs w:val="20"/>
              </w:rPr>
              <w:t>D</w:t>
            </w:r>
          </w:p>
        </w:tc>
        <w:tc>
          <w:tcPr>
            <w:tcW w:w="851" w:type="dxa"/>
            <w:tcBorders>
              <w:top w:val="single" w:sz="4" w:space="0" w:color="auto"/>
              <w:left w:val="nil"/>
              <w:bottom w:val="single" w:sz="4" w:space="0" w:color="auto"/>
              <w:right w:val="single" w:sz="4" w:space="0" w:color="auto"/>
            </w:tcBorders>
            <w:textDirection w:val="lrTb"/>
            <w:vAlign w:val="top"/>
          </w:tcPr>
          <w:p w:rsidR="00132C27" w:rsidRPr="000B7EC1">
            <w:pPr>
              <w:bidi w:val="0"/>
              <w:spacing w:after="0" w:line="240" w:lineRule="auto"/>
              <w:jc w:val="center"/>
              <w:rPr>
                <w:rFonts w:ascii="Times New Roman" w:hAnsi="Times New Roman"/>
                <w:sz w:val="20"/>
                <w:szCs w:val="20"/>
              </w:rPr>
            </w:pPr>
            <w:r w:rsidRPr="000B7EC1">
              <w:rPr>
                <w:rFonts w:ascii="Times New Roman" w:hAnsi="Times New Roman"/>
                <w:sz w:val="20"/>
                <w:szCs w:val="20"/>
              </w:rPr>
              <w:t xml:space="preserve">222/2004 </w:t>
            </w:r>
            <w:r w:rsidRPr="000B7EC1">
              <w:rPr>
                <w:rFonts w:ascii="Times New Roman" w:hAnsi="Times New Roman"/>
                <w:b/>
                <w:sz w:val="20"/>
                <w:szCs w:val="20"/>
              </w:rPr>
              <w:t>a 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234ECE" w:rsidRPr="000B7EC1" w:rsidP="00132C27">
            <w:pPr>
              <w:pStyle w:val="Normlny"/>
              <w:bidi w:val="0"/>
              <w:spacing w:after="0" w:line="240" w:lineRule="auto"/>
              <w:jc w:val="center"/>
              <w:rPr>
                <w:rFonts w:ascii="Times New Roman" w:hAnsi="Times New Roman"/>
              </w:rPr>
            </w:pPr>
            <w:r w:rsidRPr="000B7EC1" w:rsidR="00132C27">
              <w:rPr>
                <w:rFonts w:ascii="Times New Roman" w:hAnsi="Times New Roman"/>
              </w:rPr>
              <w:t xml:space="preserve">§ 5 ods. 1 </w:t>
            </w:r>
          </w:p>
          <w:p w:rsidR="00234ECE" w:rsidRPr="000B7EC1" w:rsidP="00132C27">
            <w:pPr>
              <w:pStyle w:val="Normlny"/>
              <w:bidi w:val="0"/>
              <w:spacing w:after="0" w:line="240" w:lineRule="auto"/>
              <w:jc w:val="center"/>
              <w:rPr>
                <w:rFonts w:ascii="Times New Roman" w:hAnsi="Times New Roman"/>
              </w:rPr>
            </w:pPr>
          </w:p>
          <w:p w:rsidR="00234ECE" w:rsidRPr="000B7EC1" w:rsidP="00132C27">
            <w:pPr>
              <w:pStyle w:val="Normlny"/>
              <w:bidi w:val="0"/>
              <w:spacing w:after="0" w:line="240" w:lineRule="auto"/>
              <w:jc w:val="center"/>
              <w:rPr>
                <w:rFonts w:ascii="Times New Roman" w:hAnsi="Times New Roman"/>
              </w:rPr>
            </w:pPr>
          </w:p>
          <w:p w:rsidR="00234ECE" w:rsidRPr="000B7EC1" w:rsidP="00132C27">
            <w:pPr>
              <w:pStyle w:val="Normlny"/>
              <w:bidi w:val="0"/>
              <w:spacing w:after="0" w:line="240" w:lineRule="auto"/>
              <w:jc w:val="center"/>
              <w:rPr>
                <w:rFonts w:ascii="Times New Roman" w:hAnsi="Times New Roman"/>
              </w:rPr>
            </w:pPr>
          </w:p>
          <w:p w:rsidR="00234ECE" w:rsidRPr="000B7EC1" w:rsidP="00132C27">
            <w:pPr>
              <w:pStyle w:val="Normlny"/>
              <w:bidi w:val="0"/>
              <w:spacing w:after="0" w:line="240" w:lineRule="auto"/>
              <w:jc w:val="center"/>
              <w:rPr>
                <w:rFonts w:ascii="Times New Roman" w:hAnsi="Times New Roman"/>
              </w:rPr>
            </w:pPr>
          </w:p>
          <w:p w:rsidR="00234ECE" w:rsidRPr="000B7EC1" w:rsidP="00132C27">
            <w:pPr>
              <w:pStyle w:val="Normlny"/>
              <w:bidi w:val="0"/>
              <w:spacing w:after="0" w:line="240" w:lineRule="auto"/>
              <w:jc w:val="center"/>
              <w:rPr>
                <w:rFonts w:ascii="Times New Roman" w:hAnsi="Times New Roman"/>
              </w:rPr>
            </w:pPr>
          </w:p>
          <w:p w:rsidR="00234ECE" w:rsidRPr="000B7EC1" w:rsidP="00132C27">
            <w:pPr>
              <w:pStyle w:val="Normlny"/>
              <w:bidi w:val="0"/>
              <w:spacing w:after="0" w:line="240" w:lineRule="auto"/>
              <w:jc w:val="center"/>
              <w:rPr>
                <w:rFonts w:ascii="Times New Roman" w:hAnsi="Times New Roman"/>
              </w:rPr>
            </w:pPr>
          </w:p>
          <w:p w:rsidR="00234ECE" w:rsidRPr="000B7EC1" w:rsidP="00132C27">
            <w:pPr>
              <w:pStyle w:val="Normlny"/>
              <w:bidi w:val="0"/>
              <w:spacing w:after="0" w:line="240" w:lineRule="auto"/>
              <w:jc w:val="center"/>
              <w:rPr>
                <w:rFonts w:ascii="Times New Roman" w:hAnsi="Times New Roman"/>
              </w:rPr>
            </w:pPr>
          </w:p>
          <w:p w:rsidR="00234ECE" w:rsidRPr="000B7EC1" w:rsidP="00A873EF">
            <w:pPr>
              <w:pStyle w:val="Normlny"/>
              <w:bidi w:val="0"/>
              <w:spacing w:after="0" w:line="240" w:lineRule="auto"/>
              <w:rPr>
                <w:rFonts w:ascii="Times New Roman" w:hAnsi="Times New Roman"/>
              </w:rPr>
            </w:pPr>
            <w:r w:rsidRPr="000B7EC1" w:rsidR="00132C27">
              <w:rPr>
                <w:rFonts w:ascii="Times New Roman" w:hAnsi="Times New Roman"/>
              </w:rPr>
              <w:t xml:space="preserve">písm. b), </w:t>
            </w:r>
          </w:p>
          <w:p w:rsidR="00234ECE" w:rsidRPr="000B7EC1" w:rsidP="00132C27">
            <w:pPr>
              <w:pStyle w:val="Normlny"/>
              <w:bidi w:val="0"/>
              <w:spacing w:after="0" w:line="240" w:lineRule="auto"/>
              <w:jc w:val="center"/>
              <w:rPr>
                <w:rFonts w:ascii="Times New Roman" w:hAnsi="Times New Roman"/>
              </w:rPr>
            </w:pPr>
          </w:p>
          <w:p w:rsidR="00A873EF" w:rsidRPr="000B7EC1" w:rsidP="0047033F">
            <w:pPr>
              <w:pStyle w:val="Normlny"/>
              <w:bidi w:val="0"/>
              <w:spacing w:after="0" w:line="240" w:lineRule="auto"/>
              <w:rPr>
                <w:rFonts w:ascii="Times New Roman" w:hAnsi="Times New Roman"/>
              </w:rPr>
            </w:pPr>
          </w:p>
          <w:p w:rsidR="00234ECE" w:rsidRPr="000B7EC1" w:rsidP="00A873EF">
            <w:pPr>
              <w:pStyle w:val="Normlny"/>
              <w:bidi w:val="0"/>
              <w:spacing w:after="0" w:line="240" w:lineRule="auto"/>
              <w:jc w:val="center"/>
              <w:rPr>
                <w:rFonts w:ascii="Times New Roman" w:hAnsi="Times New Roman"/>
              </w:rPr>
            </w:pPr>
            <w:r w:rsidRPr="000B7EC1" w:rsidR="00132C27">
              <w:rPr>
                <w:rFonts w:ascii="Times New Roman" w:hAnsi="Times New Roman"/>
              </w:rPr>
              <w:t xml:space="preserve">§ 55a ods. 2 </w:t>
            </w:r>
          </w:p>
          <w:p w:rsidR="00A873EF" w:rsidRPr="000B7EC1" w:rsidP="00132C27">
            <w:pPr>
              <w:pStyle w:val="Normlny"/>
              <w:bidi w:val="0"/>
              <w:spacing w:after="0" w:line="240" w:lineRule="auto"/>
              <w:jc w:val="center"/>
              <w:rPr>
                <w:rFonts w:ascii="Times New Roman" w:hAnsi="Times New Roman"/>
              </w:rPr>
            </w:pPr>
            <w:r w:rsidRPr="000B7EC1" w:rsidR="00132C27">
              <w:rPr>
                <w:rFonts w:ascii="Times New Roman" w:hAnsi="Times New Roman"/>
              </w:rPr>
              <w:t>písm. c),</w:t>
            </w:r>
          </w:p>
          <w:p w:rsidR="00A873EF" w:rsidRPr="000B7EC1" w:rsidP="00132C27">
            <w:pPr>
              <w:pStyle w:val="Normlny"/>
              <w:bidi w:val="0"/>
              <w:spacing w:after="0" w:line="240" w:lineRule="auto"/>
              <w:jc w:val="center"/>
              <w:rPr>
                <w:rFonts w:ascii="Times New Roman" w:hAnsi="Times New Roman"/>
              </w:rPr>
            </w:pPr>
          </w:p>
          <w:p w:rsidR="00A873EF" w:rsidRPr="000B7EC1" w:rsidP="0047033F">
            <w:pPr>
              <w:pStyle w:val="Normlny"/>
              <w:bidi w:val="0"/>
              <w:spacing w:after="0" w:line="240" w:lineRule="auto"/>
              <w:rPr>
                <w:rFonts w:ascii="Times New Roman" w:hAnsi="Times New Roman"/>
              </w:rPr>
            </w:pPr>
          </w:p>
          <w:p w:rsidR="00A873EF" w:rsidRPr="000B7EC1" w:rsidP="00132C27">
            <w:pPr>
              <w:pStyle w:val="Normlny"/>
              <w:bidi w:val="0"/>
              <w:spacing w:after="0" w:line="240" w:lineRule="auto"/>
              <w:jc w:val="center"/>
              <w:rPr>
                <w:rFonts w:ascii="Times New Roman" w:hAnsi="Times New Roman"/>
              </w:rPr>
            </w:pPr>
            <w:r w:rsidRPr="000B7EC1" w:rsidR="00132C27">
              <w:rPr>
                <w:rFonts w:ascii="Times New Roman" w:hAnsi="Times New Roman"/>
              </w:rPr>
              <w:t xml:space="preserve"> 2. bod</w:t>
            </w:r>
            <w:r w:rsidRPr="000B7EC1" w:rsidR="0047033F">
              <w:rPr>
                <w:rFonts w:ascii="Times New Roman" w:hAnsi="Times New Roman"/>
              </w:rPr>
              <w:t>,</w:t>
            </w:r>
            <w:r w:rsidRPr="000B7EC1" w:rsidR="00132C27">
              <w:rPr>
                <w:rFonts w:ascii="Times New Roman" w:hAnsi="Times New Roman"/>
              </w:rPr>
              <w:t xml:space="preserve"> </w:t>
            </w:r>
          </w:p>
          <w:p w:rsidR="00A873EF" w:rsidRPr="000B7EC1" w:rsidP="00132C27">
            <w:pPr>
              <w:pStyle w:val="Normlny"/>
              <w:bidi w:val="0"/>
              <w:spacing w:after="0" w:line="240" w:lineRule="auto"/>
              <w:jc w:val="center"/>
              <w:rPr>
                <w:rFonts w:ascii="Times New Roman" w:hAnsi="Times New Roman"/>
              </w:rPr>
            </w:pPr>
          </w:p>
          <w:p w:rsidR="0047033F" w:rsidRPr="000B7EC1" w:rsidP="00132C27">
            <w:pPr>
              <w:pStyle w:val="Normlny"/>
              <w:bidi w:val="0"/>
              <w:spacing w:after="0" w:line="240" w:lineRule="auto"/>
              <w:jc w:val="center"/>
              <w:rPr>
                <w:rFonts w:ascii="Times New Roman" w:hAnsi="Times New Roman"/>
              </w:rPr>
            </w:pPr>
          </w:p>
          <w:p w:rsidR="00A873EF" w:rsidRPr="000B7EC1" w:rsidP="00132C27">
            <w:pPr>
              <w:pStyle w:val="Normlny"/>
              <w:bidi w:val="0"/>
              <w:spacing w:after="0" w:line="240" w:lineRule="auto"/>
              <w:jc w:val="center"/>
              <w:rPr>
                <w:rFonts w:ascii="Times New Roman" w:hAnsi="Times New Roman"/>
              </w:rPr>
            </w:pPr>
            <w:r w:rsidRPr="000B7EC1" w:rsidR="0047033F">
              <w:rPr>
                <w:rFonts w:ascii="Times New Roman" w:hAnsi="Times New Roman"/>
              </w:rPr>
              <w:t>a</w:t>
            </w:r>
            <w:r w:rsidRPr="000B7EC1" w:rsidR="00132C27">
              <w:rPr>
                <w:rFonts w:ascii="Times New Roman" w:hAnsi="Times New Roman"/>
              </w:rPr>
              <w:t xml:space="preserve"> § 56 ods. 2 </w:t>
            </w:r>
          </w:p>
          <w:p w:rsidR="0047033F" w:rsidRPr="000B7EC1" w:rsidP="00132C27">
            <w:pPr>
              <w:pStyle w:val="Normlny"/>
              <w:bidi w:val="0"/>
              <w:spacing w:after="0" w:line="240" w:lineRule="auto"/>
              <w:jc w:val="center"/>
              <w:rPr>
                <w:rFonts w:ascii="Times New Roman" w:hAnsi="Times New Roman"/>
              </w:rPr>
            </w:pPr>
            <w:r w:rsidRPr="000B7EC1" w:rsidR="00132C27">
              <w:rPr>
                <w:rFonts w:ascii="Times New Roman" w:hAnsi="Times New Roman"/>
              </w:rPr>
              <w:t xml:space="preserve">písm. c), </w:t>
            </w:r>
          </w:p>
          <w:p w:rsidR="0047033F" w:rsidRPr="000B7EC1" w:rsidP="00132C27">
            <w:pPr>
              <w:pStyle w:val="Normlny"/>
              <w:bidi w:val="0"/>
              <w:spacing w:after="0" w:line="240" w:lineRule="auto"/>
              <w:jc w:val="center"/>
              <w:rPr>
                <w:rFonts w:ascii="Times New Roman" w:hAnsi="Times New Roman"/>
              </w:rPr>
            </w:pPr>
          </w:p>
          <w:p w:rsidR="0047033F" w:rsidRPr="000B7EC1" w:rsidP="00132C27">
            <w:pPr>
              <w:pStyle w:val="Normlny"/>
              <w:bidi w:val="0"/>
              <w:spacing w:after="0" w:line="240" w:lineRule="auto"/>
              <w:jc w:val="center"/>
              <w:rPr>
                <w:rFonts w:ascii="Times New Roman" w:hAnsi="Times New Roman"/>
              </w:rPr>
            </w:pPr>
          </w:p>
          <w:p w:rsidR="0047033F" w:rsidRPr="000B7EC1" w:rsidP="0047033F">
            <w:pPr>
              <w:pStyle w:val="Normlny"/>
              <w:bidi w:val="0"/>
              <w:spacing w:after="0" w:line="240" w:lineRule="auto"/>
              <w:rPr>
                <w:rFonts w:ascii="Times New Roman" w:hAnsi="Times New Roman"/>
              </w:rPr>
            </w:pPr>
            <w:r w:rsidRPr="000B7EC1" w:rsidR="00132C27">
              <w:rPr>
                <w:rFonts w:ascii="Times New Roman" w:hAnsi="Times New Roman"/>
              </w:rPr>
              <w:t xml:space="preserve">2. </w:t>
            </w:r>
            <w:r w:rsidRPr="000B7EC1" w:rsidR="00FC69AE">
              <w:rPr>
                <w:rFonts w:ascii="Times New Roman" w:hAnsi="Times New Roman"/>
              </w:rPr>
              <w:t>b</w:t>
            </w:r>
            <w:r w:rsidRPr="000B7EC1" w:rsidR="00132C27">
              <w:rPr>
                <w:rFonts w:ascii="Times New Roman" w:hAnsi="Times New Roman"/>
              </w:rPr>
              <w:t>od</w:t>
            </w:r>
            <w:r w:rsidRPr="000B7EC1" w:rsidR="00FC69AE">
              <w:rPr>
                <w:rFonts w:ascii="Times New Roman" w:hAnsi="Times New Roman"/>
              </w:rPr>
              <w:t xml:space="preserve">, </w:t>
            </w:r>
          </w:p>
          <w:p w:rsidR="0047033F" w:rsidRPr="000B7EC1" w:rsidP="0047033F">
            <w:pPr>
              <w:pStyle w:val="Normlny"/>
              <w:bidi w:val="0"/>
              <w:spacing w:after="0" w:line="240" w:lineRule="auto"/>
              <w:rPr>
                <w:rFonts w:ascii="Times New Roman" w:hAnsi="Times New Roman"/>
              </w:rPr>
            </w:pPr>
          </w:p>
          <w:p w:rsidR="0047033F" w:rsidRPr="000B7EC1" w:rsidP="0047033F">
            <w:pPr>
              <w:pStyle w:val="Normlny"/>
              <w:bidi w:val="0"/>
              <w:spacing w:after="0" w:line="240" w:lineRule="auto"/>
              <w:rPr>
                <w:rFonts w:ascii="Times New Roman" w:hAnsi="Times New Roman"/>
              </w:rPr>
            </w:pPr>
          </w:p>
          <w:p w:rsidR="00FC69AE" w:rsidRPr="000B7EC1" w:rsidP="0047033F">
            <w:pPr>
              <w:pStyle w:val="Normlny"/>
              <w:bidi w:val="0"/>
              <w:spacing w:after="0" w:line="240" w:lineRule="auto"/>
              <w:rPr>
                <w:rFonts w:ascii="Times New Roman" w:hAnsi="Times New Roman"/>
              </w:rPr>
            </w:pPr>
            <w:r w:rsidRPr="000B7EC1">
              <w:rPr>
                <w:rFonts w:ascii="Times New Roman" w:hAnsi="Times New Roman"/>
              </w:rPr>
              <w:t>§ 69 ods. 2</w:t>
            </w:r>
          </w:p>
          <w:p w:rsidR="00132C27" w:rsidRPr="000B7EC1" w:rsidP="00132C27">
            <w:pPr>
              <w:pStyle w:val="Normlny"/>
              <w:bidi w:val="0"/>
              <w:spacing w:after="0" w:line="240" w:lineRule="auto"/>
              <w:jc w:val="center"/>
              <w:rPr>
                <w:rFonts w:ascii="Times New Roman" w:hAnsi="Times New Roman"/>
              </w:rPr>
            </w:pPr>
            <w:r w:rsidRPr="000B7EC1">
              <w:rPr>
                <w:rFonts w:ascii="Times New Roman" w:hAnsi="Times New Roman"/>
              </w:rPr>
              <w:t xml:space="preserve"> </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14F79" w:rsidRPr="000B7EC1" w:rsidP="00114F79">
            <w:pPr>
              <w:bidi w:val="0"/>
              <w:spacing w:after="0" w:line="240" w:lineRule="auto"/>
              <w:jc w:val="both"/>
              <w:rPr>
                <w:rFonts w:ascii="Times New Roman" w:hAnsi="Times New Roman"/>
                <w:sz w:val="20"/>
                <w:szCs w:val="20"/>
              </w:rPr>
            </w:pPr>
            <w:r w:rsidRPr="000B7EC1">
              <w:rPr>
                <w:rFonts w:ascii="Times New Roman" w:hAnsi="Times New Roman"/>
                <w:sz w:val="20"/>
                <w:szCs w:val="20"/>
              </w:rPr>
              <w:t xml:space="preserve">Zdaniteľná osoba, ktorá nemá v tuzemsku sídlo, miesto podnikania, prevádzkareň, bydlisko alebo sa v tuzemsku obvykle nezdržiava (ďalej len "zahraničná osoba"), je povinná podať žiadosť o registráciu pre daň Daňovému úradu Bratislava pred začatím vykonávania činnosti, ktorá je predmetom dane </w:t>
            </w:r>
            <w:r w:rsidRPr="000B7EC1">
              <w:rPr>
                <w:rFonts w:ascii="Times New Roman" w:hAnsi="Times New Roman"/>
                <w:color w:val="000000"/>
                <w:sz w:val="20"/>
                <w:szCs w:val="20"/>
              </w:rPr>
              <w:t>okrem dovozu tovaru</w:t>
            </w:r>
            <w:r w:rsidRPr="000B7EC1">
              <w:rPr>
                <w:rFonts w:ascii="Times New Roman" w:hAnsi="Times New Roman"/>
                <w:sz w:val="20"/>
                <w:szCs w:val="20"/>
              </w:rPr>
              <w:t>. Žiadosť o registráciu pre daň nie je povinná podať zahraničná osoba, ak dodáva len</w:t>
            </w:r>
          </w:p>
          <w:p w:rsidR="00114F79" w:rsidRPr="000B7EC1" w:rsidP="00114F79">
            <w:pPr>
              <w:bidi w:val="0"/>
              <w:spacing w:after="0" w:line="240" w:lineRule="auto"/>
              <w:jc w:val="both"/>
              <w:rPr>
                <w:rFonts w:ascii="Times New Roman" w:hAnsi="Times New Roman"/>
                <w:b/>
                <w:sz w:val="20"/>
                <w:szCs w:val="20"/>
              </w:rPr>
            </w:pPr>
            <w:r w:rsidRPr="000B7EC1">
              <w:rPr>
                <w:rFonts w:ascii="Times New Roman" w:hAnsi="Times New Roman"/>
                <w:b/>
                <w:sz w:val="20"/>
                <w:szCs w:val="20"/>
              </w:rPr>
              <w:t>služby a tovar a osobou povinnou platiť daň je príjemca (§ 69 ods. 2 až 4),</w:t>
            </w:r>
          </w:p>
          <w:p w:rsidR="00132C27" w:rsidRPr="000B7EC1" w:rsidP="00B64B09">
            <w:pPr>
              <w:pStyle w:val="Normlny"/>
              <w:bidi w:val="0"/>
              <w:spacing w:after="0" w:line="240" w:lineRule="auto"/>
              <w:rPr>
                <w:rFonts w:ascii="Times New Roman" w:hAnsi="Times New Roman"/>
                <w:b/>
              </w:rPr>
            </w:pPr>
          </w:p>
          <w:p w:rsidR="00A873EF" w:rsidRPr="000B7EC1" w:rsidP="00A873EF">
            <w:pPr>
              <w:bidi w:val="0"/>
              <w:spacing w:after="0" w:line="240" w:lineRule="auto"/>
              <w:jc w:val="both"/>
              <w:rPr>
                <w:rFonts w:ascii="Times New Roman" w:hAnsi="Times New Roman"/>
                <w:sz w:val="20"/>
                <w:szCs w:val="20"/>
              </w:rPr>
            </w:pPr>
            <w:r w:rsidRPr="000B7EC1">
              <w:rPr>
                <w:rFonts w:ascii="Times New Roman" w:hAnsi="Times New Roman"/>
                <w:sz w:val="20"/>
                <w:szCs w:val="20"/>
              </w:rPr>
              <w:t>Žiadateľ má nárok na vrátenie dane, ak</w:t>
            </w:r>
          </w:p>
          <w:p w:rsidR="00A873EF" w:rsidRPr="000B7EC1" w:rsidP="00A873EF">
            <w:pPr>
              <w:bidi w:val="0"/>
              <w:spacing w:after="0" w:line="240" w:lineRule="auto"/>
              <w:jc w:val="both"/>
              <w:rPr>
                <w:rFonts w:ascii="Times New Roman" w:hAnsi="Times New Roman"/>
                <w:sz w:val="20"/>
                <w:szCs w:val="20"/>
              </w:rPr>
            </w:pPr>
          </w:p>
          <w:p w:rsidR="00A873EF" w:rsidRPr="000B7EC1" w:rsidP="00A873EF">
            <w:pPr>
              <w:bidi w:val="0"/>
              <w:spacing w:after="0" w:line="240" w:lineRule="auto"/>
              <w:jc w:val="both"/>
              <w:rPr>
                <w:rFonts w:ascii="Times New Roman" w:hAnsi="Times New Roman"/>
                <w:sz w:val="20"/>
                <w:szCs w:val="20"/>
              </w:rPr>
            </w:pPr>
            <w:r w:rsidRPr="000B7EC1">
              <w:rPr>
                <w:rFonts w:ascii="Times New Roman" w:hAnsi="Times New Roman"/>
                <w:sz w:val="20"/>
                <w:szCs w:val="20"/>
              </w:rPr>
              <w:t>v období, za ktoré podáva žiadosť o vrátenie dane, nedodal tovar ani službu v tuzemsku s výnimkou dodania</w:t>
            </w:r>
          </w:p>
          <w:p w:rsidR="00A873EF" w:rsidRPr="000B7EC1" w:rsidP="00A873EF">
            <w:pPr>
              <w:bidi w:val="0"/>
              <w:spacing w:after="0" w:line="240" w:lineRule="auto"/>
              <w:jc w:val="both"/>
              <w:rPr>
                <w:rFonts w:ascii="Times New Roman" w:hAnsi="Times New Roman"/>
                <w:b/>
                <w:sz w:val="20"/>
                <w:szCs w:val="20"/>
              </w:rPr>
            </w:pPr>
            <w:r w:rsidRPr="000B7EC1">
              <w:rPr>
                <w:rFonts w:ascii="Times New Roman" w:hAnsi="Times New Roman"/>
                <w:b/>
                <w:sz w:val="20"/>
                <w:szCs w:val="20"/>
              </w:rPr>
              <w:t>služby a dodania tovaru, ak je osobou povinnou platiť daň príjemca podľa § 69 ods. 2 a 3,</w:t>
            </w:r>
          </w:p>
          <w:p w:rsidR="0047033F" w:rsidRPr="000B7EC1" w:rsidP="00A873EF">
            <w:pPr>
              <w:bidi w:val="0"/>
              <w:spacing w:after="0" w:line="240" w:lineRule="auto"/>
              <w:jc w:val="both"/>
              <w:rPr>
                <w:rFonts w:ascii="Times New Roman" w:hAnsi="Times New Roman"/>
                <w:b/>
                <w:sz w:val="20"/>
                <w:szCs w:val="20"/>
              </w:rPr>
            </w:pPr>
          </w:p>
          <w:p w:rsidR="0047033F" w:rsidRPr="000B7EC1" w:rsidP="0047033F">
            <w:pPr>
              <w:bidi w:val="0"/>
              <w:spacing w:after="0" w:line="240" w:lineRule="auto"/>
              <w:jc w:val="both"/>
              <w:rPr>
                <w:rFonts w:ascii="Times New Roman" w:hAnsi="Times New Roman"/>
                <w:sz w:val="20"/>
                <w:szCs w:val="20"/>
              </w:rPr>
            </w:pPr>
            <w:r w:rsidRPr="000B7EC1">
              <w:rPr>
                <w:rFonts w:ascii="Times New Roman" w:hAnsi="Times New Roman"/>
                <w:sz w:val="20"/>
                <w:szCs w:val="20"/>
              </w:rPr>
              <w:t>Zahraničná osoba z tretieho štátu má nárok na vrátenie dane, ak</w:t>
            </w:r>
          </w:p>
          <w:p w:rsidR="0047033F" w:rsidRPr="000B7EC1" w:rsidP="0047033F">
            <w:pPr>
              <w:bidi w:val="0"/>
              <w:spacing w:after="0" w:line="240" w:lineRule="auto"/>
              <w:jc w:val="both"/>
              <w:rPr>
                <w:rFonts w:ascii="Times New Roman" w:hAnsi="Times New Roman"/>
                <w:sz w:val="20"/>
                <w:szCs w:val="20"/>
              </w:rPr>
            </w:pPr>
            <w:r w:rsidRPr="000B7EC1">
              <w:rPr>
                <w:rFonts w:ascii="Times New Roman" w:hAnsi="Times New Roman"/>
                <w:sz w:val="20"/>
                <w:szCs w:val="20"/>
              </w:rPr>
              <w:t>v období, za ktoré podáva žiadosť o vrátenie dane, nedodala tovar ani službu v tuzemsku s výnimkou dodania</w:t>
            </w:r>
          </w:p>
          <w:p w:rsidR="0047033F" w:rsidRPr="000B7EC1" w:rsidP="0047033F">
            <w:pPr>
              <w:bidi w:val="0"/>
              <w:spacing w:after="0" w:line="240" w:lineRule="auto"/>
              <w:jc w:val="both"/>
              <w:rPr>
                <w:rFonts w:ascii="Times New Roman" w:hAnsi="Times New Roman"/>
                <w:b/>
                <w:sz w:val="20"/>
                <w:szCs w:val="20"/>
              </w:rPr>
            </w:pPr>
            <w:r w:rsidRPr="000B7EC1">
              <w:rPr>
                <w:rFonts w:ascii="Times New Roman" w:hAnsi="Times New Roman"/>
                <w:b/>
                <w:sz w:val="20"/>
                <w:szCs w:val="20"/>
              </w:rPr>
              <w:t>služieb a dodania tovaru, ak je osobou povinnou platiť daň príjemca (§ 69 ods. 2 a 3),</w:t>
            </w:r>
          </w:p>
          <w:p w:rsidR="00234ECE" w:rsidRPr="000B7EC1" w:rsidP="00B64B09">
            <w:pPr>
              <w:pStyle w:val="Normlny"/>
              <w:bidi w:val="0"/>
              <w:spacing w:after="0" w:line="240" w:lineRule="auto"/>
              <w:rPr>
                <w:rFonts w:ascii="Times New Roman" w:hAnsi="Times New Roman"/>
                <w:b/>
              </w:rPr>
            </w:pPr>
          </w:p>
          <w:p w:rsidR="00A873EF" w:rsidRPr="000B7EC1" w:rsidP="00454E9E">
            <w:pPr>
              <w:autoSpaceDE/>
              <w:autoSpaceDN/>
              <w:bidi w:val="0"/>
              <w:spacing w:after="0" w:line="240" w:lineRule="auto"/>
              <w:jc w:val="both"/>
              <w:rPr>
                <w:rFonts w:ascii="Times New Roman" w:hAnsi="Times New Roman"/>
                <w:sz w:val="20"/>
                <w:szCs w:val="20"/>
              </w:rPr>
            </w:pPr>
            <w:r w:rsidRPr="000B7EC1" w:rsidR="00454E9E">
              <w:rPr>
                <w:rFonts w:ascii="Times New Roman" w:hAnsi="Times New Roman"/>
                <w:sz w:val="20"/>
                <w:szCs w:val="20"/>
              </w:rPr>
              <w:t>Zdaniteľná osoba, ktorá má sídlo, miesto podnikania, prevádzkareň alebo     bydlisko v tuzemsku, je povinná platiť daň pri službách uvedených v § 16 ods. 1 až 4, 10 a 11 a pri tovare</w:t>
            </w:r>
            <w:r w:rsidRPr="000B7EC1" w:rsidR="00454E9E">
              <w:rPr>
                <w:rFonts w:ascii="Times New Roman" w:hAnsi="Times New Roman"/>
                <w:b/>
                <w:sz w:val="20"/>
                <w:szCs w:val="20"/>
              </w:rPr>
              <w:t xml:space="preserve"> okrem tovaru dodaného formou zásielkového predaja</w:t>
            </w:r>
            <w:r w:rsidRPr="000B7EC1" w:rsidR="00454E9E">
              <w:rPr>
                <w:rFonts w:ascii="Times New Roman" w:hAnsi="Times New Roman"/>
                <w:i/>
                <w:iCs/>
                <w:sz w:val="20"/>
                <w:szCs w:val="20"/>
              </w:rPr>
              <w:t>,</w:t>
            </w:r>
            <w:r w:rsidRPr="000B7EC1" w:rsidR="00454E9E">
              <w:rPr>
                <w:rFonts w:ascii="Times New Roman" w:hAnsi="Times New Roman"/>
                <w:sz w:val="20"/>
                <w:szCs w:val="20"/>
              </w:rPr>
              <w:t xml:space="preserve"> ktoré jej dodala zahraničná osoba z iného členského štátu alebo zahraničná osoba z tretieho štátu, ak miesto dodania služby alebo tovaru je v tuzemsku.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2C27" w:rsidRPr="000B7EC1">
            <w:pPr>
              <w:bidi w:val="0"/>
              <w:spacing w:after="0" w:line="240" w:lineRule="auto"/>
              <w:jc w:val="center"/>
              <w:rPr>
                <w:rFonts w:ascii="Times New Roman" w:hAnsi="Times New Roman"/>
                <w:sz w:val="20"/>
                <w:szCs w:val="20"/>
              </w:rPr>
            </w:pPr>
            <w:r w:rsidRPr="000B7EC1" w:rsidR="002929E6">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132C27" w:rsidRPr="000B7EC1">
            <w:pPr>
              <w:pStyle w:val="Heading1"/>
              <w:bidi w:val="0"/>
              <w:spacing w:after="0" w:line="240" w:lineRule="auto"/>
              <w:rPr>
                <w:rFonts w:ascii="Times New Roman" w:hAnsi="Times New Roman"/>
                <w:b w:val="0"/>
                <w:bCs w:val="0"/>
                <w:sz w:val="20"/>
                <w:szCs w:val="20"/>
              </w:rPr>
            </w:pPr>
          </w:p>
        </w:tc>
      </w:tr>
      <w:tr>
        <w:tblPrEx>
          <w:tblW w:w="16302" w:type="dxa"/>
          <w:tblInd w:w="-524" w:type="dxa"/>
          <w:tblLayout w:type="fixed"/>
          <w:tblCellMar>
            <w:left w:w="43" w:type="dxa"/>
            <w:right w:w="43" w:type="dxa"/>
          </w:tblCellMar>
        </w:tblPrEx>
        <w:tc>
          <w:tcPr>
            <w:tcW w:w="567" w:type="dxa"/>
            <w:tcBorders>
              <w:top w:val="single" w:sz="4" w:space="0" w:color="auto"/>
              <w:left w:val="single" w:sz="12" w:space="0" w:color="auto"/>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2E1D16">
              <w:rPr>
                <w:rFonts w:ascii="Times New Roman" w:hAnsi="Times New Roman"/>
                <w:sz w:val="20"/>
                <w:szCs w:val="20"/>
              </w:rPr>
              <w:t xml:space="preserve">Čl. </w:t>
            </w:r>
            <w:r w:rsidRPr="000B7EC1" w:rsidR="00320F8B">
              <w:rPr>
                <w:rFonts w:ascii="Times New Roman" w:hAnsi="Times New Roman"/>
                <w:sz w:val="20"/>
                <w:szCs w:val="20"/>
              </w:rPr>
              <w:t>22</w:t>
            </w:r>
            <w:r w:rsidRPr="000B7EC1" w:rsidR="002E1D16">
              <w:rPr>
                <w:rFonts w:ascii="Times New Roman" w:hAnsi="Times New Roman"/>
                <w:sz w:val="20"/>
                <w:szCs w:val="20"/>
              </w:rPr>
              <w:t>6</w:t>
            </w:r>
          </w:p>
          <w:p w:rsidR="00320F8B" w:rsidRPr="000B7EC1" w:rsidP="00EB0C5E">
            <w:pPr>
              <w:bidi w:val="0"/>
              <w:spacing w:after="0" w:line="240" w:lineRule="auto"/>
              <w:rPr>
                <w:rFonts w:ascii="Times New Roman" w:hAnsi="Times New Roman"/>
                <w:sz w:val="20"/>
                <w:szCs w:val="20"/>
              </w:rPr>
            </w:pPr>
            <w:r w:rsidRPr="000B7EC1">
              <w:rPr>
                <w:rFonts w:ascii="Times New Roman" w:hAnsi="Times New Roman"/>
                <w:sz w:val="20"/>
                <w:szCs w:val="20"/>
              </w:rPr>
              <w:t>11a.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0B7EC1" w:rsidP="000B7EC1">
            <w:pPr>
              <w:bidi w:val="0"/>
              <w:adjustRightInd w:val="0"/>
              <w:spacing w:after="0" w:line="240" w:lineRule="auto"/>
              <w:jc w:val="both"/>
              <w:rPr>
                <w:rFonts w:ascii="Times New Roman" w:hAnsi="Times New Roman"/>
                <w:sz w:val="20"/>
                <w:szCs w:val="20"/>
              </w:rPr>
            </w:pPr>
            <w:r w:rsidRPr="000B7EC1" w:rsidR="00320F8B">
              <w:rPr>
                <w:rFonts w:ascii="Times New Roman" w:hAnsi="Times New Roman"/>
                <w:sz w:val="20"/>
                <w:szCs w:val="20"/>
              </w:rPr>
              <w:t>Bez toho, aby boli dotknuté osobitné ustanovenia uvedené v tejto smernici, faktúry vyhotované podľa článkov 220 a 221 musia obsahovať iba tieto údaje:</w:t>
            </w:r>
          </w:p>
          <w:p w:rsidR="00320F8B" w:rsidRPr="000B7EC1" w:rsidP="000B7EC1">
            <w:pPr>
              <w:bidi w:val="0"/>
              <w:adjustRightInd w:val="0"/>
              <w:spacing w:after="0" w:line="240" w:lineRule="auto"/>
              <w:jc w:val="both"/>
              <w:rPr>
                <w:rFonts w:ascii="Times New Roman" w:hAnsi="Times New Roman"/>
                <w:sz w:val="20"/>
                <w:szCs w:val="20"/>
              </w:rPr>
            </w:pPr>
            <w:r w:rsidRPr="000B7EC1">
              <w:rPr>
                <w:rFonts w:ascii="Times New Roman" w:hAnsi="Times New Roman"/>
                <w:sz w:val="20"/>
                <w:szCs w:val="20"/>
              </w:rPr>
              <w:t>11a. označenie „prenesenie daňovej povinnosti“, ak je DPH povinný platiť odberateľ,</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D05C7E">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D05C7E">
              <w:rPr>
                <w:rFonts w:ascii="Times New Roman" w:hAnsi="Times New Roman"/>
                <w:sz w:val="20"/>
                <w:szCs w:val="20"/>
              </w:rPr>
              <w:t>222/2004 a </w:t>
            </w:r>
            <w:r w:rsidRPr="000B7EC1" w:rsidR="00D05C7E">
              <w:rPr>
                <w:rFonts w:ascii="Times New Roman" w:hAnsi="Times New Roman"/>
                <w:b/>
                <w:sz w:val="20"/>
                <w:szCs w:val="20"/>
              </w:rPr>
              <w:t>návrh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rsidP="00917791">
            <w:pPr>
              <w:pStyle w:val="Normlny"/>
              <w:bidi w:val="0"/>
              <w:spacing w:after="0" w:line="240" w:lineRule="auto"/>
              <w:rPr>
                <w:rFonts w:ascii="Times New Roman" w:hAnsi="Times New Roman"/>
              </w:rPr>
            </w:pPr>
            <w:r w:rsidRPr="000B7EC1" w:rsidR="00320F8B">
              <w:rPr>
                <w:rFonts w:ascii="Times New Roman" w:hAnsi="Times New Roman"/>
              </w:rPr>
              <w:t>§ 45 ods.3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rsidP="000B7EC1">
            <w:pPr>
              <w:bidi w:val="0"/>
              <w:spacing w:after="0" w:line="240" w:lineRule="auto"/>
              <w:jc w:val="both"/>
              <w:rPr>
                <w:rFonts w:ascii="Times New Roman" w:hAnsi="Times New Roman"/>
                <w:sz w:val="20"/>
                <w:szCs w:val="20"/>
                <w:lang w:eastAsia="en-US"/>
              </w:rPr>
            </w:pPr>
            <w:r w:rsidRPr="000B7EC1" w:rsidR="00320F8B">
              <w:rPr>
                <w:rFonts w:ascii="Times New Roman" w:hAnsi="Times New Roman"/>
                <w:sz w:val="20"/>
                <w:szCs w:val="20"/>
                <w:lang w:eastAsia="en-US"/>
              </w:rPr>
              <w:t>Pri trojstrannom obchode prvý odberateľ vyhotoví pre druhého odberateľa faktúru, ktorá nebude obsahovať sumu dane a v ktorej uvedie</w:t>
            </w:r>
            <w:r w:rsidRPr="000B7EC1" w:rsidR="00D05C7E">
              <w:rPr>
                <w:rFonts w:ascii="Times New Roman" w:hAnsi="Times New Roman"/>
                <w:sz w:val="20"/>
                <w:szCs w:val="20"/>
                <w:lang w:eastAsia="en-US"/>
              </w:rPr>
              <w:t xml:space="preserve"> </w:t>
            </w:r>
            <w:r w:rsidRPr="000B7EC1" w:rsidR="00D05C7E">
              <w:rPr>
                <w:rFonts w:ascii="Times New Roman" w:hAnsi="Times New Roman"/>
                <w:b/>
                <w:sz w:val="20"/>
                <w:szCs w:val="20"/>
              </w:rPr>
              <w:t>slovnú informáciu „prenesenie daňovej povinnosti“</w:t>
            </w:r>
            <w:r w:rsidRPr="000B7EC1" w:rsidR="00320F8B">
              <w:rPr>
                <w:rFonts w:ascii="Times New Roman" w:hAnsi="Times New Roman"/>
                <w:b/>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0B7EC1">
            <w:pPr>
              <w:bidi w:val="0"/>
              <w:spacing w:after="0" w:line="240" w:lineRule="auto"/>
              <w:jc w:val="center"/>
              <w:rPr>
                <w:rFonts w:ascii="Times New Roman" w:hAnsi="Times New Roman"/>
                <w:sz w:val="20"/>
                <w:szCs w:val="20"/>
              </w:rPr>
            </w:pPr>
            <w:r w:rsidRPr="000B7EC1" w:rsidR="00D05C7E">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A9063F" w:rsidRPr="000B7EC1">
            <w:pPr>
              <w:pStyle w:val="Heading1"/>
              <w:bidi w:val="0"/>
              <w:spacing w:after="0" w:line="240" w:lineRule="auto"/>
              <w:rPr>
                <w:rFonts w:ascii="Times New Roman" w:hAnsi="Times New Roman"/>
                <w:b w:val="0"/>
                <w:bCs w:val="0"/>
                <w:sz w:val="20"/>
                <w:szCs w:val="20"/>
              </w:rPr>
            </w:pPr>
          </w:p>
        </w:tc>
      </w:tr>
    </w:tbl>
    <w:p w:rsidR="006973D2">
      <w:pPr>
        <w:autoSpaceDE/>
        <w:autoSpaceDN/>
        <w:bidi w:val="0"/>
        <w:rPr>
          <w:rFonts w:ascii="Times New Roman" w:hAnsi="Times New Roman"/>
          <w:sz w:val="20"/>
          <w:szCs w:val="20"/>
        </w:rPr>
      </w:pPr>
    </w:p>
    <w:p w:rsidR="00B35199">
      <w:pPr>
        <w:autoSpaceDE/>
        <w:autoSpaceDN/>
        <w:bidi w:val="0"/>
        <w:rPr>
          <w:rFonts w:ascii="Times New Roman" w:hAnsi="Times New Roman"/>
          <w:sz w:val="20"/>
          <w:szCs w:val="20"/>
        </w:rPr>
      </w:pPr>
    </w:p>
    <w:p w:rsidR="00B35199">
      <w:pPr>
        <w:autoSpaceDE/>
        <w:autoSpaceDN/>
        <w:bidi w:val="0"/>
        <w:rPr>
          <w:rFonts w:ascii="Times New Roman" w:hAnsi="Times New Roman"/>
          <w:sz w:val="20"/>
          <w:szCs w:val="20"/>
        </w:rPr>
      </w:pPr>
    </w:p>
    <w:p w:rsidR="00B35199">
      <w:pPr>
        <w:autoSpaceDE/>
        <w:autoSpaceDN/>
        <w:bidi w:val="0"/>
        <w:rPr>
          <w:rFonts w:ascii="Times New Roman" w:hAnsi="Times New Roman"/>
          <w:sz w:val="20"/>
          <w:szCs w:val="20"/>
        </w:rPr>
      </w:pPr>
    </w:p>
    <w:p w:rsidR="00B35199">
      <w:pPr>
        <w:autoSpaceDE/>
        <w:autoSpaceDN/>
        <w:bidi w:val="0"/>
        <w:rPr>
          <w:rFonts w:ascii="Times New Roman" w:hAnsi="Times New Roman"/>
          <w:sz w:val="20"/>
          <w:szCs w:val="20"/>
        </w:rPr>
      </w:pPr>
    </w:p>
    <w:p w:rsidR="00B35199">
      <w:pPr>
        <w:autoSpaceDE/>
        <w:autoSpaceDN/>
        <w:bidi w:val="0"/>
        <w:rPr>
          <w:rFonts w:ascii="Times New Roman" w:hAnsi="Times New Roman"/>
          <w:sz w:val="20"/>
          <w:szCs w:val="20"/>
        </w:rPr>
      </w:pPr>
    </w:p>
    <w:p w:rsidR="00B35199" w:rsidRPr="000B7EC1">
      <w:pPr>
        <w:autoSpaceDE/>
        <w:autoSpaceDN/>
        <w:bidi w:val="0"/>
        <w:rPr>
          <w:rFonts w:ascii="Times New Roman" w:hAnsi="Times New Roman"/>
          <w:sz w:val="20"/>
          <w:szCs w:val="20"/>
        </w:rPr>
      </w:pPr>
    </w:p>
    <w:p w:rsidR="008C54C3" w:rsidRPr="000B7EC1">
      <w:pPr>
        <w:autoSpaceDE/>
        <w:autoSpaceDN/>
        <w:bidi w:val="0"/>
        <w:rPr>
          <w:rFonts w:ascii="Times New Roman" w:hAnsi="Times New Roman"/>
          <w:sz w:val="20"/>
          <w:szCs w:val="20"/>
        </w:rPr>
      </w:pPr>
      <w:r w:rsidRPr="000B7EC1">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0B7EC1">
            <w:pPr>
              <w:pStyle w:val="Normlny"/>
              <w:autoSpaceDE/>
              <w:autoSpaceDN/>
              <w:bidi w:val="0"/>
              <w:spacing w:after="60" w:line="240" w:lineRule="auto"/>
              <w:rPr>
                <w:rFonts w:ascii="Times New Roman" w:hAnsi="Times New Roman"/>
                <w:lang w:eastAsia="sk-SK"/>
              </w:rPr>
            </w:pPr>
            <w:r w:rsidRPr="000B7EC1">
              <w:rPr>
                <w:rFonts w:ascii="Times New Roman" w:hAnsi="Times New Roman"/>
                <w:lang w:eastAsia="sk-SK"/>
              </w:rPr>
              <w:t>V stĺpci (1):</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Č – článok</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O – odsek</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V – veta</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 xml:space="preserve">P – </w:t>
            </w:r>
            <w:r w:rsidRPr="000B7EC1" w:rsidR="00DA0F6C">
              <w:rPr>
                <w:rFonts w:ascii="Times New Roman" w:hAnsi="Times New Roman"/>
                <w:sz w:val="20"/>
                <w:szCs w:val="20"/>
              </w:rPr>
              <w:t>číslo</w:t>
            </w:r>
            <w:r w:rsidRPr="000B7EC1">
              <w:rPr>
                <w:rFonts w:ascii="Times New Roman" w:hAnsi="Times New Roman"/>
                <w:sz w:val="20"/>
                <w:szCs w:val="20"/>
              </w:rPr>
              <w:t xml:space="preserve"> (</w:t>
            </w:r>
            <w:r w:rsidRPr="000B7EC1" w:rsidR="00DA0F6C">
              <w:rPr>
                <w:rFonts w:ascii="Times New Roman" w:hAnsi="Times New Roman"/>
                <w:sz w:val="20"/>
                <w:szCs w:val="20"/>
              </w:rPr>
              <w:t>písmeno</w:t>
            </w:r>
            <w:r w:rsidRPr="000B7EC1">
              <w:rPr>
                <w:rFonts w:ascii="Times New Roman" w:hAnsi="Times New Roman"/>
                <w:sz w:val="20"/>
                <w:szCs w:val="20"/>
              </w:rPr>
              <w:t>)</w:t>
            </w:r>
          </w:p>
          <w:p w:rsidR="008C54C3" w:rsidRPr="000B7EC1">
            <w:pPr>
              <w:autoSpaceDE/>
              <w:autoSpaceDN/>
              <w:bidi w:val="0"/>
              <w:spacing w:after="0" w:line="240" w:lineRule="auto"/>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0B7EC1">
            <w:pPr>
              <w:pStyle w:val="Normlny"/>
              <w:autoSpaceDE/>
              <w:autoSpaceDN/>
              <w:bidi w:val="0"/>
              <w:spacing w:after="60" w:line="240" w:lineRule="auto"/>
              <w:rPr>
                <w:rFonts w:ascii="Times New Roman" w:hAnsi="Times New Roman"/>
                <w:lang w:eastAsia="sk-SK"/>
              </w:rPr>
            </w:pPr>
            <w:r w:rsidRPr="000B7EC1">
              <w:rPr>
                <w:rFonts w:ascii="Times New Roman" w:hAnsi="Times New Roman"/>
                <w:lang w:eastAsia="sk-SK"/>
              </w:rPr>
              <w:t>V stĺpci (3):</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N – bežná transpozícia</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O – transpozícia s možnosťou voľby</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D – transpozícia podľa úvahy (dobrovoľná)</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8C54C3" w:rsidRPr="000B7EC1">
            <w:pPr>
              <w:pStyle w:val="Normlny"/>
              <w:autoSpaceDE/>
              <w:autoSpaceDN/>
              <w:bidi w:val="0"/>
              <w:spacing w:after="60" w:line="240" w:lineRule="auto"/>
              <w:rPr>
                <w:rFonts w:ascii="Times New Roman" w:hAnsi="Times New Roman"/>
                <w:lang w:eastAsia="sk-SK"/>
              </w:rPr>
            </w:pPr>
            <w:r w:rsidRPr="000B7EC1">
              <w:rPr>
                <w:rFonts w:ascii="Times New Roman" w:hAnsi="Times New Roman"/>
                <w:lang w:eastAsia="sk-SK"/>
              </w:rPr>
              <w:t>V stĺpci (5):</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Č – článok</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 – paragraf</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O – odsek</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V – veta</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8C54C3" w:rsidRPr="000B7EC1">
            <w:pPr>
              <w:pStyle w:val="Normlny"/>
              <w:autoSpaceDE/>
              <w:autoSpaceDN/>
              <w:bidi w:val="0"/>
              <w:spacing w:after="60" w:line="240" w:lineRule="auto"/>
              <w:rPr>
                <w:rFonts w:ascii="Times New Roman" w:hAnsi="Times New Roman"/>
                <w:lang w:eastAsia="sk-SK"/>
              </w:rPr>
            </w:pPr>
            <w:r w:rsidRPr="000B7EC1">
              <w:rPr>
                <w:rFonts w:ascii="Times New Roman" w:hAnsi="Times New Roman"/>
                <w:lang w:eastAsia="sk-SK"/>
              </w:rPr>
              <w:t>V stĺpci (7):</w:t>
            </w:r>
          </w:p>
          <w:p w:rsidR="008C54C3" w:rsidRPr="000B7EC1" w:rsidP="008C54C3">
            <w:pPr>
              <w:autoSpaceDE/>
              <w:autoSpaceDN/>
              <w:bidi w:val="0"/>
              <w:spacing w:after="0" w:line="240" w:lineRule="auto"/>
              <w:ind w:left="290" w:hanging="290"/>
              <w:rPr>
                <w:rFonts w:ascii="Times New Roman" w:hAnsi="Times New Roman"/>
                <w:sz w:val="20"/>
                <w:szCs w:val="20"/>
              </w:rPr>
            </w:pPr>
            <w:r w:rsidRPr="000B7EC1">
              <w:rPr>
                <w:rFonts w:ascii="Times New Roman" w:hAnsi="Times New Roman"/>
                <w:sz w:val="20"/>
                <w:szCs w:val="20"/>
              </w:rPr>
              <w:t>Ú – úplná zhoda (ak bolo ustanovenie smernice prebraté v celom rozsahu, správne, v príslušnej form</w:t>
            </w:r>
            <w:r w:rsidRPr="000B7EC1" w:rsidR="00391DC5">
              <w:rPr>
                <w:rFonts w:ascii="Times New Roman" w:hAnsi="Times New Roman"/>
                <w:sz w:val="20"/>
                <w:szCs w:val="20"/>
              </w:rPr>
              <w:t>e</w:t>
            </w:r>
            <w:r w:rsidRPr="000B7EC1">
              <w:rPr>
                <w:rFonts w:ascii="Times New Roman" w:hAnsi="Times New Roman"/>
                <w:sz w:val="20"/>
                <w:szCs w:val="20"/>
              </w:rPr>
              <w:t>, so zabezpečenou inštitucionálnou</w:t>
            </w:r>
            <w:r w:rsidRPr="000B7EC1" w:rsidR="000C2E53">
              <w:rPr>
                <w:rFonts w:ascii="Times New Roman" w:hAnsi="Times New Roman"/>
                <w:sz w:val="20"/>
                <w:szCs w:val="20"/>
              </w:rPr>
              <w:t xml:space="preserve"> </w:t>
            </w:r>
            <w:r w:rsidRPr="000B7EC1">
              <w:rPr>
                <w:rFonts w:ascii="Times New Roman" w:hAnsi="Times New Roman"/>
                <w:sz w:val="20"/>
                <w:szCs w:val="20"/>
              </w:rPr>
              <w:t xml:space="preserve"> </w:t>
            </w:r>
            <w:r w:rsidRPr="000B7EC1" w:rsidR="000C2E53">
              <w:rPr>
                <w:rFonts w:ascii="Times New Roman" w:hAnsi="Times New Roman"/>
                <w:sz w:val="20"/>
                <w:szCs w:val="20"/>
              </w:rPr>
              <w:t>i</w:t>
            </w:r>
            <w:r w:rsidRPr="000B7EC1">
              <w:rPr>
                <w:rFonts w:ascii="Times New Roman" w:hAnsi="Times New Roman"/>
                <w:sz w:val="20"/>
                <w:szCs w:val="20"/>
              </w:rPr>
              <w:t>nfraštruktúrou, s príslušnými sankciami a vo vzájomnej súvislosti)</w:t>
            </w:r>
          </w:p>
          <w:p w:rsidR="008C54C3" w:rsidRPr="000B7EC1">
            <w:pPr>
              <w:autoSpaceDE/>
              <w:autoSpaceDN/>
              <w:bidi w:val="0"/>
              <w:spacing w:after="0" w:line="240" w:lineRule="auto"/>
              <w:rPr>
                <w:rFonts w:ascii="Times New Roman" w:hAnsi="Times New Roman"/>
                <w:sz w:val="20"/>
                <w:szCs w:val="20"/>
              </w:rPr>
            </w:pPr>
            <w:r w:rsidRPr="000B7EC1">
              <w:rPr>
                <w:rFonts w:ascii="Times New Roman" w:hAnsi="Times New Roman"/>
                <w:sz w:val="20"/>
                <w:szCs w:val="20"/>
              </w:rPr>
              <w:t>Č – čiastočná zhoda (ak minimálne jedna z podmienok úplnej zhody nie je splnená)</w:t>
            </w:r>
          </w:p>
          <w:p w:rsidR="008C54C3" w:rsidRPr="000B7EC1">
            <w:pPr>
              <w:pStyle w:val="BodyTextIndent2"/>
              <w:bidi w:val="0"/>
              <w:spacing w:after="0" w:line="240" w:lineRule="auto"/>
              <w:rPr>
                <w:rFonts w:ascii="Times New Roman" w:hAnsi="Times New Roman"/>
              </w:rPr>
            </w:pPr>
            <w:r w:rsidRPr="000B7EC1">
              <w:rPr>
                <w:rFonts w:ascii="Times New Roman" w:hAnsi="Times New Roman"/>
              </w:rPr>
              <w:t>Ž – žiadna zhoda (ak nebola dosiahnutá ani úplná ani čiast. zhoda alebo k prebratiu dôjde v budúcnosti)</w:t>
            </w:r>
          </w:p>
          <w:p w:rsidR="008C54C3" w:rsidRPr="000B7EC1">
            <w:pPr>
              <w:autoSpaceDE/>
              <w:autoSpaceDN/>
              <w:bidi w:val="0"/>
              <w:spacing w:after="0" w:line="240" w:lineRule="auto"/>
              <w:ind w:left="290" w:hanging="290"/>
              <w:rPr>
                <w:rFonts w:ascii="Times New Roman" w:hAnsi="Times New Roman"/>
                <w:sz w:val="20"/>
                <w:szCs w:val="20"/>
              </w:rPr>
            </w:pPr>
            <w:r w:rsidRPr="000B7EC1">
              <w:rPr>
                <w:rFonts w:ascii="Times New Roman" w:hAnsi="Times New Roman"/>
                <w:sz w:val="20"/>
                <w:szCs w:val="20"/>
              </w:rPr>
              <w:t>n.a. – neaplikovateľnosť (ak sa ustanovenie smernice netýka SR alebo nie je potrebné ho prebrať)</w:t>
            </w:r>
          </w:p>
        </w:tc>
      </w:tr>
    </w:tbl>
    <w:p w:rsidR="00C1629E" w:rsidRPr="000B7EC1">
      <w:pPr>
        <w:pStyle w:val="Header"/>
        <w:tabs>
          <w:tab w:val="clear" w:pos="4536"/>
          <w:tab w:val="clear" w:pos="9072"/>
        </w:tabs>
        <w:autoSpaceDE/>
        <w:autoSpaceDN/>
        <w:bidi w:val="0"/>
        <w:rPr>
          <w:rFonts w:ascii="Arial Narrow" w:hAnsi="Arial Narrow"/>
          <w:sz w:val="20"/>
          <w:szCs w:val="20"/>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auto"/>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74557">
      <w:rPr>
        <w:rStyle w:val="PageNumber"/>
        <w:rFonts w:ascii="Times New Roman" w:hAnsi="Times New Roman"/>
        <w:noProof/>
      </w:rPr>
      <w:t>1</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1ECE009B"/>
    <w:multiLevelType w:val="hybridMultilevel"/>
    <w:tmpl w:val="34C832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FC1A81"/>
    <w:multiLevelType w:val="hybridMultilevel"/>
    <w:tmpl w:val="4AD653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9">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10DB1"/>
    <w:rsid w:val="000B0D24"/>
    <w:rsid w:val="000B367A"/>
    <w:rsid w:val="000B74C9"/>
    <w:rsid w:val="000B7EC1"/>
    <w:rsid w:val="000C2E53"/>
    <w:rsid w:val="000E6500"/>
    <w:rsid w:val="00114F79"/>
    <w:rsid w:val="00127033"/>
    <w:rsid w:val="00132C27"/>
    <w:rsid w:val="00153B33"/>
    <w:rsid w:val="00187269"/>
    <w:rsid w:val="00217BF4"/>
    <w:rsid w:val="00222218"/>
    <w:rsid w:val="0023019A"/>
    <w:rsid w:val="00234ECE"/>
    <w:rsid w:val="00254C91"/>
    <w:rsid w:val="00270E65"/>
    <w:rsid w:val="00290FE4"/>
    <w:rsid w:val="002929E6"/>
    <w:rsid w:val="002C3BFF"/>
    <w:rsid w:val="002E1D16"/>
    <w:rsid w:val="00320F8B"/>
    <w:rsid w:val="003726D7"/>
    <w:rsid w:val="00391DC5"/>
    <w:rsid w:val="003E7B78"/>
    <w:rsid w:val="004100AD"/>
    <w:rsid w:val="00424270"/>
    <w:rsid w:val="00440A2A"/>
    <w:rsid w:val="00454E9E"/>
    <w:rsid w:val="00455EAC"/>
    <w:rsid w:val="004577EC"/>
    <w:rsid w:val="0047033F"/>
    <w:rsid w:val="00474557"/>
    <w:rsid w:val="004B7485"/>
    <w:rsid w:val="005170A9"/>
    <w:rsid w:val="00543686"/>
    <w:rsid w:val="005660F3"/>
    <w:rsid w:val="005820FA"/>
    <w:rsid w:val="005947B8"/>
    <w:rsid w:val="005B48F1"/>
    <w:rsid w:val="005E147F"/>
    <w:rsid w:val="005F794A"/>
    <w:rsid w:val="00613EDD"/>
    <w:rsid w:val="00637CEE"/>
    <w:rsid w:val="0064397E"/>
    <w:rsid w:val="00683A6B"/>
    <w:rsid w:val="006973D2"/>
    <w:rsid w:val="006E689D"/>
    <w:rsid w:val="00753AC5"/>
    <w:rsid w:val="00776E40"/>
    <w:rsid w:val="007808BD"/>
    <w:rsid w:val="0078287E"/>
    <w:rsid w:val="007926C4"/>
    <w:rsid w:val="00813A0B"/>
    <w:rsid w:val="00843076"/>
    <w:rsid w:val="008A0113"/>
    <w:rsid w:val="008A5161"/>
    <w:rsid w:val="008B1E7E"/>
    <w:rsid w:val="008C54C3"/>
    <w:rsid w:val="0091636B"/>
    <w:rsid w:val="00917791"/>
    <w:rsid w:val="009612CE"/>
    <w:rsid w:val="009826E3"/>
    <w:rsid w:val="00A47734"/>
    <w:rsid w:val="00A57A73"/>
    <w:rsid w:val="00A7777F"/>
    <w:rsid w:val="00A873EF"/>
    <w:rsid w:val="00A9063F"/>
    <w:rsid w:val="00A91B17"/>
    <w:rsid w:val="00AF2A0A"/>
    <w:rsid w:val="00B35199"/>
    <w:rsid w:val="00B5273D"/>
    <w:rsid w:val="00B64B09"/>
    <w:rsid w:val="00BC2487"/>
    <w:rsid w:val="00BC5446"/>
    <w:rsid w:val="00C031A5"/>
    <w:rsid w:val="00C139A5"/>
    <w:rsid w:val="00C1629E"/>
    <w:rsid w:val="00C2077D"/>
    <w:rsid w:val="00C21CEF"/>
    <w:rsid w:val="00C34EF5"/>
    <w:rsid w:val="00C55032"/>
    <w:rsid w:val="00C60AF2"/>
    <w:rsid w:val="00CB2E5D"/>
    <w:rsid w:val="00D05C7E"/>
    <w:rsid w:val="00D133CF"/>
    <w:rsid w:val="00D22A7B"/>
    <w:rsid w:val="00D2304E"/>
    <w:rsid w:val="00D475E4"/>
    <w:rsid w:val="00DA0E34"/>
    <w:rsid w:val="00DA0F6C"/>
    <w:rsid w:val="00DE0F85"/>
    <w:rsid w:val="00EB0C5E"/>
    <w:rsid w:val="00ED1762"/>
    <w:rsid w:val="00EE7DD6"/>
    <w:rsid w:val="00F047A8"/>
    <w:rsid w:val="00F4080C"/>
    <w:rsid w:val="00F624FC"/>
    <w:rsid w:val="00F9000D"/>
    <w:rsid w:val="00FC69A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character" w:styleId="Hyperlink">
    <w:name w:val="Hyperlink"/>
    <w:basedOn w:val="DefaultParagraphFont"/>
    <w:uiPriority w:val="99"/>
    <w:unhideWhenUsed/>
    <w:rsid w:val="00C60AF2"/>
    <w:rPr>
      <w:rFonts w:cs="Times New Roman"/>
      <w:color w:val="0000FF" w:themeColor="hlink" w:themeShade="FF"/>
      <w:u w:val="single"/>
      <w:rtl w:val="0"/>
      <w:cs w:val="0"/>
    </w:rPr>
  </w:style>
  <w:style w:type="character" w:styleId="Emphasis">
    <w:name w:val="Emphasis"/>
    <w:basedOn w:val="DefaultParagraphFont"/>
    <w:uiPriority w:val="99"/>
    <w:qFormat/>
    <w:rsid w:val="00C2077D"/>
    <w:rPr>
      <w:rFonts w:cs="Times New Roman"/>
      <w:i/>
      <w:rtl w:val="0"/>
      <w:cs w:val="0"/>
    </w:rPr>
  </w:style>
  <w:style w:type="paragraph" w:customStyle="1" w:styleId="Textkoncovejpoznmky">
    <w:name w:val="Text koncovej poznámky"/>
    <w:basedOn w:val="Normal"/>
    <w:link w:val="TextkoncovejpoznmkyChar"/>
    <w:uiPriority w:val="99"/>
    <w:semiHidden/>
    <w:unhideWhenUsed/>
    <w:rsid w:val="002C3BFF"/>
    <w:pPr>
      <w:autoSpaceDE/>
      <w:autoSpaceDN/>
      <w:spacing w:after="200" w:line="276" w:lineRule="auto"/>
      <w:jc w:val="left"/>
    </w:pPr>
    <w:rPr>
      <w:rFonts w:ascii="Calibri" w:hAnsi="Calibri"/>
      <w:sz w:val="20"/>
      <w:szCs w:val="20"/>
      <w:lang w:eastAsia="en-US"/>
    </w:rPr>
  </w:style>
  <w:style w:type="character" w:customStyle="1" w:styleId="TextkoncovejpoznmkyChar">
    <w:name w:val="Text koncovej poznámky Char"/>
    <w:link w:val="Textkoncovejpoznmky"/>
    <w:uiPriority w:val="99"/>
    <w:semiHidden/>
    <w:locked/>
    <w:rsid w:val="002C3BFF"/>
    <w:rPr>
      <w:rFonts w:ascii="Calibri" w:hAnsi="Calibri" w:cs="Calibri"/>
      <w:sz w:val="20"/>
      <w:lang w:val="x-none" w:eastAsia="en-US"/>
    </w:rPr>
  </w:style>
  <w:style w:type="paragraph" w:styleId="BalloonText">
    <w:name w:val="Balloon Text"/>
    <w:basedOn w:val="Normal"/>
    <w:link w:val="TextbublinyChar"/>
    <w:uiPriority w:val="99"/>
    <w:semiHidden/>
    <w:unhideWhenUsed/>
    <w:rsid w:val="00474557"/>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74557"/>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ur-lex.europa.eu/legal-content/SK/AUTO/?uri=celex:32006L0112"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3245</Words>
  <Characters>18497</Characters>
  <Application>Microsoft Office Word</Application>
  <DocSecurity>0</DocSecurity>
  <Lines>0</Lines>
  <Paragraphs>0</Paragraphs>
  <ScaleCrop>false</ScaleCrop>
  <Company>ÚV SR</Company>
  <LinksUpToDate>false</LinksUpToDate>
  <CharactersWithSpaces>21699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Rybansky Ludovit</cp:lastModifiedBy>
  <cp:revision>2</cp:revision>
  <cp:lastPrinted>2015-05-27T09:38:00Z</cp:lastPrinted>
  <dcterms:created xsi:type="dcterms:W3CDTF">2015-05-27T09:39:00Z</dcterms:created>
  <dcterms:modified xsi:type="dcterms:W3CDTF">2015-05-27T09:39:00Z</dcterms:modified>
</cp:coreProperties>
</file>