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P="00445701">
      <w:pPr>
        <w:widowControl/>
        <w:bidi w:val="0"/>
        <w:jc w:val="center"/>
        <w:rPr>
          <w:rFonts w:ascii="Times New Roman" w:hAnsi="Times New Roman"/>
          <w:b/>
          <w:caps/>
          <w:spacing w:val="30"/>
        </w:rPr>
      </w:pPr>
      <w:r w:rsidRPr="008C6097" w:rsidR="00445701">
        <w:rPr>
          <w:rFonts w:ascii="Times New Roman" w:hAnsi="Times New Roman"/>
          <w:b/>
          <w:caps/>
          <w:spacing w:val="30"/>
        </w:rPr>
        <w:t>Dôvodová správa</w:t>
      </w:r>
    </w:p>
    <w:p w:rsidR="00C47CFF" w:rsidP="00445701">
      <w:pPr>
        <w:widowControl/>
        <w:bidi w:val="0"/>
        <w:jc w:val="center"/>
        <w:rPr>
          <w:rFonts w:ascii="Times New Roman" w:hAnsi="Times New Roman"/>
          <w:b/>
          <w:caps/>
          <w:spacing w:val="30"/>
        </w:rPr>
      </w:pPr>
    </w:p>
    <w:p w:rsidR="000E01F0" w:rsidP="001D67BD">
      <w:pPr>
        <w:pStyle w:val="ListParagraph"/>
        <w:widowControl/>
        <w:numPr>
          <w:numId w:val="1"/>
        </w:numPr>
        <w:bidi w:val="0"/>
        <w:spacing w:before="120"/>
        <w:ind w:left="426"/>
        <w:jc w:val="both"/>
        <w:rPr>
          <w:rFonts w:ascii="Times New Roman" w:hAnsi="Times New Roman"/>
          <w:b/>
        </w:rPr>
      </w:pPr>
      <w:r w:rsidRPr="008C6097" w:rsidR="008B25A6">
        <w:rPr>
          <w:rFonts w:ascii="Times New Roman" w:hAnsi="Times New Roman"/>
          <w:b/>
        </w:rPr>
        <w:t>Všeobecná časť</w:t>
      </w:r>
    </w:p>
    <w:p w:rsidR="00AC4261" w:rsidRPr="008C6097" w:rsidP="00AC4261">
      <w:pPr>
        <w:pStyle w:val="BodyText"/>
        <w:tabs>
          <w:tab w:val="left" w:pos="360"/>
        </w:tabs>
        <w:bidi w:val="0"/>
        <w:spacing w:before="120" w:line="240" w:lineRule="auto"/>
        <w:ind w:firstLine="709"/>
        <w:jc w:val="both"/>
        <w:rPr>
          <w:rFonts w:ascii="Times New Roman" w:hAnsi="Times New Roman"/>
          <w:sz w:val="24"/>
          <w:szCs w:val="24"/>
        </w:rPr>
      </w:pPr>
      <w:r w:rsidRPr="008C6097">
        <w:rPr>
          <w:rFonts w:ascii="Times New Roman" w:hAnsi="Times New Roman"/>
          <w:sz w:val="24"/>
          <w:szCs w:val="24"/>
        </w:rPr>
        <w:t xml:space="preserve">Návrh zákona, ktorým sa mení a dopĺňa zákon č. 443/2010 Z.  z. o dotáciách na rozvoj bývania a o sociálnom bývaní v znení zákona č. 134/2013 Z. z. je predkladaný v súlade s Plánom legislatívnych úloh vlády SR na rok 2015. </w:t>
      </w:r>
    </w:p>
    <w:p w:rsidR="00AC4261" w:rsidRPr="008C6097" w:rsidP="00AC4261">
      <w:pPr>
        <w:pStyle w:val="BodyText"/>
        <w:tabs>
          <w:tab w:val="left" w:pos="360"/>
        </w:tabs>
        <w:bidi w:val="0"/>
        <w:spacing w:before="120" w:line="240" w:lineRule="auto"/>
        <w:ind w:firstLine="709"/>
        <w:jc w:val="both"/>
        <w:rPr>
          <w:rFonts w:ascii="Times New Roman" w:hAnsi="Times New Roman"/>
          <w:sz w:val="24"/>
          <w:szCs w:val="24"/>
        </w:rPr>
      </w:pPr>
      <w:r w:rsidRPr="008C6097">
        <w:rPr>
          <w:rFonts w:ascii="Times New Roman" w:hAnsi="Times New Roman"/>
          <w:sz w:val="24"/>
          <w:szCs w:val="24"/>
        </w:rPr>
        <w:t xml:space="preserve">Vypracovanie návrhu zákona, ktorým sa mení a dopĺňa zákon č. 443/2010 Z.  z. o dotáciách na rozvoj bývania a o sociálnom bývaní v znení zákona č. 134/2013 Z. z. vyplýva z potreby stanovenia nových a spresňujúcich podmienok pri poskytovaní dotácií a z požiadaviek vyvolaných aplikáciou platného znenia zákona v praxi. </w:t>
      </w:r>
    </w:p>
    <w:p w:rsidR="00DD447F" w:rsidRPr="008C6097" w:rsidP="00B236F9">
      <w:pPr>
        <w:pStyle w:val="BodyText"/>
        <w:tabs>
          <w:tab w:val="left" w:pos="360"/>
        </w:tabs>
        <w:bidi w:val="0"/>
        <w:spacing w:line="240" w:lineRule="auto"/>
        <w:ind w:firstLine="709"/>
        <w:jc w:val="both"/>
        <w:rPr>
          <w:rFonts w:ascii="Times New Roman" w:hAnsi="Times New Roman"/>
          <w:sz w:val="24"/>
          <w:szCs w:val="24"/>
        </w:rPr>
      </w:pPr>
      <w:r w:rsidRPr="008C6097" w:rsidR="000E01F0">
        <w:rPr>
          <w:rFonts w:ascii="Times New Roman" w:hAnsi="Times New Roman"/>
          <w:sz w:val="24"/>
          <w:szCs w:val="24"/>
        </w:rPr>
        <w:t>Zákon č. 443/2010 Z. z. o dotáciách na rozvoj bývania a o soc</w:t>
      </w:r>
      <w:r w:rsidRPr="008C6097" w:rsidR="00445701">
        <w:rPr>
          <w:rFonts w:ascii="Times New Roman" w:hAnsi="Times New Roman"/>
          <w:sz w:val="24"/>
          <w:szCs w:val="24"/>
        </w:rPr>
        <w:t>iálnom bývaní v znení zákona č. </w:t>
      </w:r>
      <w:r w:rsidRPr="008C6097" w:rsidR="000E01F0">
        <w:rPr>
          <w:rFonts w:ascii="Times New Roman" w:hAnsi="Times New Roman"/>
          <w:sz w:val="24"/>
          <w:szCs w:val="24"/>
        </w:rPr>
        <w:t xml:space="preserve">134/2013 Z. z. je zákonom, ktorý </w:t>
      </w:r>
      <w:r w:rsidRPr="008C6097" w:rsidR="00445701">
        <w:rPr>
          <w:rFonts w:ascii="Times New Roman" w:hAnsi="Times New Roman"/>
          <w:sz w:val="24"/>
          <w:szCs w:val="24"/>
        </w:rPr>
        <w:t xml:space="preserve">vymedzuje  rozsah, podmienky </w:t>
      </w:r>
      <w:r w:rsidRPr="008C6097" w:rsidR="00E5383F">
        <w:rPr>
          <w:rFonts w:ascii="Times New Roman" w:hAnsi="Times New Roman"/>
          <w:sz w:val="24"/>
          <w:szCs w:val="24"/>
        </w:rPr>
        <w:t xml:space="preserve">a spôsob </w:t>
      </w:r>
      <w:r w:rsidRPr="008C6097" w:rsidR="000E01F0">
        <w:rPr>
          <w:rFonts w:ascii="Times New Roman" w:hAnsi="Times New Roman"/>
          <w:sz w:val="24"/>
          <w:szCs w:val="24"/>
        </w:rPr>
        <w:t>poskytovania dotácií na obstarávanie nájomných bytov, technickej vybavenosti k nájomným bytov a odstraňovanie systémových porúch bytových domov. Návrh zákona, k</w:t>
      </w:r>
      <w:r w:rsidRPr="008C6097" w:rsidR="00445701">
        <w:rPr>
          <w:rFonts w:ascii="Times New Roman" w:hAnsi="Times New Roman"/>
          <w:sz w:val="24"/>
          <w:szCs w:val="24"/>
        </w:rPr>
        <w:t>torým sa mení a dopĺňa zákon č. 443/2010 Z. </w:t>
      </w:r>
      <w:r w:rsidRPr="008C6097" w:rsidR="000E01F0">
        <w:rPr>
          <w:rFonts w:ascii="Times New Roman" w:hAnsi="Times New Roman"/>
          <w:sz w:val="24"/>
          <w:szCs w:val="24"/>
        </w:rPr>
        <w:t>z. o dotáciách na rozvoj bývania a o soc</w:t>
      </w:r>
      <w:r w:rsidRPr="008C6097" w:rsidR="00445701">
        <w:rPr>
          <w:rFonts w:ascii="Times New Roman" w:hAnsi="Times New Roman"/>
          <w:sz w:val="24"/>
          <w:szCs w:val="24"/>
        </w:rPr>
        <w:t>iálnom bývaní v znení zákona č. </w:t>
      </w:r>
      <w:r w:rsidRPr="008C6097" w:rsidR="000E01F0">
        <w:rPr>
          <w:rFonts w:ascii="Times New Roman" w:hAnsi="Times New Roman"/>
          <w:sz w:val="24"/>
          <w:szCs w:val="24"/>
        </w:rPr>
        <w:t>134/20</w:t>
      </w:r>
      <w:r w:rsidRPr="008C6097" w:rsidR="00445701">
        <w:rPr>
          <w:rFonts w:ascii="Times New Roman" w:hAnsi="Times New Roman"/>
          <w:sz w:val="24"/>
          <w:szCs w:val="24"/>
        </w:rPr>
        <w:t>13 Z. </w:t>
      </w:r>
      <w:r w:rsidRPr="008C6097" w:rsidR="000E01F0">
        <w:rPr>
          <w:rFonts w:ascii="Times New Roman" w:hAnsi="Times New Roman"/>
          <w:sz w:val="24"/>
          <w:szCs w:val="24"/>
        </w:rPr>
        <w:t xml:space="preserve">z. súvisí </w:t>
      </w:r>
      <w:r w:rsidRPr="008C6097" w:rsidR="006F6E44">
        <w:rPr>
          <w:rFonts w:ascii="Times New Roman" w:hAnsi="Times New Roman"/>
          <w:sz w:val="24"/>
          <w:szCs w:val="24"/>
        </w:rPr>
        <w:t>s doplnením nového účelu, na ktorý je možné poskytnúť dotáci</w:t>
      </w:r>
      <w:r w:rsidRPr="008C6097" w:rsidR="00B236F9">
        <w:rPr>
          <w:rFonts w:ascii="Times New Roman" w:hAnsi="Times New Roman"/>
          <w:sz w:val="24"/>
          <w:szCs w:val="24"/>
        </w:rPr>
        <w:t xml:space="preserve">u na obstaranie nájomného bytu. </w:t>
      </w:r>
      <w:r w:rsidRPr="008C6097">
        <w:rPr>
          <w:rFonts w:ascii="Times New Roman" w:hAnsi="Times New Roman"/>
          <w:sz w:val="24"/>
          <w:szCs w:val="24"/>
        </w:rPr>
        <w:t xml:space="preserve">Zároveň sa stanovuje definícia  kúpy nájomného bytu, ako aj doplnenie a spresnenie podmienok poskytnutia dotácie pri kúpe nájomných bytov. Súčasne sa navrhuje aj úprava niektorých ustanovení zákona vzťahujúcich sa k obstarávaniu nájomných bytov, potreba ktorej vyplynula s doterajšej praxe pri aplikácii tohto zákona.   </w:t>
      </w:r>
    </w:p>
    <w:p w:rsidR="00445701" w:rsidRPr="008C6097" w:rsidP="006B06B7">
      <w:pPr>
        <w:widowControl/>
        <w:bidi w:val="0"/>
        <w:spacing w:before="120"/>
        <w:ind w:firstLine="708"/>
        <w:jc w:val="both"/>
        <w:rPr>
          <w:rStyle w:val="PlaceholderText"/>
          <w:color w:val="auto"/>
        </w:rPr>
      </w:pPr>
      <w:r w:rsidRPr="008C6097" w:rsidR="001D40B9">
        <w:rPr>
          <w:rStyle w:val="PlaceholderText"/>
          <w:color w:val="auto"/>
        </w:rPr>
        <w:t>Predloženým návrhom nevzniknú nové požiadavky na štátny rozpočet, nakoľko ide o finančné prostriedky rozpočtované v rámci existuj</w:t>
      </w:r>
      <w:r w:rsidRPr="008C6097" w:rsidR="00347769">
        <w:rPr>
          <w:rStyle w:val="PlaceholderText"/>
          <w:color w:val="auto"/>
        </w:rPr>
        <w:t xml:space="preserve">úceho programu rozvoja bývania. </w:t>
      </w:r>
    </w:p>
    <w:p w:rsidR="00445701" w:rsidRPr="008C6097" w:rsidP="006B06B7">
      <w:pPr>
        <w:widowControl/>
        <w:bidi w:val="0"/>
        <w:spacing w:before="120"/>
        <w:ind w:firstLine="708"/>
        <w:jc w:val="both"/>
        <w:rPr>
          <w:rStyle w:val="PlaceholderText"/>
          <w:color w:val="auto"/>
        </w:rPr>
      </w:pPr>
      <w:r w:rsidRPr="008C6097" w:rsidR="001D40B9">
        <w:rPr>
          <w:rStyle w:val="PlaceholderText"/>
          <w:color w:val="auto"/>
        </w:rPr>
        <w:t xml:space="preserve">Predložený návrh </w:t>
      </w:r>
      <w:r w:rsidRPr="008C6097" w:rsidR="006F6E44">
        <w:rPr>
          <w:rStyle w:val="PlaceholderText"/>
          <w:color w:val="auto"/>
        </w:rPr>
        <w:t xml:space="preserve">zákona </w:t>
      </w:r>
      <w:r w:rsidRPr="008C6097" w:rsidR="001D40B9">
        <w:rPr>
          <w:rStyle w:val="PlaceholderText"/>
          <w:color w:val="auto"/>
        </w:rPr>
        <w:t>nevyžaduje nové nároky na pracovné sily.</w:t>
      </w:r>
      <w:r w:rsidRPr="008C6097" w:rsidR="00347769">
        <w:rPr>
          <w:rStyle w:val="PlaceholderText"/>
          <w:color w:val="auto"/>
        </w:rPr>
        <w:t xml:space="preserve"> </w:t>
      </w:r>
    </w:p>
    <w:p w:rsidR="00933266" w:rsidP="00AE39BF">
      <w:pPr>
        <w:widowControl/>
        <w:bidi w:val="0"/>
        <w:spacing w:before="120"/>
        <w:ind w:firstLine="708"/>
        <w:jc w:val="both"/>
        <w:rPr>
          <w:rStyle w:val="PlaceholderText"/>
          <w:color w:val="auto"/>
        </w:rPr>
      </w:pPr>
      <w:r w:rsidRPr="008C6097" w:rsidR="001D40B9">
        <w:rPr>
          <w:rStyle w:val="PlaceholderText"/>
          <w:color w:val="auto"/>
        </w:rPr>
        <w:t xml:space="preserve">Návrh </w:t>
      </w:r>
      <w:r w:rsidRPr="008C6097" w:rsidR="006F6E44">
        <w:rPr>
          <w:rStyle w:val="PlaceholderText"/>
          <w:color w:val="auto"/>
        </w:rPr>
        <w:t xml:space="preserve">zákona </w:t>
      </w:r>
      <w:r w:rsidRPr="008C6097" w:rsidR="001D40B9">
        <w:rPr>
          <w:rStyle w:val="PlaceholderText"/>
          <w:color w:val="auto"/>
        </w:rPr>
        <w:t>je v súlade s </w:t>
      </w:r>
      <w:r w:rsidRPr="008C6097" w:rsidR="0075522A">
        <w:rPr>
          <w:rStyle w:val="PlaceholderText"/>
          <w:color w:val="auto"/>
        </w:rPr>
        <w:t>Ú</w:t>
      </w:r>
      <w:r w:rsidRPr="008C6097" w:rsidR="001D40B9">
        <w:rPr>
          <w:rStyle w:val="PlaceholderText"/>
          <w:color w:val="auto"/>
        </w:rPr>
        <w:t>stavou Slovenskej republiky, ostatnými všeobecne záväznými právnymi predpismi Slovenskej republiky, s medzinárodnými zmluvami a s právom Európskej únie.</w:t>
      </w:r>
    </w:p>
    <w:p w:rsidR="00E227AA" w:rsidP="00427E12">
      <w:pPr>
        <w:bidi w:val="0"/>
        <w:ind w:right="143"/>
        <w:jc w:val="center"/>
        <w:rPr>
          <w:rFonts w:ascii="Times New Roman" w:hAnsi="Times New Roman"/>
          <w:b/>
          <w:caps/>
          <w:spacing w:val="30"/>
        </w:rPr>
      </w:pPr>
    </w:p>
    <w:p w:rsidR="00E227AA" w:rsidP="00427E12">
      <w:pPr>
        <w:bidi w:val="0"/>
        <w:ind w:right="143"/>
        <w:jc w:val="center"/>
        <w:rPr>
          <w:rFonts w:ascii="Times New Roman" w:hAnsi="Times New Roman"/>
          <w:b/>
          <w:caps/>
          <w:spacing w:val="30"/>
        </w:rPr>
      </w:pPr>
    </w:p>
    <w:p w:rsidR="00427E12" w:rsidRPr="00934313" w:rsidP="00427E12">
      <w:pPr>
        <w:bidi w:val="0"/>
        <w:ind w:right="143"/>
        <w:jc w:val="center"/>
        <w:rPr>
          <w:rFonts w:ascii="Times New Roman" w:hAnsi="Times New Roman"/>
          <w:b/>
          <w:caps/>
          <w:spacing w:val="30"/>
        </w:rPr>
      </w:pPr>
      <w:r w:rsidRPr="00934313">
        <w:rPr>
          <w:rFonts w:ascii="Times New Roman" w:hAnsi="Times New Roman"/>
          <w:b/>
          <w:caps/>
          <w:spacing w:val="30"/>
        </w:rPr>
        <w:t>Doložka zlučiteľnosti</w:t>
      </w:r>
    </w:p>
    <w:p w:rsidR="00427E12" w:rsidRPr="00934313" w:rsidP="00427E12">
      <w:pPr>
        <w:bidi w:val="0"/>
        <w:ind w:right="143"/>
        <w:jc w:val="center"/>
        <w:rPr>
          <w:rFonts w:ascii="Times New Roman" w:hAnsi="Times New Roman"/>
          <w:b/>
        </w:rPr>
      </w:pPr>
      <w:r w:rsidRPr="00934313">
        <w:rPr>
          <w:rFonts w:ascii="Times New Roman" w:hAnsi="Times New Roman"/>
          <w:b/>
        </w:rPr>
        <w:t>právneho predpisu s právom Európskej únie </w:t>
      </w:r>
    </w:p>
    <w:p w:rsidR="00427E12" w:rsidRPr="00934313" w:rsidP="00427E12">
      <w:pPr>
        <w:bidi w:val="0"/>
        <w:ind w:right="143"/>
        <w:rPr>
          <w:rFonts w:ascii="Times New Roman" w:hAnsi="Times New Roman"/>
        </w:rPr>
      </w:pPr>
    </w:p>
    <w:p w:rsidR="00427E12" w:rsidRPr="007616CC" w:rsidP="00427E12">
      <w:pPr>
        <w:pStyle w:val="ListParagraph"/>
        <w:numPr>
          <w:numId w:val="2"/>
        </w:numPr>
        <w:autoSpaceDE w:val="0"/>
        <w:autoSpaceDN w:val="0"/>
        <w:bidi w:val="0"/>
        <w:ind w:left="360" w:right="143"/>
        <w:rPr>
          <w:rFonts w:ascii="Times New Roman" w:hAnsi="Times New Roman"/>
          <w:b/>
        </w:rPr>
      </w:pPr>
      <w:r w:rsidRPr="007616CC">
        <w:rPr>
          <w:rFonts w:ascii="Times New Roman" w:hAnsi="Times New Roman"/>
          <w:b/>
        </w:rPr>
        <w:t>Predkladateľ právneho predpisu:</w:t>
      </w:r>
      <w:r w:rsidRPr="007616CC">
        <w:rPr>
          <w:rFonts w:ascii="Times New Roman" w:hAnsi="Times New Roman"/>
        </w:rPr>
        <w:t xml:space="preserve"> </w:t>
      </w:r>
    </w:p>
    <w:p w:rsidR="00427E12" w:rsidRPr="00E23B3D" w:rsidP="00427E12">
      <w:pPr>
        <w:bidi w:val="0"/>
        <w:spacing w:before="120"/>
        <w:ind w:firstLine="360"/>
        <w:rPr>
          <w:rFonts w:ascii="Times New Roman" w:hAnsi="Times New Roman"/>
        </w:rPr>
      </w:pPr>
      <w:r w:rsidRPr="00E23B3D">
        <w:rPr>
          <w:rFonts w:ascii="Times New Roman" w:hAnsi="Times New Roman"/>
        </w:rPr>
        <w:t>Vláda Slovenskej republiky</w:t>
      </w:r>
    </w:p>
    <w:p w:rsidR="00427E12" w:rsidRPr="00934313" w:rsidP="00427E12">
      <w:pPr>
        <w:tabs>
          <w:tab w:val="left" w:pos="360"/>
        </w:tabs>
        <w:bidi w:val="0"/>
        <w:ind w:left="360" w:right="143"/>
        <w:rPr>
          <w:rFonts w:ascii="Times New Roman" w:hAnsi="Times New Roman"/>
        </w:rPr>
      </w:pPr>
      <w:r w:rsidRPr="00934313">
        <w:rPr>
          <w:rFonts w:ascii="Times New Roman" w:hAnsi="Times New Roman"/>
        </w:rPr>
        <w:t xml:space="preserve"> </w:t>
      </w:r>
    </w:p>
    <w:p w:rsidR="00427E12" w:rsidP="00427E12">
      <w:pPr>
        <w:bidi w:val="0"/>
        <w:ind w:left="360" w:right="143" w:hanging="360"/>
        <w:rPr>
          <w:rFonts w:ascii="Times New Roman" w:hAnsi="Times New Roman"/>
        </w:rPr>
      </w:pPr>
      <w:r w:rsidRPr="00934313">
        <w:rPr>
          <w:rFonts w:ascii="Times New Roman" w:hAnsi="Times New Roman"/>
          <w:b/>
        </w:rPr>
        <w:t>2.</w:t>
        <w:tab/>
      </w:r>
      <w:r>
        <w:rPr>
          <w:rFonts w:ascii="Times New Roman" w:hAnsi="Times New Roman"/>
          <w:b/>
        </w:rPr>
        <w:t xml:space="preserve"> </w:t>
      </w:r>
      <w:r w:rsidRPr="00934313">
        <w:rPr>
          <w:rFonts w:ascii="Times New Roman" w:hAnsi="Times New Roman"/>
          <w:b/>
        </w:rPr>
        <w:t>Názov návrhu právneho predpisu:</w:t>
      </w:r>
      <w:r w:rsidRPr="00934313">
        <w:rPr>
          <w:rFonts w:ascii="Times New Roman" w:hAnsi="Times New Roman"/>
        </w:rPr>
        <w:t xml:space="preserve"> </w:t>
      </w:r>
    </w:p>
    <w:p w:rsidR="00427E12" w:rsidRPr="00024F61" w:rsidP="0040540E">
      <w:pPr>
        <w:bidi w:val="0"/>
        <w:spacing w:before="240"/>
        <w:ind w:left="425"/>
        <w:jc w:val="both"/>
        <w:rPr>
          <w:rFonts w:ascii="Times New Roman" w:hAnsi="Times New Roman"/>
          <w:bCs/>
        </w:rPr>
      </w:pPr>
      <w:r w:rsidRPr="00024F61">
        <w:rPr>
          <w:rFonts w:ascii="Times New Roman" w:hAnsi="Times New Roman"/>
          <w:color w:val="000000"/>
        </w:rPr>
        <w:t>Zákon z</w:t>
      </w:r>
      <w:r w:rsidR="0064242C">
        <w:rPr>
          <w:rFonts w:ascii="Times New Roman" w:hAnsi="Times New Roman"/>
          <w:color w:val="000000"/>
        </w:rPr>
        <w:t xml:space="preserve"> </w:t>
      </w:r>
      <w:r w:rsidRPr="00024F61">
        <w:rPr>
          <w:rFonts w:ascii="Times New Roman" w:hAnsi="Times New Roman"/>
          <w:color w:val="000000"/>
        </w:rPr>
        <w:t>.........</w:t>
      </w:r>
      <w:r w:rsidR="0064242C">
        <w:rPr>
          <w:rFonts w:ascii="Times New Roman" w:hAnsi="Times New Roman"/>
          <w:color w:val="000000"/>
        </w:rPr>
        <w:t xml:space="preserve"> </w:t>
      </w:r>
      <w:r w:rsidRPr="00024F61">
        <w:rPr>
          <w:rFonts w:ascii="Times New Roman" w:hAnsi="Times New Roman"/>
          <w:color w:val="000000"/>
        </w:rPr>
        <w:t xml:space="preserve">2015, </w:t>
      </w:r>
      <w:r w:rsidRPr="00024F61">
        <w:rPr>
          <w:rFonts w:ascii="Times New Roman" w:hAnsi="Times New Roman"/>
          <w:bCs/>
        </w:rPr>
        <w:t>ktorým sa mení a dopĺňa zákon č. 443/2010 Z. z. o dotáciách na rozvoj bývania a o sociálnom bývaní v znení zákona č. 134/2013 Z. z.</w:t>
      </w:r>
    </w:p>
    <w:p w:rsidR="00427E12" w:rsidRPr="00934313" w:rsidP="00427E12">
      <w:pPr>
        <w:bidi w:val="0"/>
        <w:ind w:right="143"/>
        <w:rPr>
          <w:rFonts w:ascii="Times New Roman" w:hAnsi="Times New Roman"/>
        </w:rPr>
      </w:pPr>
    </w:p>
    <w:p w:rsidR="00427E12" w:rsidP="00427E12">
      <w:pPr>
        <w:bidi w:val="0"/>
        <w:ind w:left="360" w:right="143" w:hanging="360"/>
        <w:rPr>
          <w:rFonts w:ascii="Times New Roman" w:hAnsi="Times New Roman"/>
          <w:b/>
        </w:rPr>
      </w:pPr>
      <w:r>
        <w:rPr>
          <w:rFonts w:ascii="Times New Roman" w:hAnsi="Times New Roman"/>
          <w:b/>
        </w:rPr>
        <w:t>3.</w:t>
        <w:tab/>
        <w:t>Problematika návrhu právneho predpisu:</w:t>
      </w:r>
    </w:p>
    <w:p w:rsidR="00427E12" w:rsidP="00427E12">
      <w:pPr>
        <w:bidi w:val="0"/>
        <w:ind w:right="143" w:firstLine="360"/>
        <w:rPr>
          <w:rFonts w:ascii="Times New Roman" w:hAnsi="Times New Roman"/>
        </w:rPr>
      </w:pPr>
    </w:p>
    <w:p w:rsidR="00427E12" w:rsidP="00427E12">
      <w:pPr>
        <w:bidi w:val="0"/>
        <w:ind w:left="709" w:right="143" w:hanging="349"/>
        <w:rPr>
          <w:rFonts w:ascii="Times New Roman" w:hAnsi="Times New Roman"/>
        </w:rPr>
      </w:pPr>
      <w:r>
        <w:rPr>
          <w:rFonts w:ascii="Times New Roman" w:hAnsi="Times New Roman"/>
        </w:rPr>
        <w:t>a)</w:t>
        <w:tab/>
        <w:t>nie je upravená v práve Európskej únie</w:t>
      </w:r>
    </w:p>
    <w:p w:rsidR="00427E12" w:rsidP="00427E12">
      <w:pPr>
        <w:bidi w:val="0"/>
        <w:ind w:left="709" w:right="143" w:hanging="349"/>
        <w:rPr>
          <w:rFonts w:ascii="Times New Roman" w:hAnsi="Times New Roman"/>
        </w:rPr>
      </w:pPr>
      <w:r>
        <w:rPr>
          <w:rFonts w:ascii="Times New Roman" w:hAnsi="Times New Roman"/>
        </w:rPr>
        <w:t>b)</w:t>
        <w:tab/>
        <w:t>nie je obsiahnutá v judikatúre Súdneho dvora Európskej únie.</w:t>
      </w:r>
    </w:p>
    <w:p w:rsidR="00262BC4" w:rsidP="00340815">
      <w:pPr>
        <w:bidi w:val="0"/>
        <w:spacing w:before="240"/>
        <w:ind w:firstLine="357"/>
        <w:jc w:val="both"/>
        <w:rPr>
          <w:rFonts w:ascii="Times New Roman" w:hAnsi="Times New Roman"/>
        </w:rPr>
      </w:pPr>
      <w:r w:rsidRPr="00E23B3D" w:rsidR="00427E12">
        <w:rPr>
          <w:rFonts w:ascii="Times New Roman" w:hAnsi="Times New Roman"/>
        </w:rPr>
        <w:t>Vzhľadom na vnútroštátny charakter navrhovaného právneho predpisu je bezpredmetné vyjadrovať sa k bodom 4., 5. a 6. doložky zlučiteľnosti.</w:t>
      </w:r>
    </w:p>
    <w:p w:rsidR="00262BC4" w:rsidP="00427E12">
      <w:pPr>
        <w:bidi w:val="0"/>
        <w:ind w:right="143"/>
        <w:rPr>
          <w:rFonts w:ascii="Times New Roman" w:hAnsi="Times New Roman"/>
        </w:rPr>
      </w:pPr>
    </w:p>
    <w:p w:rsidR="00427E12" w:rsidP="00427E12">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427E12" w:rsidP="00427E12">
      <w:pPr>
        <w:bidi w:val="0"/>
        <w:jc w:val="center"/>
        <w:rPr>
          <w:rFonts w:ascii="Times New Roman" w:hAnsi="Times New Roman"/>
          <w:b/>
          <w:bCs/>
          <w:color w:val="000000"/>
        </w:rPr>
      </w:pPr>
      <w:r>
        <w:rPr>
          <w:rFonts w:ascii="Times New Roman" w:hAnsi="Times New Roman"/>
          <w:b/>
          <w:bCs/>
          <w:color w:val="000000"/>
        </w:rPr>
        <w:t>vybraných vplyvov</w:t>
      </w:r>
    </w:p>
    <w:p w:rsidR="00427E12" w:rsidP="00427E12">
      <w:pPr>
        <w:bidi w:val="0"/>
        <w:rPr>
          <w:rFonts w:ascii="Times New Roman" w:hAnsi="Times New Roman"/>
          <w:color w:val="000000"/>
        </w:rPr>
      </w:pPr>
    </w:p>
    <w:p w:rsidR="00427E12" w:rsidP="00427E12">
      <w:pPr>
        <w:bidi w:val="0"/>
        <w:jc w:val="both"/>
        <w:rPr>
          <w:rFonts w:ascii="Times New Roman" w:hAnsi="Times New Roman"/>
          <w:b/>
          <w:bCs/>
          <w:color w:val="000000"/>
        </w:rPr>
      </w:pPr>
      <w:r>
        <w:rPr>
          <w:rFonts w:ascii="Times New Roman" w:hAnsi="Times New Roman"/>
          <w:b/>
          <w:bCs/>
          <w:color w:val="000000"/>
        </w:rPr>
        <w:t xml:space="preserve">A.1. Názov materiálu: </w:t>
      </w:r>
    </w:p>
    <w:p w:rsidR="00427E12" w:rsidP="00427E12">
      <w:pPr>
        <w:bidi w:val="0"/>
        <w:ind w:left="709" w:hanging="709"/>
        <w:jc w:val="both"/>
        <w:rPr>
          <w:rFonts w:ascii="Times New Roman" w:hAnsi="Times New Roman"/>
          <w:b/>
          <w:bCs/>
          <w:color w:val="000000"/>
        </w:rPr>
      </w:pPr>
      <w:r>
        <w:rPr>
          <w:rFonts w:ascii="Times New Roman" w:hAnsi="Times New Roman"/>
          <w:b/>
          <w:bCs/>
          <w:color w:val="000000"/>
        </w:rPr>
        <w:tab/>
      </w:r>
    </w:p>
    <w:p w:rsidR="00427E12" w:rsidRPr="003770DB" w:rsidP="00427E12">
      <w:pPr>
        <w:bidi w:val="0"/>
        <w:spacing w:after="120"/>
        <w:jc w:val="both"/>
        <w:rPr>
          <w:rFonts w:ascii="Times New Roman" w:hAnsi="Times New Roman"/>
          <w:bCs/>
        </w:rPr>
      </w:pPr>
      <w:r w:rsidRPr="003770DB">
        <w:rPr>
          <w:rFonts w:ascii="Times New Roman" w:hAnsi="Times New Roman"/>
          <w:color w:val="000000"/>
        </w:rPr>
        <w:t xml:space="preserve">Zákon z.........2015, </w:t>
      </w:r>
      <w:r w:rsidRPr="003770DB">
        <w:rPr>
          <w:rFonts w:ascii="Times New Roman" w:hAnsi="Times New Roman"/>
          <w:bCs/>
        </w:rPr>
        <w:t>ktorým sa mení a dopĺňa zákon č. 443/2010 Z. z. o dotáciách na rozvoj   bývania a o sociálnom bývaní v znení zákona č. 134/2013 Z. z.</w:t>
      </w:r>
      <w:r>
        <w:rPr>
          <w:rFonts w:ascii="Times New Roman" w:hAnsi="Times New Roman"/>
          <w:bCs/>
        </w:rPr>
        <w:t xml:space="preserve"> </w:t>
      </w:r>
    </w:p>
    <w:p w:rsidR="00427E12" w:rsidP="00427E12">
      <w:pPr>
        <w:bidi w:val="0"/>
        <w:jc w:val="both"/>
        <w:rPr>
          <w:rFonts w:ascii="Times New Roman" w:hAnsi="Times New Roman"/>
          <w:b/>
          <w:bCs/>
          <w:color w:val="000000"/>
        </w:rPr>
      </w:pPr>
      <w:r>
        <w:rPr>
          <w:rFonts w:ascii="Times New Roman" w:hAnsi="Times New Roman"/>
          <w:b/>
          <w:bCs/>
          <w:color w:val="000000"/>
        </w:rPr>
        <w:t>Termín začatia a ukončenia PPK:</w:t>
      </w:r>
      <w:r>
        <w:rPr>
          <w:rFonts w:ascii="Times New Roman" w:hAnsi="Times New Roman"/>
          <w:color w:val="000000"/>
        </w:rPr>
        <w:t xml:space="preserve">  </w:t>
      </w:r>
    </w:p>
    <w:p w:rsidR="00427E12" w:rsidP="00427E12">
      <w:pPr>
        <w:bidi w:val="0"/>
        <w:jc w:val="both"/>
        <w:rPr>
          <w:rFonts w:ascii="Times New Roman" w:hAnsi="Times New Roman"/>
          <w:b/>
          <w:bCs/>
          <w:color w:val="000000"/>
        </w:rPr>
      </w:pPr>
    </w:p>
    <w:p w:rsidR="00427E12" w:rsidP="00427E12">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29"/>
        <w:gridCol w:w="1242"/>
        <w:gridCol w:w="1242"/>
        <w:gridCol w:w="124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RPr="002F4E6E" w:rsidP="00B819E3">
            <w:pPr>
              <w:widowControl/>
              <w:bidi w:val="0"/>
              <w:jc w:val="center"/>
              <w:rPr>
                <w:rFonts w:ascii="Times New Roman" w:hAnsi="Times New Roman"/>
                <w:color w:val="000000"/>
              </w:rPr>
            </w:pPr>
            <w:r w:rsidRPr="002F4E6E">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427E12" w:rsidP="00B819E3">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427E12" w:rsidP="00B819E3">
            <w:pPr>
              <w:widowControl/>
              <w:bidi w:val="0"/>
              <w:jc w:val="center"/>
              <w:rPr>
                <w:rFonts w:ascii="Times New Roman" w:hAnsi="Times New Roman"/>
                <w:color w:val="000000"/>
              </w:rPr>
            </w:pPr>
          </w:p>
        </w:tc>
      </w:tr>
    </w:tbl>
    <w:p w:rsidR="00427E12" w:rsidP="00427E12">
      <w:pPr>
        <w:widowControl/>
        <w:bidi w:val="0"/>
        <w:rPr>
          <w:rFonts w:ascii="Times New Roman" w:hAnsi="Times New Roman"/>
          <w:b/>
          <w:bCs/>
          <w:color w:val="000000"/>
        </w:rPr>
      </w:pPr>
      <w:r>
        <w:rPr>
          <w:rFonts w:ascii="Times New Roman" w:hAnsi="Times New Roman"/>
          <w:color w:val="000000"/>
        </w:rPr>
        <w:t> </w:t>
      </w:r>
    </w:p>
    <w:p w:rsidR="00E227AA" w:rsidP="00427E12">
      <w:pPr>
        <w:bidi w:val="0"/>
        <w:jc w:val="both"/>
        <w:rPr>
          <w:rFonts w:ascii="Times New Roman" w:hAnsi="Times New Roman"/>
          <w:b/>
          <w:bCs/>
          <w:color w:val="000000"/>
        </w:rPr>
      </w:pPr>
    </w:p>
    <w:p w:rsidR="00427E12" w:rsidP="00427E12">
      <w:pPr>
        <w:bidi w:val="0"/>
        <w:jc w:val="both"/>
        <w:rPr>
          <w:rFonts w:ascii="Times New Roman" w:hAnsi="Times New Roman"/>
          <w:b/>
          <w:bCs/>
          <w:color w:val="000000"/>
        </w:rPr>
      </w:pPr>
      <w:r>
        <w:rPr>
          <w:rFonts w:ascii="Times New Roman" w:hAnsi="Times New Roman"/>
          <w:b/>
          <w:bCs/>
          <w:color w:val="000000"/>
        </w:rPr>
        <w:t>A.3. Poznámky</w:t>
      </w:r>
    </w:p>
    <w:p w:rsidR="00427E12" w:rsidP="00427E12">
      <w:pPr>
        <w:pStyle w:val="BodyTextIndent"/>
        <w:bidi w:val="0"/>
        <w:rPr>
          <w:rFonts w:ascii="Times New Roman" w:hAnsi="Times New Roman"/>
        </w:rPr>
      </w:pPr>
    </w:p>
    <w:p w:rsidR="00427E12" w:rsidP="0040540E">
      <w:pPr>
        <w:pStyle w:val="BodyTextIndent"/>
        <w:bidi w:val="0"/>
        <w:spacing w:before="120"/>
        <w:ind w:left="284"/>
        <w:jc w:val="both"/>
        <w:rPr>
          <w:rFonts w:ascii="Times New Roman" w:hAnsi="Times New Roman"/>
        </w:rPr>
      </w:pPr>
      <w:r>
        <w:rPr>
          <w:rFonts w:ascii="Times New Roman" w:hAnsi="Times New Roman"/>
        </w:rPr>
        <w:t xml:space="preserve">Poskytovanie dotácií z rozpočtovej kapitoly MDVRR SR sa realizuje </w:t>
      </w:r>
      <w:r w:rsidRPr="000F3EBE">
        <w:rPr>
          <w:rFonts w:ascii="Times New Roman" w:hAnsi="Times New Roman"/>
        </w:rPr>
        <w:t>v rámci programu 017 Program rozvoja bývania, podprogram</w:t>
      </w:r>
      <w:r>
        <w:rPr>
          <w:rFonts w:ascii="Times New Roman" w:hAnsi="Times New Roman"/>
        </w:rPr>
        <w:t>u</w:t>
      </w:r>
      <w:r w:rsidRPr="000F3EBE">
        <w:rPr>
          <w:rFonts w:ascii="Times New Roman" w:hAnsi="Times New Roman"/>
        </w:rPr>
        <w:t xml:space="preserve"> 01701 Výstavba a obnova bytového fondu. </w:t>
      </w:r>
    </w:p>
    <w:p w:rsidR="00427E12" w:rsidP="0040540E">
      <w:pPr>
        <w:pStyle w:val="BodyTextIndent"/>
        <w:bidi w:val="0"/>
        <w:spacing w:before="120"/>
        <w:ind w:left="284"/>
        <w:jc w:val="both"/>
        <w:rPr>
          <w:rFonts w:ascii="Times New Roman" w:hAnsi="Times New Roman"/>
        </w:rPr>
      </w:pPr>
      <w:r>
        <w:rPr>
          <w:rFonts w:ascii="Times New Roman" w:hAnsi="Times New Roman"/>
        </w:rPr>
        <w:t xml:space="preserve">V roku </w:t>
      </w:r>
      <w:r w:rsidRPr="000F3EBE">
        <w:rPr>
          <w:rFonts w:ascii="Times New Roman" w:hAnsi="Times New Roman"/>
        </w:rPr>
        <w:t xml:space="preserve"> 201</w:t>
      </w:r>
      <w:r>
        <w:rPr>
          <w:rFonts w:ascii="Times New Roman" w:hAnsi="Times New Roman"/>
        </w:rPr>
        <w:t>5</w:t>
      </w:r>
      <w:r w:rsidRPr="000F3EBE">
        <w:rPr>
          <w:rFonts w:ascii="Times New Roman" w:hAnsi="Times New Roman"/>
        </w:rPr>
        <w:t xml:space="preserve"> sú </w:t>
      </w:r>
      <w:r>
        <w:rPr>
          <w:rFonts w:ascii="Times New Roman" w:hAnsi="Times New Roman"/>
        </w:rPr>
        <w:t xml:space="preserve">na tento účel </w:t>
      </w:r>
      <w:r w:rsidRPr="000F3EBE">
        <w:rPr>
          <w:rFonts w:ascii="Times New Roman" w:hAnsi="Times New Roman"/>
        </w:rPr>
        <w:t xml:space="preserve"> rozpočtované vý</w:t>
      </w:r>
      <w:r>
        <w:rPr>
          <w:rFonts w:ascii="Times New Roman" w:hAnsi="Times New Roman"/>
        </w:rPr>
        <w:t>davky vo výške 20 004 140 eur.  V rokoch  2016 až 2018 bude výška dotácií stanovená v závislosti od schválených limitov rozpočtu verejnej správy na príslušný rozpočtový rok.</w:t>
      </w:r>
    </w:p>
    <w:p w:rsidR="00427E12" w:rsidRPr="002F4E6E" w:rsidP="0040540E">
      <w:pPr>
        <w:pStyle w:val="BodyTextIndent"/>
        <w:bidi w:val="0"/>
        <w:spacing w:before="120"/>
        <w:ind w:left="284"/>
        <w:jc w:val="both"/>
        <w:rPr>
          <w:rFonts w:ascii="Times New Roman" w:hAnsi="Times New Roman"/>
        </w:rPr>
      </w:pPr>
      <w:r w:rsidRPr="002F4E6E">
        <w:rPr>
          <w:rFonts w:ascii="Times New Roman" w:hAnsi="Times New Roman"/>
        </w:rPr>
        <w:t xml:space="preserve">Návrh zlepšuje podmienky poskytnutia podpory na rozvoj nájomného bývania, prostredníctvom vytvorenia možnosti získať dotáciu aj na obstaranie nájomného bytu stavebnými úpravami bytu v bytovom dome, ktorý obec alebo samosprávny kraj nadobudla prevedením vlastníctva od Slovenskej republiky.  </w:t>
      </w:r>
    </w:p>
    <w:p w:rsidR="00427E12" w:rsidRPr="00CF5038" w:rsidP="00427E12">
      <w:pPr>
        <w:bidi w:val="0"/>
        <w:jc w:val="both"/>
        <w:rPr>
          <w:rFonts w:ascii="Times New Roman" w:hAnsi="Times New Roman"/>
        </w:rPr>
      </w:pPr>
    </w:p>
    <w:p w:rsidR="00427E12" w:rsidP="00427E12">
      <w:pPr>
        <w:bidi w:val="0"/>
        <w:jc w:val="both"/>
        <w:rPr>
          <w:rFonts w:ascii="Times New Roman" w:hAnsi="Times New Roman"/>
          <w:color w:val="000000"/>
        </w:rPr>
      </w:pPr>
    </w:p>
    <w:p w:rsidR="00427E12" w:rsidRPr="00D64252" w:rsidP="00427E12">
      <w:pPr>
        <w:bidi w:val="0"/>
        <w:jc w:val="both"/>
        <w:rPr>
          <w:rFonts w:ascii="Times New Roman" w:hAnsi="Times New Roman"/>
          <w:b/>
          <w:bCs/>
          <w:color w:val="92D050"/>
        </w:rPr>
      </w:pPr>
      <w:r>
        <w:rPr>
          <w:rFonts w:ascii="Times New Roman" w:hAnsi="Times New Roman"/>
          <w:b/>
          <w:bCs/>
          <w:color w:val="000000"/>
        </w:rPr>
        <w:t>A.4. Alternatívne riešenia</w:t>
      </w:r>
    </w:p>
    <w:p w:rsidR="00427E12" w:rsidP="00427E12">
      <w:pPr>
        <w:bidi w:val="0"/>
        <w:jc w:val="both"/>
        <w:rPr>
          <w:rFonts w:ascii="Times New Roman" w:hAnsi="Times New Roman"/>
          <w:b/>
          <w:bCs/>
          <w:color w:val="000000"/>
        </w:rPr>
      </w:pPr>
      <w:r>
        <w:rPr>
          <w:rFonts w:ascii="Times New Roman" w:hAnsi="Times New Roman"/>
          <w:color w:val="000000"/>
        </w:rPr>
        <w:t> </w:t>
      </w:r>
    </w:p>
    <w:p w:rsidR="00427E12" w:rsidP="00427E12">
      <w:pPr>
        <w:bidi w:val="0"/>
        <w:jc w:val="both"/>
        <w:rPr>
          <w:rFonts w:ascii="Times New Roman" w:hAnsi="Times New Roman"/>
          <w:b/>
          <w:bCs/>
          <w:color w:val="000000"/>
        </w:rPr>
      </w:pPr>
      <w:r>
        <w:rPr>
          <w:rFonts w:ascii="Times New Roman" w:hAnsi="Times New Roman"/>
          <w:b/>
          <w:bCs/>
          <w:color w:val="000000"/>
        </w:rPr>
        <w:t>A.5. Stanovisko gestorov</w:t>
      </w:r>
    </w:p>
    <w:p w:rsidR="00427E12" w:rsidP="00427E12">
      <w:pPr>
        <w:bidi w:val="0"/>
        <w:rPr>
          <w:rFonts w:ascii="Times New Roman" w:hAnsi="Times New Roman"/>
        </w:rPr>
      </w:pPr>
    </w:p>
    <w:p w:rsidR="00E227AA" w:rsidP="00427E12">
      <w:pPr>
        <w:bidi w:val="0"/>
        <w:rPr>
          <w:rFonts w:ascii="Times New Roman" w:hAnsi="Times New Roman"/>
        </w:rPr>
      </w:pPr>
    </w:p>
    <w:p w:rsidR="00E227AA" w:rsidP="00427E12">
      <w:pPr>
        <w:bidi w:val="0"/>
        <w:rPr>
          <w:rFonts w:ascii="Times New Roman" w:hAnsi="Times New Roman"/>
        </w:rPr>
      </w:pPr>
    </w:p>
    <w:p w:rsidR="00E227AA" w:rsidP="00427E12">
      <w:pPr>
        <w:bidi w:val="0"/>
        <w:rPr>
          <w:rFonts w:ascii="Times New Roman" w:hAnsi="Times New Roman"/>
        </w:rPr>
      </w:pPr>
    </w:p>
    <w:p w:rsidR="00E227AA" w:rsidP="00427E12">
      <w:pPr>
        <w:bidi w:val="0"/>
        <w:rPr>
          <w:rFonts w:ascii="Times New Roman" w:hAnsi="Times New Roman"/>
        </w:rPr>
      </w:pPr>
    </w:p>
    <w:p w:rsidR="005166D5" w:rsidP="005166D5">
      <w:pPr>
        <w:bidi w:val="0"/>
        <w:jc w:val="center"/>
        <w:rPr>
          <w:rFonts w:ascii="Times New Roman" w:hAnsi="Times New Roman"/>
        </w:rPr>
      </w:pPr>
      <w:r w:rsidRPr="004161A1">
        <w:rPr>
          <w:rFonts w:ascii="Times New Roman" w:hAnsi="Times New Roman"/>
          <w:b/>
          <w:bCs/>
          <w:sz w:val="28"/>
          <w:szCs w:val="28"/>
        </w:rPr>
        <w:t>Vplyvy na rozpočet verejnej správy,</w:t>
      </w:r>
      <w:r>
        <w:rPr>
          <w:rFonts w:ascii="Times New Roman" w:hAnsi="Times New Roman"/>
          <w:b/>
          <w:bCs/>
          <w:sz w:val="28"/>
          <w:szCs w:val="28"/>
        </w:rPr>
        <w:t xml:space="preserve"> </w:t>
      </w:r>
    </w:p>
    <w:p w:rsidR="005166D5" w:rsidP="005166D5">
      <w:pPr>
        <w:bidi w:val="0"/>
        <w:jc w:val="center"/>
        <w:rPr>
          <w:rFonts w:ascii="Times New Roman" w:hAnsi="Times New Roman"/>
        </w:rPr>
      </w:pPr>
      <w:r w:rsidRPr="004161A1">
        <w:rPr>
          <w:rFonts w:ascii="Times New Roman" w:hAnsi="Times New Roman"/>
          <w:b/>
          <w:bCs/>
          <w:sz w:val="28"/>
          <w:szCs w:val="28"/>
        </w:rPr>
        <w:t>na zamestnanosť vo verejnej správe a financovanie návrhu</w:t>
      </w:r>
    </w:p>
    <w:p w:rsidR="005166D5" w:rsidP="005166D5">
      <w:pPr>
        <w:bidi w:val="0"/>
        <w:rPr>
          <w:rFonts w:ascii="Times New Roman" w:hAnsi="Times New Roman"/>
        </w:rPr>
      </w:pPr>
      <w:r>
        <w:rPr>
          <w:rFonts w:ascii="Times New Roman" w:hAnsi="Times New Roman"/>
        </w:rPr>
        <w:t> </w:t>
      </w:r>
    </w:p>
    <w:p w:rsidR="005166D5" w:rsidP="005166D5">
      <w:pPr>
        <w:bidi w:val="0"/>
        <w:rPr>
          <w:rFonts w:ascii="Times New Roman" w:hAnsi="Times New Roman"/>
        </w:rPr>
      </w:pPr>
      <w:r w:rsidRPr="004161A1">
        <w:rPr>
          <w:rFonts w:ascii="Times New Roman" w:hAnsi="Times New Roman"/>
          <w:b/>
          <w:bCs/>
        </w:rPr>
        <w:t>2.1. Zhrnutie vplyvov na rozpočet verejnej správy v návrhu</w:t>
      </w:r>
    </w:p>
    <w:p w:rsidR="005166D5" w:rsidP="005166D5">
      <w:pPr>
        <w:bidi w:val="0"/>
        <w:jc w:val="right"/>
        <w:rPr>
          <w:rFonts w:ascii="Times New Roman" w:hAnsi="Times New Roman"/>
        </w:rPr>
      </w:pPr>
      <w:r w:rsidRPr="004161A1">
        <w:rPr>
          <w:rFonts w:ascii="Times New Roman" w:hAnsi="Times New Roman"/>
          <w:sz w:val="20"/>
          <w:szCs w:val="20"/>
        </w:rPr>
        <w:t xml:space="preserve">Tabuľka č. 1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194" w:lineRule="atLeast"/>
              <w:jc w:val="center"/>
              <w:rPr>
                <w:rFonts w:ascii="Times New Roman" w:hAnsi="Times New Roman"/>
              </w:rPr>
            </w:pPr>
            <w:r w:rsidRPr="004161A1">
              <w:rPr>
                <w:rFonts w:ascii="Times New Roman" w:hAnsi="Times New Roman"/>
                <w:b/>
                <w:bCs/>
                <w:color w:val="FFFFFF"/>
              </w:rPr>
              <w:t xml:space="preserve">Vplyvy na </w:t>
            </w:r>
            <w:r w:rsidRPr="004161A1">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194"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166D5" w:rsidRPr="004161A1" w:rsidP="00B819E3">
            <w:pPr>
              <w:bidi w:val="0"/>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2015</w:t>
            </w:r>
            <w:r w:rsidRPr="004161A1">
              <w:rPr>
                <w:rFonts w:ascii="Times New Roman" w:hAnsi="Times New Roman"/>
                <w:b/>
                <w:bCs/>
                <w:color w:val="FFFFFF"/>
              </w:rPr>
              <w:t>r</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2016</w:t>
            </w:r>
            <w:r w:rsidRPr="004161A1">
              <w:rPr>
                <w:rFonts w:ascii="Times New Roman" w:hAnsi="Times New Roman"/>
                <w:b/>
                <w:bCs/>
                <w:color w:val="FFFFFF"/>
              </w:rPr>
              <w:t xml:space="preserve"> </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2017</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2018</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sidRPr="004161A1">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rPr>
              <w:t>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2" w:lineRule="atLeast"/>
              <w:rPr>
                <w:rFonts w:ascii="Times New Roman" w:hAnsi="Times New Roman"/>
              </w:rPr>
            </w:pPr>
            <w:r>
              <w:rPr>
                <w:rFonts w:ascii="Times New Roman" w:hAnsi="Times New Roman"/>
              </w:rPr>
              <w:t xml:space="preserve">v tom: MDVRR SR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2"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sidRPr="004161A1">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i/>
                <w:iCs/>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25" w:lineRule="atLeast"/>
              <w:rPr>
                <w:rFonts w:ascii="Times New Roman" w:hAnsi="Times New Roman"/>
              </w:rPr>
            </w:pPr>
            <w:r w:rsidRPr="004161A1">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4161A1" w:rsidP="00B819E3">
            <w:pPr>
              <w:bidi w:val="0"/>
              <w:spacing w:line="125" w:lineRule="atLeast"/>
              <w:rPr>
                <w:rFonts w:ascii="Times New Roman" w:hAnsi="Times New Roman"/>
              </w:rPr>
            </w:pPr>
            <w:r w:rsidRPr="004161A1">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125" w:lineRule="atLeast"/>
              <w:rPr>
                <w:rFonts w:ascii="Times New Roman" w:hAnsi="Times New Roman"/>
              </w:rPr>
            </w:pPr>
            <w:r>
              <w:rPr>
                <w:rFonts w:ascii="Times New Roman" w:hAnsi="Times New Roman"/>
                <w:b/>
                <w:bCs/>
              </w:rPr>
              <w:t>20 004 140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3460E4" w:rsidP="00B819E3">
            <w:pPr>
              <w:bidi w:val="0"/>
              <w:spacing w:line="125" w:lineRule="atLeast"/>
              <w:jc w:val="right"/>
              <w:rPr>
                <w:rFonts w:ascii="Times New Roman" w:hAnsi="Times New Roman"/>
                <w:b/>
              </w:rPr>
            </w:pPr>
            <w:r>
              <w:rPr>
                <w:rFonts w:ascii="Times New Roman" w:hAnsi="Times New Roman"/>
                <w:b/>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3460E4" w:rsidP="00B819E3">
            <w:pPr>
              <w:bidi w:val="0"/>
              <w:spacing w:line="125" w:lineRule="atLeast"/>
              <w:jc w:val="right"/>
              <w:rPr>
                <w:rFonts w:ascii="Times New Roman" w:hAnsi="Times New Roman"/>
                <w:b/>
              </w:rPr>
            </w:pPr>
            <w:r>
              <w:rPr>
                <w:rFonts w:ascii="Times New Roman" w:hAnsi="Times New Roman"/>
                <w:b/>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3460E4" w:rsidP="00B819E3">
            <w:pPr>
              <w:bidi w:val="0"/>
              <w:spacing w:line="125" w:lineRule="atLeast"/>
              <w:jc w:val="right"/>
              <w:rPr>
                <w:rFonts w:ascii="Times New Roman" w:hAnsi="Times New Roman"/>
                <w:b/>
              </w:rPr>
            </w:pPr>
            <w:r>
              <w:rPr>
                <w:rFonts w:ascii="Times New Roman" w:hAnsi="Times New Roman"/>
                <w:b/>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Pr>
                <w:rFonts w:ascii="Times New Roman" w:hAnsi="Times New Roman"/>
              </w:rPr>
              <w:t>v tom: MDVR SR / 017 Program</w:t>
            </w:r>
            <w:r w:rsidRPr="000A5EC5">
              <w:rPr>
                <w:rFonts w:ascii="Times New Roman" w:hAnsi="Times New Roman"/>
              </w:rPr>
              <w:t xml:space="preserve"> rozvoja bývania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Pr>
                <w:rFonts w:ascii="Times New Roman" w:hAnsi="Times New Roman"/>
              </w:rPr>
              <w:t>20 004 140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sidRPr="004161A1">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sidRPr="004161A1">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sidRPr="004161A1">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141B39" w:rsidP="00B819E3">
            <w:pPr>
              <w:bidi w:val="0"/>
              <w:spacing w:line="70" w:lineRule="atLeast"/>
              <w:jc w:val="right"/>
              <w:rPr>
                <w:rFonts w:ascii="Times New Roman" w:hAnsi="Times New Roman"/>
              </w:rPr>
            </w:pPr>
            <w:r w:rsidRPr="003460E4">
              <w:rPr>
                <w:rFonts w:ascii="Times New Roman" w:hAnsi="Times New Roman"/>
                <w:bCs/>
                <w:iCs/>
              </w:rPr>
              <w:t>20 004 140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141B39" w:rsidP="00B819E3">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25" w:lineRule="atLeast"/>
              <w:rPr>
                <w:rFonts w:ascii="Times New Roman" w:hAnsi="Times New Roman"/>
              </w:rPr>
            </w:pPr>
            <w:r w:rsidRPr="004161A1">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r w:rsidRPr="006C121A">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125" w:lineRule="atLeast"/>
              <w:jc w:val="right"/>
              <w:rPr>
                <w:rFonts w:ascii="Times New Roman" w:hAnsi="Times New Roman"/>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sidRPr="004161A1">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sidRPr="006C121A">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sidRPr="004161A1">
              <w:rPr>
                <w:rFonts w:ascii="Times New Roman" w:hAnsi="Times New Roman"/>
                <w:b/>
                <w:bCs/>
                <w:i/>
                <w:iCs/>
              </w:rPr>
              <w:t>- z toho vplyv na ŠR</w:t>
            </w:r>
            <w:r>
              <w:rPr>
                <w:rFonts w:ascii="Times New Roman" w:hAnsi="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sidRPr="006C121A">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sidRPr="004161A1">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b/>
                <w:bCs/>
              </w:rPr>
              <w:t>20 004 140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b/>
                <w:bCs/>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Pr>
                <w:rFonts w:ascii="Times New Roman" w:hAnsi="Times New Roman"/>
              </w:rPr>
              <w:t>v tom: MDVRR SR / 017 Program rozvoja bývania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rPr>
              <w:t>20 004 140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267"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267"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267"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267"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r>
    </w:tbl>
    <w:p w:rsidR="005166D5" w:rsidP="005166D5">
      <w:pPr>
        <w:bidi w:val="0"/>
        <w:rPr>
          <w:rFonts w:ascii="Times New Roman" w:hAnsi="Times New Roman"/>
        </w:rPr>
      </w:pPr>
      <w:r>
        <w:rPr>
          <w:rFonts w:ascii="Times New Roman" w:hAnsi="Times New Roman"/>
        </w:rPr>
        <w:t> </w:t>
      </w:r>
    </w:p>
    <w:p w:rsidR="005166D5" w:rsidP="005166D5">
      <w:pPr>
        <w:bidi w:val="0"/>
        <w:rPr>
          <w:rFonts w:ascii="Times New Roman" w:hAnsi="Times New Roman"/>
        </w:rPr>
      </w:pPr>
      <w:r w:rsidRPr="004161A1">
        <w:rPr>
          <w:rFonts w:ascii="Times New Roman" w:hAnsi="Times New Roman"/>
          <w:b/>
          <w:bCs/>
        </w:rPr>
        <w:t>2.2. Financovanie návrhu</w:t>
      </w:r>
    </w:p>
    <w:p w:rsidR="005166D5" w:rsidP="005166D5">
      <w:pPr>
        <w:bidi w:val="0"/>
        <w:jc w:val="right"/>
        <w:rPr>
          <w:rFonts w:ascii="Times New Roman" w:hAnsi="Times New Roman"/>
        </w:rPr>
      </w:pPr>
      <w:r w:rsidRPr="004161A1">
        <w:rPr>
          <w:rFonts w:ascii="Times New Roman" w:hAnsi="Times New Roman"/>
          <w:sz w:val="20"/>
          <w:szCs w:val="20"/>
        </w:rPr>
        <w:t>Tabuľka č. 2</w:t>
      </w:r>
    </w:p>
    <w:tbl>
      <w:tblPr>
        <w:tblStyle w:val="TableNormal"/>
        <w:tblW w:w="9360" w:type="dxa"/>
        <w:tblCellMar>
          <w:left w:w="0" w:type="dxa"/>
          <w:right w:w="0" w:type="dxa"/>
        </w:tblCellMar>
      </w:tblPr>
      <w:tblGrid>
        <w:gridCol w:w="3995"/>
        <w:gridCol w:w="1357"/>
        <w:gridCol w:w="1336"/>
        <w:gridCol w:w="1336"/>
        <w:gridCol w:w="1336"/>
      </w:tblGrid>
      <w:tr>
        <w:tblPrEx>
          <w:tblW w:w="9360" w:type="dxa"/>
          <w:tblCellMar>
            <w:left w:w="0" w:type="dxa"/>
            <w:right w:w="0" w:type="dxa"/>
          </w:tblCellMar>
        </w:tblPrEx>
        <w:trPr>
          <w:trHeight w:val="70"/>
        </w:trPr>
        <w:tc>
          <w:tcPr>
            <w:tcW w:w="3995"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sidRPr="004161A1">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sidRPr="004161A1">
              <w:rPr>
                <w:rFonts w:ascii="Times New Roman" w:hAnsi="Times New Roman"/>
                <w:b/>
                <w:bCs/>
                <w:color w:val="FFFFFF"/>
              </w:rPr>
              <w:t xml:space="preserve">Vplyv na rozpočet verejnej správy </w:t>
            </w:r>
            <w:r w:rsidRPr="004161A1">
              <w:rPr>
                <w:rFonts w:ascii="Times New Roman" w:hAnsi="Times New Roman"/>
                <w:b/>
                <w:bCs/>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166D5" w:rsidRPr="004161A1" w:rsidP="00B819E3">
            <w:pPr>
              <w:bidi w:val="0"/>
              <w:rPr>
                <w:rFonts w:ascii="Times New Roman" w:hAnsi="Times New Roman"/>
              </w:rPr>
            </w:pP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2015</w:t>
            </w:r>
            <w:r w:rsidRPr="004161A1">
              <w:rPr>
                <w:rFonts w:ascii="Times New Roman" w:hAnsi="Times New Roman"/>
                <w:b/>
                <w:bCs/>
                <w:color w:val="FFFFFF"/>
              </w:rPr>
              <w:t>r</w:t>
            </w:r>
          </w:p>
        </w:tc>
        <w:tc>
          <w:tcPr>
            <w:tcW w:w="133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2016</w:t>
            </w:r>
          </w:p>
        </w:tc>
        <w:tc>
          <w:tcPr>
            <w:tcW w:w="133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2017</w:t>
            </w:r>
          </w:p>
        </w:tc>
        <w:tc>
          <w:tcPr>
            <w:tcW w:w="133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2018</w:t>
            </w:r>
          </w:p>
        </w:tc>
      </w:tr>
      <w:tr>
        <w:tblPrEx>
          <w:tblW w:w="9360" w:type="dxa"/>
          <w:tblCellMar>
            <w:left w:w="0" w:type="dxa"/>
            <w:right w:w="0" w:type="dxa"/>
          </w:tblCellMar>
        </w:tblPrEx>
        <w:trPr>
          <w:trHeight w:val="70"/>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sidRPr="004161A1">
              <w:rPr>
                <w:rFonts w:ascii="Times New Roman" w:hAnsi="Times New Roman"/>
                <w:b/>
                <w:bCs/>
              </w:rPr>
              <w:t>Celkový vplyv na rozpočet verejnej správy ( - príjmy, + výdavky)</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b/>
                <w:bCs/>
                <w:iCs/>
              </w:rPr>
              <w:t>20 004 140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6C121A" w:rsidP="00B819E3">
            <w:pPr>
              <w:bidi w:val="0"/>
              <w:spacing w:line="70" w:lineRule="atLeast"/>
              <w:jc w:val="right"/>
              <w:rPr>
                <w:rFonts w:ascii="Times New Roman" w:hAnsi="Times New Roman"/>
              </w:rPr>
            </w:pPr>
            <w:r>
              <w:rPr>
                <w:rFonts w:ascii="Times New Roman" w:hAnsi="Times New Roman"/>
                <w:b/>
                <w:bCs/>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RPr="006C121A" w:rsidP="00B819E3">
            <w:pPr>
              <w:bidi w:val="0"/>
              <w:spacing w:line="70" w:lineRule="atLeast"/>
              <w:jc w:val="right"/>
              <w:rPr>
                <w:rFonts w:ascii="Times New Roman" w:hAnsi="Times New Roman"/>
              </w:rPr>
            </w:pPr>
            <w:r w:rsidRPr="0003414F">
              <w:rPr>
                <w:rFonts w:ascii="Times New Roman" w:hAnsi="Times New Roman"/>
                <w:b/>
                <w:bCs/>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RPr="006C121A" w:rsidP="00B819E3">
            <w:pPr>
              <w:bidi w:val="0"/>
              <w:spacing w:line="70" w:lineRule="atLeast"/>
              <w:jc w:val="right"/>
              <w:rPr>
                <w:rFonts w:ascii="Times New Roman" w:hAnsi="Times New Roman"/>
              </w:rPr>
            </w:pPr>
            <w:r w:rsidRPr="0003414F">
              <w:rPr>
                <w:rFonts w:ascii="Times New Roman" w:hAnsi="Times New Roman"/>
                <w:b/>
                <w:bCs/>
              </w:rPr>
              <w:t>0</w:t>
            </w:r>
          </w:p>
        </w:tc>
      </w:tr>
      <w:tr>
        <w:tblPrEx>
          <w:tblW w:w="9360" w:type="dxa"/>
          <w:tblCellMar>
            <w:left w:w="0" w:type="dxa"/>
            <w:right w:w="0" w:type="dxa"/>
          </w:tblCellMar>
        </w:tblPrEx>
        <w:trPr>
          <w:trHeight w:val="70"/>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rPr>
                <w:rFonts w:ascii="Times New Roman" w:hAnsi="Times New Roman"/>
              </w:rPr>
            </w:pPr>
            <w:r>
              <w:rPr>
                <w:rFonts w:ascii="Times New Roman" w:hAnsi="Times New Roman"/>
              </w:rPr>
              <w:t>  z toho vplyv na ŠR</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70" w:lineRule="atLeast"/>
              <w:jc w:val="right"/>
              <w:rPr>
                <w:rFonts w:ascii="Times New Roman" w:hAnsi="Times New Roman"/>
              </w:rPr>
            </w:pPr>
            <w:r>
              <w:rPr>
                <w:rFonts w:ascii="Times New Roman" w:hAnsi="Times New Roman"/>
              </w:rPr>
              <w:t>20 004 140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9409BA" w:rsidP="00B819E3">
            <w:pPr>
              <w:bidi w:val="0"/>
              <w:spacing w:line="70" w:lineRule="atLeast"/>
              <w:jc w:val="right"/>
              <w:rPr>
                <w:rFonts w:ascii="Times New Roman" w:hAnsi="Times New Roman"/>
              </w:rPr>
            </w:pPr>
            <w:r>
              <w:rPr>
                <w:rFonts w:ascii="Times New Roman" w:hAnsi="Times New Roman"/>
                <w:bCs/>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9409BA" w:rsidP="00B819E3">
            <w:pPr>
              <w:bidi w:val="0"/>
              <w:spacing w:line="70" w:lineRule="atLeast"/>
              <w:jc w:val="right"/>
              <w:rPr>
                <w:rFonts w:ascii="Times New Roman" w:hAnsi="Times New Roman"/>
              </w:rPr>
            </w:pPr>
            <w:r>
              <w:rPr>
                <w:rFonts w:ascii="Times New Roman" w:hAnsi="Times New Roman"/>
                <w:bCs/>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9409BA" w:rsidP="00B819E3">
            <w:pPr>
              <w:bidi w:val="0"/>
              <w:spacing w:line="70" w:lineRule="atLeast"/>
              <w:jc w:val="right"/>
              <w:rPr>
                <w:rFonts w:ascii="Times New Roman" w:hAnsi="Times New Roman"/>
              </w:rPr>
            </w:pPr>
            <w:r>
              <w:rPr>
                <w:rFonts w:ascii="Times New Roman" w:hAnsi="Times New Roman"/>
                <w:bCs/>
              </w:rPr>
              <w:t>0</w:t>
            </w:r>
          </w:p>
        </w:tc>
      </w:tr>
      <w:tr>
        <w:tblPrEx>
          <w:tblW w:w="9360" w:type="dxa"/>
          <w:tblCellMar>
            <w:left w:w="0" w:type="dxa"/>
            <w:right w:w="0" w:type="dxa"/>
          </w:tblCellMar>
        </w:tblPrEx>
        <w:trPr>
          <w:trHeight w:val="151"/>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51" w:lineRule="atLeast"/>
              <w:rPr>
                <w:rFonts w:ascii="Times New Roman" w:hAnsi="Times New Roman"/>
              </w:rPr>
            </w:pPr>
            <w:r>
              <w:rPr>
                <w:rFonts w:ascii="Times New Roman" w:hAnsi="Times New Roman"/>
              </w:rPr>
              <w:t>  financovanie zabezpečené v rozpočte</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51" w:lineRule="atLeast"/>
              <w:jc w:val="right"/>
              <w:rPr>
                <w:rFonts w:ascii="Times New Roman" w:hAnsi="Times New Roman"/>
              </w:rPr>
            </w:pPr>
            <w:r>
              <w:rPr>
                <w:rFonts w:ascii="Times New Roman" w:hAnsi="Times New Roman"/>
              </w:rPr>
              <w:t>20 004 140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9409BA" w:rsidP="00B819E3">
            <w:pPr>
              <w:bidi w:val="0"/>
              <w:spacing w:line="151" w:lineRule="atLeast"/>
              <w:jc w:val="right"/>
              <w:rPr>
                <w:rFonts w:ascii="Times New Roman" w:hAnsi="Times New Roman"/>
              </w:rPr>
            </w:pPr>
            <w:r>
              <w:rPr>
                <w:rFonts w:ascii="Times New Roman" w:hAnsi="Times New Roman"/>
                <w:bCs/>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9409BA" w:rsidP="00B819E3">
            <w:pPr>
              <w:bidi w:val="0"/>
              <w:spacing w:line="151" w:lineRule="atLeast"/>
              <w:jc w:val="right"/>
              <w:rPr>
                <w:rFonts w:ascii="Times New Roman" w:hAnsi="Times New Roman"/>
              </w:rPr>
            </w:pPr>
            <w:r>
              <w:rPr>
                <w:rFonts w:ascii="Times New Roman" w:hAnsi="Times New Roman"/>
                <w:bCs/>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9409BA" w:rsidP="00B819E3">
            <w:pPr>
              <w:bidi w:val="0"/>
              <w:spacing w:line="151" w:lineRule="atLeast"/>
              <w:jc w:val="right"/>
              <w:rPr>
                <w:rFonts w:ascii="Times New Roman" w:hAnsi="Times New Roman"/>
              </w:rPr>
            </w:pPr>
            <w:r>
              <w:rPr>
                <w:rFonts w:ascii="Times New Roman" w:hAnsi="Times New Roman"/>
                <w:bCs/>
              </w:rPr>
              <w:t>0</w:t>
            </w:r>
          </w:p>
        </w:tc>
      </w:tr>
      <w:tr>
        <w:tblPrEx>
          <w:tblW w:w="9360" w:type="dxa"/>
          <w:tblCellMar>
            <w:left w:w="0" w:type="dxa"/>
            <w:right w:w="0" w:type="dxa"/>
          </w:tblCellMar>
        </w:tblPrEx>
        <w:trPr>
          <w:trHeight w:val="135"/>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5" w:lineRule="atLeast"/>
              <w:rPr>
                <w:rFonts w:ascii="Times New Roman" w:hAnsi="Times New Roman"/>
              </w:rPr>
            </w:pPr>
            <w:r>
              <w:rPr>
                <w:rFonts w:ascii="Times New Roman" w:hAnsi="Times New Roman"/>
              </w:rPr>
              <w:t>  ostatné zdroje financovania</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5" w:lineRule="atLeast"/>
              <w:jc w:val="right"/>
              <w:rPr>
                <w:rFonts w:ascii="Times New Roman" w:hAnsi="Times New Roman"/>
              </w:rPr>
            </w:pPr>
            <w:r>
              <w:rPr>
                <w:rFonts w:ascii="Times New Roman" w:hAnsi="Times New Roman"/>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5" w:lineRule="atLeast"/>
              <w:jc w:val="right"/>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5" w:lineRule="atLeast"/>
              <w:jc w:val="right"/>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4161A1" w:rsidP="00B819E3">
            <w:pPr>
              <w:bidi w:val="0"/>
              <w:spacing w:line="135" w:lineRule="atLeast"/>
              <w:jc w:val="right"/>
              <w:rPr>
                <w:rFonts w:ascii="Times New Roman" w:hAnsi="Times New Roman"/>
              </w:rPr>
            </w:pPr>
          </w:p>
        </w:tc>
      </w:tr>
      <w:tr>
        <w:tblPrEx>
          <w:tblW w:w="9360" w:type="dxa"/>
          <w:tblCellMar>
            <w:left w:w="0" w:type="dxa"/>
            <w:right w:w="0" w:type="dxa"/>
          </w:tblCellMar>
        </w:tblPrEx>
        <w:trPr>
          <w:trHeight w:val="70"/>
        </w:trPr>
        <w:tc>
          <w:tcPr>
            <w:tcW w:w="39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0E1E92" w:rsidP="00B819E3">
            <w:pPr>
              <w:bidi w:val="0"/>
              <w:spacing w:line="70" w:lineRule="atLeast"/>
              <w:rPr>
                <w:rFonts w:ascii="Times New Roman" w:hAnsi="Times New Roman"/>
                <w:b/>
              </w:rPr>
            </w:pPr>
            <w:r w:rsidRPr="000E1E92">
              <w:rPr>
                <w:rFonts w:ascii="Times New Roman" w:hAnsi="Times New Roman"/>
                <w:b/>
                <w:bCs/>
              </w:rPr>
              <w:t>Rozpočtovo nekrytý vplyv / úspora</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0E1E92" w:rsidP="00B819E3">
            <w:pPr>
              <w:bidi w:val="0"/>
              <w:spacing w:line="70" w:lineRule="atLeast"/>
              <w:jc w:val="right"/>
              <w:rPr>
                <w:rFonts w:ascii="Times New Roman" w:hAnsi="Times New Roman"/>
                <w:b/>
              </w:rPr>
            </w:pPr>
            <w:r w:rsidRPr="000E1E92">
              <w:rPr>
                <w:rFonts w:ascii="Times New Roman" w:hAnsi="Times New Roman"/>
                <w:b/>
                <w:bCs/>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0E1E92" w:rsidP="00B819E3">
            <w:pPr>
              <w:bidi w:val="0"/>
              <w:spacing w:line="70" w:lineRule="atLeast"/>
              <w:jc w:val="right"/>
              <w:rPr>
                <w:rFonts w:ascii="Times New Roman" w:hAnsi="Times New Roman"/>
                <w:b/>
              </w:rPr>
            </w:pPr>
            <w:r w:rsidRPr="000E1E92">
              <w:rPr>
                <w:rFonts w:ascii="Times New Roman" w:hAnsi="Times New Roman"/>
                <w:b/>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0E1E92" w:rsidP="00B819E3">
            <w:pPr>
              <w:bidi w:val="0"/>
              <w:spacing w:line="70" w:lineRule="atLeast"/>
              <w:jc w:val="right"/>
              <w:rPr>
                <w:rFonts w:ascii="Times New Roman" w:hAnsi="Times New Roman"/>
                <w:b/>
              </w:rPr>
            </w:pPr>
            <w:r w:rsidRPr="000E1E92">
              <w:rPr>
                <w:rFonts w:ascii="Times New Roman" w:hAnsi="Times New Roman"/>
                <w:b/>
              </w:rPr>
              <w:t>0</w:t>
            </w:r>
          </w:p>
        </w:tc>
        <w:tc>
          <w:tcPr>
            <w:tcW w:w="13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RPr="000E1E92" w:rsidP="00B819E3">
            <w:pPr>
              <w:bidi w:val="0"/>
              <w:spacing w:line="70" w:lineRule="atLeast"/>
              <w:jc w:val="right"/>
              <w:rPr>
                <w:rFonts w:ascii="Times New Roman" w:hAnsi="Times New Roman"/>
                <w:b/>
              </w:rPr>
            </w:pPr>
            <w:r w:rsidRPr="000E1E92">
              <w:rPr>
                <w:rFonts w:ascii="Times New Roman" w:hAnsi="Times New Roman"/>
                <w:b/>
                <w:bCs/>
                <w:iCs/>
              </w:rPr>
              <w:t>0</w:t>
            </w:r>
          </w:p>
        </w:tc>
      </w:tr>
      <w:tr>
        <w:tblPrEx>
          <w:tblW w:w="9360" w:type="dxa"/>
          <w:tblCellMar>
            <w:left w:w="0" w:type="dxa"/>
            <w:right w:w="0" w:type="dxa"/>
          </w:tblCellMar>
        </w:tblPrEx>
        <w:tc>
          <w:tcPr>
            <w:tcW w:w="3995"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357"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336"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336"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336"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r>
    </w:tbl>
    <w:p w:rsidR="005166D5" w:rsidP="005166D5">
      <w:pPr>
        <w:bidi w:val="0"/>
        <w:rPr>
          <w:rFonts w:ascii="Times New Roman" w:hAnsi="Times New Roman"/>
        </w:rPr>
      </w:pPr>
      <w:r>
        <w:rPr>
          <w:rFonts w:ascii="Times New Roman" w:hAnsi="Times New Roman"/>
        </w:rPr>
        <w:t> </w:t>
      </w:r>
    </w:p>
    <w:p w:rsidR="005166D5" w:rsidP="005166D5">
      <w:pPr>
        <w:bidi w:val="0"/>
        <w:rPr>
          <w:rFonts w:ascii="Times New Roman" w:hAnsi="Times New Roman"/>
        </w:rPr>
      </w:pPr>
      <w:r w:rsidRPr="004161A1">
        <w:rPr>
          <w:rFonts w:ascii="Times New Roman" w:hAnsi="Times New Roman"/>
          <w:b/>
          <w:bCs/>
        </w:rPr>
        <w:t> </w:t>
      </w:r>
    </w:p>
    <w:p w:rsidR="005166D5" w:rsidP="005166D5">
      <w:pPr>
        <w:bidi w:val="0"/>
        <w:rPr>
          <w:rFonts w:ascii="Times New Roman" w:hAnsi="Times New Roman"/>
          <w:b/>
          <w:bCs/>
        </w:rPr>
      </w:pPr>
      <w:r w:rsidRPr="004161A1">
        <w:rPr>
          <w:rFonts w:ascii="Times New Roman" w:hAnsi="Times New Roman"/>
          <w:b/>
          <w:bCs/>
        </w:rPr>
        <w:t>Návrh na riešenie úbytku príjmov alebo zvýšených výdavkov podľa § 33 ods. 1 zákona č. 523/2004 Z. z. o rozpočtových pravidlách verejnej správy:</w:t>
      </w:r>
    </w:p>
    <w:p w:rsidR="005166D5" w:rsidP="005166D5">
      <w:pPr>
        <w:bidi w:val="0"/>
        <w:rPr>
          <w:rFonts w:ascii="Times New Roman" w:hAnsi="Times New Roman"/>
        </w:rPr>
      </w:pPr>
    </w:p>
    <w:p w:rsidR="005166D5" w:rsidP="005166D5">
      <w:pPr>
        <w:pBdr>
          <w:top w:val="single" w:sz="4" w:space="1" w:color="000000"/>
          <w:left w:val="single" w:sz="4" w:space="4" w:color="000000"/>
          <w:bottom w:val="single" w:sz="4" w:space="1" w:color="000000"/>
          <w:right w:val="single" w:sz="4" w:space="4" w:color="000000"/>
        </w:pBdr>
        <w:bidi w:val="0"/>
        <w:jc w:val="both"/>
        <w:rPr>
          <w:rFonts w:ascii="Times New Roman" w:hAnsi="Times New Roman"/>
          <w:bCs/>
        </w:rPr>
      </w:pPr>
      <w:r>
        <w:rPr>
          <w:rFonts w:ascii="Times New Roman" w:hAnsi="Times New Roman"/>
          <w:bCs/>
        </w:rPr>
        <w:t xml:space="preserve">MDVRR SR poskytlo v predchádzajúcich troch rokoch na rozvoj bývania v priemere sumu 26 720 286,00 EUR (rok 2012 - 20 082 610,00 EUR; rok 2013 - 22 201 170,00 EUR; rok 2014 - 37 877 080,00 EUR). Konkrétna výška finančných prostriedkov účelovo určená na poskytovanie dotácií v rámci </w:t>
      </w:r>
      <w:r w:rsidRPr="00EF2A12">
        <w:rPr>
          <w:rFonts w:ascii="Times New Roman" w:hAnsi="Times New Roman"/>
          <w:bCs/>
        </w:rPr>
        <w:t>programu 017 Program</w:t>
      </w:r>
      <w:r w:rsidRPr="00EF2A12">
        <w:rPr>
          <w:rFonts w:ascii="Times New Roman" w:hAnsi="Times New Roman"/>
        </w:rPr>
        <w:t xml:space="preserve"> rozvoja bývania, podprogram</w:t>
      </w:r>
      <w:r>
        <w:rPr>
          <w:rFonts w:ascii="Times New Roman" w:hAnsi="Times New Roman"/>
        </w:rPr>
        <w:t>u</w:t>
      </w:r>
      <w:r w:rsidRPr="00EF2A12">
        <w:rPr>
          <w:rFonts w:ascii="Times New Roman" w:hAnsi="Times New Roman"/>
        </w:rPr>
        <w:t xml:space="preserve"> 01701 Výstavba a obnova bytového fondu</w:t>
      </w:r>
      <w:r>
        <w:rPr>
          <w:rFonts w:ascii="Times New Roman" w:hAnsi="Times New Roman"/>
          <w:bCs/>
        </w:rPr>
        <w:t xml:space="preserve"> bude stanovená v závislosti od schválených limitov rozpočtu verejnej správy na príslušný rozpočtový rok.</w:t>
      </w:r>
      <w:r w:rsidRPr="00EF2A12">
        <w:rPr>
          <w:rFonts w:ascii="Times New Roman" w:hAnsi="Times New Roman"/>
        </w:rPr>
        <w:t xml:space="preserve"> </w:t>
      </w:r>
    </w:p>
    <w:p w:rsidR="005166D5" w:rsidP="005166D5">
      <w:pPr>
        <w:bidi w:val="0"/>
        <w:rPr>
          <w:rFonts w:ascii="Times New Roman" w:hAnsi="Times New Roman"/>
          <w:b/>
          <w:bCs/>
        </w:rPr>
      </w:pPr>
    </w:p>
    <w:p w:rsidR="00262BC4" w:rsidP="005166D5">
      <w:pPr>
        <w:bidi w:val="0"/>
        <w:rPr>
          <w:rFonts w:ascii="Times New Roman" w:hAnsi="Times New Roman"/>
          <w:b/>
          <w:bCs/>
        </w:rPr>
      </w:pPr>
    </w:p>
    <w:p w:rsidR="005166D5" w:rsidP="005166D5">
      <w:pPr>
        <w:bidi w:val="0"/>
        <w:rPr>
          <w:rFonts w:ascii="Times New Roman" w:hAnsi="Times New Roman"/>
        </w:rPr>
      </w:pPr>
      <w:r w:rsidRPr="004161A1">
        <w:rPr>
          <w:rFonts w:ascii="Times New Roman" w:hAnsi="Times New Roman"/>
          <w:b/>
          <w:bCs/>
        </w:rPr>
        <w:t>2.3. Popis a charakteristika návrhu</w:t>
      </w:r>
    </w:p>
    <w:p w:rsidR="005166D5" w:rsidP="005166D5">
      <w:pPr>
        <w:bidi w:val="0"/>
        <w:rPr>
          <w:rFonts w:ascii="Times New Roman" w:hAnsi="Times New Roman"/>
        </w:rPr>
      </w:pPr>
      <w:r>
        <w:rPr>
          <w:rFonts w:ascii="Times New Roman" w:hAnsi="Times New Roman"/>
        </w:rPr>
        <w:t> </w:t>
      </w:r>
    </w:p>
    <w:p w:rsidR="005166D5" w:rsidP="005166D5">
      <w:pPr>
        <w:bidi w:val="0"/>
        <w:jc w:val="both"/>
        <w:rPr>
          <w:rFonts w:ascii="Times New Roman" w:hAnsi="Times New Roman"/>
        </w:rPr>
      </w:pPr>
      <w:r w:rsidRPr="004161A1">
        <w:rPr>
          <w:rFonts w:ascii="Times New Roman" w:hAnsi="Times New Roman"/>
          <w:b/>
          <w:bCs/>
        </w:rPr>
        <w:t>2.3.1. Popis návrhu:</w:t>
      </w:r>
    </w:p>
    <w:p w:rsidR="005166D5" w:rsidP="005166D5">
      <w:pPr>
        <w:bidi w:val="0"/>
        <w:jc w:val="both"/>
        <w:rPr>
          <w:rFonts w:ascii="Times New Roman" w:hAnsi="Times New Roman"/>
        </w:rPr>
      </w:pPr>
      <w:r w:rsidRPr="004161A1">
        <w:rPr>
          <w:rFonts w:ascii="Times New Roman" w:hAnsi="Times New Roman"/>
          <w:b/>
          <w:bCs/>
        </w:rPr>
        <w:t> </w:t>
      </w:r>
    </w:p>
    <w:p w:rsidR="005166D5" w:rsidRPr="00262BC4" w:rsidP="0040540E">
      <w:pPr>
        <w:pStyle w:val="BodyText"/>
        <w:tabs>
          <w:tab w:val="left" w:pos="360"/>
        </w:tabs>
        <w:bidi w:val="0"/>
        <w:spacing w:line="240" w:lineRule="auto"/>
        <w:ind w:firstLine="709"/>
        <w:jc w:val="both"/>
        <w:rPr>
          <w:rFonts w:ascii="Times New Roman" w:hAnsi="Times New Roman"/>
          <w:sz w:val="24"/>
          <w:szCs w:val="24"/>
        </w:rPr>
      </w:pPr>
      <w:r w:rsidRPr="00262BC4">
        <w:rPr>
          <w:rFonts w:ascii="Times New Roman" w:hAnsi="Times New Roman"/>
          <w:iCs/>
          <w:sz w:val="24"/>
          <w:szCs w:val="24"/>
        </w:rPr>
        <w:t xml:space="preserve">Zákon č. 443/2010 Z. z. o dotáciách na rozvoj bývania a o sociálnom bývaní v znení zákona č. 134/2013 Z. z. je zákonom upravujúcim podmienky pre poskytovanie dotácií na obstarávanie nájomných bytov a obnovu bytového fondu tvorenú odstraňovaním systémových porúch bytových domov. Návrh zákona, ktorým sa mení a dopĺňa zákon č. 443/2010 Z.  z. o dotáciách na rozvoj bývania a o sociálnom bývaní v znení zákona č. 134/2013 Z. z. </w:t>
      </w:r>
      <w:r w:rsidRPr="00262BC4">
        <w:rPr>
          <w:rFonts w:ascii="Times New Roman" w:hAnsi="Times New Roman"/>
          <w:sz w:val="24"/>
          <w:szCs w:val="24"/>
        </w:rPr>
        <w:t xml:space="preserve">súvisí s doplnením nového účelu, na ktorý je možné poskytnúť dotáciu na obstaranie nájomného bytu, doplnením a spresnením podmienok poskytnutia dotácie pri obstaraní nájomných bytov kúpou a  úpravou niektorých ustanovení zákona vzťahujúcich sa k obstarávaniu nájomných bytov.   </w:t>
      </w:r>
    </w:p>
    <w:p w:rsidR="005166D5" w:rsidRPr="00262BC4" w:rsidP="005166D5">
      <w:pPr>
        <w:pStyle w:val="BodyText2"/>
        <w:bidi w:val="0"/>
        <w:spacing w:line="240" w:lineRule="auto"/>
        <w:ind w:firstLine="708"/>
        <w:rPr>
          <w:rFonts w:ascii="Times New Roman" w:hAnsi="Times New Roman"/>
          <w:iCs/>
        </w:rPr>
      </w:pPr>
    </w:p>
    <w:p w:rsidR="005166D5" w:rsidRPr="00262BC4" w:rsidP="005166D5">
      <w:pPr>
        <w:pStyle w:val="BodyText2"/>
        <w:bidi w:val="0"/>
        <w:spacing w:line="240" w:lineRule="auto"/>
        <w:ind w:firstLine="708"/>
        <w:rPr>
          <w:rFonts w:ascii="Times New Roman" w:hAnsi="Times New Roman"/>
          <w:iCs/>
        </w:rPr>
      </w:pPr>
      <w:r w:rsidRPr="00262BC4">
        <w:rPr>
          <w:rFonts w:ascii="Times New Roman" w:hAnsi="Times New Roman"/>
          <w:iCs/>
        </w:rPr>
        <w:t>Predložený návrh zákona nevyžaduje nové nároky na pracovné sily.</w:t>
      </w:r>
      <w:r w:rsidRPr="00262BC4">
        <w:rPr>
          <w:rFonts w:ascii="Times New Roman" w:hAnsi="Times New Roman"/>
        </w:rPr>
        <w:t> </w:t>
      </w:r>
    </w:p>
    <w:p w:rsidR="005166D5" w:rsidP="005166D5">
      <w:pPr>
        <w:bidi w:val="0"/>
        <w:rPr>
          <w:rFonts w:ascii="Times New Roman" w:hAnsi="Times New Roman"/>
        </w:rPr>
      </w:pPr>
      <w:r>
        <w:rPr>
          <w:rFonts w:ascii="Times New Roman" w:hAnsi="Times New Roman"/>
        </w:rPr>
        <w:t>.......................................................................................................................................................</w:t>
      </w:r>
    </w:p>
    <w:p w:rsidR="005166D5" w:rsidP="005166D5">
      <w:pPr>
        <w:bidi w:val="0"/>
        <w:rPr>
          <w:rFonts w:ascii="Times New Roman" w:hAnsi="Times New Roman"/>
        </w:rPr>
      </w:pPr>
      <w:r>
        <w:rPr>
          <w:rFonts w:ascii="Times New Roman" w:hAnsi="Times New Roman"/>
        </w:rPr>
        <w:t> </w:t>
      </w:r>
    </w:p>
    <w:p w:rsidR="005166D5" w:rsidP="005166D5">
      <w:pPr>
        <w:bidi w:val="0"/>
        <w:rPr>
          <w:rFonts w:ascii="Times New Roman" w:hAnsi="Times New Roman"/>
        </w:rPr>
      </w:pPr>
      <w:r w:rsidRPr="004161A1">
        <w:rPr>
          <w:rFonts w:ascii="Times New Roman" w:hAnsi="Times New Roman"/>
          <w:b/>
          <w:bCs/>
        </w:rPr>
        <w:t>2.3.2. Charakteristika návrhu podľa bodu  2.3.2. Metodiky :</w:t>
      </w:r>
    </w:p>
    <w:p w:rsidR="005166D5" w:rsidP="005166D5">
      <w:pPr>
        <w:bidi w:val="0"/>
        <w:rPr>
          <w:rFonts w:ascii="Times New Roman" w:hAnsi="Times New Roman"/>
        </w:rPr>
      </w:pPr>
      <w:r>
        <w:rPr>
          <w:rFonts w:ascii="Times New Roman" w:hAnsi="Times New Roman"/>
        </w:rPr>
        <w:t> </w:t>
      </w:r>
    </w:p>
    <w:p w:rsidR="005166D5" w:rsidP="005166D5">
      <w:pPr>
        <w:bidi w:val="0"/>
        <w:rPr>
          <w:rFonts w:ascii="Times New Roman" w:hAnsi="Times New Roman"/>
        </w:rPr>
      </w:pPr>
      <w:r w:rsidRPr="004161A1">
        <w:rPr>
          <w:rFonts w:ascii="Times New Roman" w:hAnsi="Times New Roman"/>
          <w:b/>
          <w:bCs/>
          <w:bdr w:val="single" w:sz="4" w:space="0" w:color="000000" w:frame="1"/>
        </w:rPr>
        <w:t xml:space="preserve">     </w:t>
      </w:r>
      <w:r w:rsidRPr="004161A1">
        <w:rPr>
          <w:rFonts w:ascii="Times New Roman" w:hAnsi="Times New Roman"/>
          <w:b/>
          <w:bCs/>
        </w:rPr>
        <w:t xml:space="preserve">  </w:t>
      </w:r>
      <w:r>
        <w:rPr>
          <w:rFonts w:ascii="Times New Roman" w:hAnsi="Times New Roman"/>
        </w:rPr>
        <w:t>zmena sadzby</w:t>
      </w:r>
    </w:p>
    <w:p w:rsidR="005166D5" w:rsidP="005166D5">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5166D5" w:rsidP="005166D5">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5166D5" w:rsidP="005166D5">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5166D5" w:rsidP="005166D5">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xml:space="preserve">  iné </w:t>
      </w:r>
    </w:p>
    <w:p w:rsidR="005166D5" w:rsidP="005166D5">
      <w:pPr>
        <w:bidi w:val="0"/>
        <w:rPr>
          <w:rFonts w:ascii="Times New Roman" w:hAnsi="Times New Roman"/>
        </w:rPr>
      </w:pPr>
      <w:r w:rsidRPr="004161A1">
        <w:rPr>
          <w:rFonts w:ascii="Times New Roman" w:hAnsi="Times New Roman"/>
          <w:b/>
          <w:bCs/>
        </w:rPr>
        <w:t>2.3.3. Predpoklady vývoja objemu aktivít:</w:t>
      </w:r>
    </w:p>
    <w:p w:rsidR="005166D5" w:rsidP="005166D5">
      <w:pPr>
        <w:bidi w:val="0"/>
        <w:rPr>
          <w:rFonts w:ascii="Times New Roman" w:hAnsi="Times New Roman"/>
        </w:rPr>
      </w:pPr>
      <w:r>
        <w:rPr>
          <w:rFonts w:ascii="Times New Roman" w:hAnsi="Times New Roman"/>
        </w:rPr>
        <w:t> </w:t>
      </w:r>
    </w:p>
    <w:p w:rsidR="005166D5" w:rsidP="005166D5">
      <w:pPr>
        <w:bidi w:val="0"/>
        <w:ind w:firstLine="708"/>
        <w:jc w:val="both"/>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5166D5" w:rsidP="005166D5">
      <w:pPr>
        <w:bidi w:val="0"/>
        <w:jc w:val="right"/>
        <w:rPr>
          <w:rFonts w:ascii="Times New Roman" w:hAnsi="Times New Roman"/>
        </w:rPr>
      </w:pPr>
      <w:r w:rsidRPr="004161A1">
        <w:rPr>
          <w:rFonts w:ascii="Times New Roman" w:hAnsi="Times New Roman"/>
          <w:sz w:val="20"/>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166D5" w:rsidRPr="004161A1" w:rsidP="00B819E3">
            <w:pPr>
              <w:bidi w:val="0"/>
              <w:spacing w:line="70" w:lineRule="atLeast"/>
              <w:jc w:val="center"/>
              <w:rPr>
                <w:rFonts w:ascii="Times New Roman" w:hAnsi="Times New Roman"/>
              </w:rPr>
            </w:pPr>
            <w:r w:rsidRPr="004161A1">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166D5" w:rsidRPr="004161A1" w:rsidP="00B819E3">
            <w:pPr>
              <w:bidi w:val="0"/>
              <w:spacing w:line="70" w:lineRule="atLeast"/>
              <w:jc w:val="center"/>
              <w:rPr>
                <w:rFonts w:ascii="Times New Roman" w:hAnsi="Times New Roman"/>
              </w:rPr>
            </w:pPr>
            <w:r w:rsidRPr="004161A1">
              <w:rPr>
                <w:rFonts w:ascii="Times New Roman" w:hAnsi="Times New Roman"/>
                <w:b/>
                <w:bCs/>
                <w:color w:val="FFFFFF"/>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5166D5" w:rsidRPr="004161A1" w:rsidP="00B819E3">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2015</w:t>
            </w:r>
            <w:r w:rsidRPr="004161A1">
              <w:rPr>
                <w:rFonts w:ascii="Times New Roman" w:hAnsi="Times New Roman"/>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2016</w:t>
            </w:r>
            <w:r w:rsidRPr="004161A1">
              <w:rPr>
                <w:rFonts w:ascii="Times New Roman" w:hAnsi="Times New Roman"/>
                <w:b/>
                <w:bCs/>
                <w:color w:va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5166D5" w:rsidRPr="004161A1" w:rsidP="00B819E3">
            <w:pPr>
              <w:bidi w:val="0"/>
              <w:spacing w:line="70" w:lineRule="atLeast"/>
              <w:jc w:val="center"/>
              <w:rPr>
                <w:rFonts w:ascii="Times New Roman" w:hAnsi="Times New Roman"/>
              </w:rPr>
            </w:pPr>
            <w:r>
              <w:rPr>
                <w:rFonts w:ascii="Times New Roman" w:hAnsi="Times New Roman"/>
                <w:b/>
                <w:bCs/>
                <w:color w:val="FFFFFF"/>
              </w:rPr>
              <w:t>2018</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rPr>
                <w:rFonts w:ascii="Times New Roman" w:hAnsi="Times New Roman"/>
              </w:rPr>
            </w:pPr>
            <w:r w:rsidRPr="004161A1">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rPr>
                <w:rFonts w:ascii="Times New Roman" w:hAnsi="Times New Roman"/>
              </w:rPr>
            </w:pPr>
            <w:r w:rsidRPr="004161A1">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rPr>
                <w:rFonts w:ascii="Times New Roman" w:hAnsi="Times New Roman"/>
              </w:rPr>
            </w:pPr>
            <w:r w:rsidRPr="004161A1">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5166D5" w:rsidRPr="004161A1" w:rsidP="00B819E3">
            <w:pPr>
              <w:bidi w:val="0"/>
              <w:spacing w:line="70" w:lineRule="atLeast"/>
              <w:jc w:val="right"/>
              <w:rPr>
                <w:rFonts w:ascii="Times New Roman" w:hAnsi="Times New Roman"/>
              </w:rPr>
            </w:pPr>
            <w:r w:rsidRPr="004161A1">
              <w:rPr>
                <w:rFonts w:ascii="Times New Roman" w:hAnsi="Times New Roman"/>
                <w:color w:val="000000"/>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134"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134"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134"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c>
          <w:tcPr>
            <w:tcW w:w="1134" w:type="dxa"/>
            <w:tcBorders>
              <w:top w:val="nil"/>
              <w:left w:val="nil"/>
              <w:bottom w:val="nil"/>
              <w:right w:val="nil"/>
            </w:tcBorders>
            <w:textDirection w:val="lrTb"/>
            <w:vAlign w:val="center"/>
          </w:tcPr>
          <w:p w:rsidR="005166D5" w:rsidRPr="004161A1" w:rsidP="00B819E3">
            <w:pPr>
              <w:bidi w:val="0"/>
              <w:rPr>
                <w:rFonts w:ascii="Times New Roman" w:hAnsi="Times New Roman"/>
                <w:sz w:val="2"/>
              </w:rPr>
            </w:pPr>
          </w:p>
        </w:tc>
      </w:tr>
    </w:tbl>
    <w:p w:rsidR="005166D5" w:rsidP="005166D5">
      <w:pPr>
        <w:bidi w:val="0"/>
        <w:rPr>
          <w:rFonts w:ascii="Times New Roman" w:hAnsi="Times New Roman"/>
        </w:rPr>
      </w:pPr>
      <w:r>
        <w:rPr>
          <w:rFonts w:ascii="Times New Roman" w:hAnsi="Times New Roman"/>
        </w:rPr>
        <w:t> </w:t>
      </w:r>
    </w:p>
    <w:p w:rsidR="005166D5" w:rsidP="005166D5">
      <w:pPr>
        <w:bidi w:val="0"/>
        <w:rPr>
          <w:rFonts w:ascii="Times New Roman" w:hAnsi="Times New Roman"/>
        </w:rPr>
      </w:pPr>
      <w:r>
        <w:rPr>
          <w:rFonts w:ascii="Times New Roman" w:hAnsi="Times New Roman"/>
        </w:rPr>
        <w:t> </w:t>
      </w:r>
    </w:p>
    <w:p w:rsidR="005166D5" w:rsidP="005166D5">
      <w:pPr>
        <w:bidi w:val="0"/>
        <w:rPr>
          <w:rFonts w:ascii="Times New Roman" w:hAnsi="Times New Roman"/>
        </w:rPr>
      </w:pPr>
      <w:r w:rsidRPr="004161A1">
        <w:rPr>
          <w:rFonts w:ascii="Times New Roman" w:hAnsi="Times New Roman"/>
          <w:b/>
          <w:bCs/>
        </w:rPr>
        <w:t>2.3.4. Výpočty vplyvov na verejné financie</w:t>
      </w:r>
    </w:p>
    <w:p w:rsidR="005166D5" w:rsidP="005166D5">
      <w:pPr>
        <w:bidi w:val="0"/>
        <w:rPr>
          <w:rFonts w:ascii="Times New Roman" w:hAnsi="Times New Roman"/>
        </w:rPr>
      </w:pPr>
      <w:r>
        <w:rPr>
          <w:rFonts w:ascii="Times New Roman" w:hAnsi="Times New Roman"/>
        </w:rPr>
        <w:t> </w:t>
      </w:r>
    </w:p>
    <w:p w:rsidR="005166D5" w:rsidRPr="000F3EBE" w:rsidP="005166D5">
      <w:pPr>
        <w:pStyle w:val="BodyTextIndent"/>
        <w:bidi w:val="0"/>
        <w:spacing w:before="120"/>
        <w:ind w:left="0" w:firstLine="709"/>
        <w:jc w:val="both"/>
        <w:rPr>
          <w:rFonts w:ascii="Times New Roman" w:hAnsi="Times New Roman"/>
        </w:rPr>
      </w:pPr>
      <w:r>
        <w:rPr>
          <w:rFonts w:ascii="Times New Roman" w:hAnsi="Times New Roman"/>
        </w:rPr>
        <w:t xml:space="preserve">Poskytovanie dotácií z rozpočtovej kapitoly MDVRR SR sa realizuje </w:t>
      </w:r>
      <w:r w:rsidRPr="000F3EBE">
        <w:rPr>
          <w:rFonts w:ascii="Times New Roman" w:hAnsi="Times New Roman"/>
        </w:rPr>
        <w:t>v rámci programu 017 Program rozvoja bývania, podprogram</w:t>
      </w:r>
      <w:r>
        <w:rPr>
          <w:rFonts w:ascii="Times New Roman" w:hAnsi="Times New Roman"/>
        </w:rPr>
        <w:t>u</w:t>
      </w:r>
      <w:r w:rsidRPr="000F3EBE">
        <w:rPr>
          <w:rFonts w:ascii="Times New Roman" w:hAnsi="Times New Roman"/>
        </w:rPr>
        <w:t xml:space="preserve"> 01701 Výstavba a obnova bytového fondu. </w:t>
      </w:r>
      <w:r>
        <w:rPr>
          <w:rFonts w:ascii="Times New Roman" w:hAnsi="Times New Roman"/>
        </w:rPr>
        <w:t xml:space="preserve">V roku </w:t>
      </w:r>
      <w:r w:rsidRPr="000F3EBE">
        <w:rPr>
          <w:rFonts w:ascii="Times New Roman" w:hAnsi="Times New Roman"/>
        </w:rPr>
        <w:t xml:space="preserve"> 201</w:t>
      </w:r>
      <w:r>
        <w:rPr>
          <w:rFonts w:ascii="Times New Roman" w:hAnsi="Times New Roman"/>
        </w:rPr>
        <w:t>5</w:t>
      </w:r>
      <w:r w:rsidRPr="000F3EBE">
        <w:rPr>
          <w:rFonts w:ascii="Times New Roman" w:hAnsi="Times New Roman"/>
        </w:rPr>
        <w:t xml:space="preserve"> sú </w:t>
      </w:r>
      <w:r>
        <w:rPr>
          <w:rFonts w:ascii="Times New Roman" w:hAnsi="Times New Roman"/>
        </w:rPr>
        <w:t xml:space="preserve">na tento účel </w:t>
      </w:r>
      <w:r w:rsidRPr="000F3EBE">
        <w:rPr>
          <w:rFonts w:ascii="Times New Roman" w:hAnsi="Times New Roman"/>
        </w:rPr>
        <w:t xml:space="preserve"> rozpočtované vý</w:t>
      </w:r>
      <w:r>
        <w:rPr>
          <w:rFonts w:ascii="Times New Roman" w:hAnsi="Times New Roman"/>
        </w:rPr>
        <w:t>davky vo výške 20 004 140 eur. Výška finančných prostriedkov na poskytovanie dotácií v rokoch 2016 až 2018 bude stanovená v závislosti od schválených limitov rozpočtu verejnej správy na príslušný rozpočtový rok.</w:t>
      </w:r>
    </w:p>
    <w:p w:rsidR="005166D5" w:rsidP="00E227AA">
      <w:pPr>
        <w:pStyle w:val="BodyTextIndent"/>
        <w:bidi w:val="0"/>
        <w:spacing w:before="120"/>
        <w:ind w:left="0"/>
        <w:jc w:val="both"/>
        <w:rPr>
          <w:rFonts w:ascii="Times New Roman" w:hAnsi="Times New Roman"/>
        </w:rPr>
      </w:pPr>
    </w:p>
    <w:p w:rsidR="00262BC4" w:rsidP="00E227AA">
      <w:pPr>
        <w:pStyle w:val="BodyTextIndent"/>
        <w:bidi w:val="0"/>
        <w:spacing w:before="120"/>
        <w:ind w:left="0"/>
        <w:jc w:val="both"/>
        <w:rPr>
          <w:rFonts w:ascii="Times New Roman" w:hAnsi="Times New Roman"/>
        </w:rPr>
      </w:pPr>
    </w:p>
    <w:p w:rsidR="0040540E" w:rsidRPr="000F3EBE" w:rsidP="00E227AA">
      <w:pPr>
        <w:pStyle w:val="BodyTextIndent"/>
        <w:bidi w:val="0"/>
        <w:spacing w:before="120"/>
        <w:ind w:left="0"/>
        <w:jc w:val="both"/>
        <w:rPr>
          <w:rFonts w:ascii="Times New Roman" w:hAnsi="Times New Roman"/>
        </w:rPr>
      </w:pPr>
    </w:p>
    <w:p w:rsidR="005166D5" w:rsidRPr="00CA289B" w:rsidP="005166D5">
      <w:pPr>
        <w:bidi w:val="0"/>
        <w:jc w:val="both"/>
        <w:rPr>
          <w:rFonts w:ascii="Times New Roman" w:hAnsi="Times New Roman"/>
          <w:b/>
        </w:rPr>
      </w:pPr>
      <w:r w:rsidRPr="00CA289B">
        <w:rPr>
          <w:rFonts w:ascii="Times New Roman" w:hAnsi="Times New Roman"/>
          <w:b/>
        </w:rPr>
        <w:t xml:space="preserve">Ministerstvo dopravy, výstavby a regionálneho rozvoja SR           </w:t>
      </w:r>
      <w:r>
        <w:rPr>
          <w:rFonts w:ascii="Times New Roman" w:hAnsi="Times New Roman"/>
          <w:b/>
        </w:rPr>
        <w:t xml:space="preserve">                  </w:t>
      </w:r>
      <w:r w:rsidRPr="00CA289B">
        <w:rPr>
          <w:rFonts w:ascii="Times New Roman" w:hAnsi="Times New Roman"/>
          <w:b/>
        </w:rPr>
        <w:t xml:space="preserve"> </w:t>
      </w:r>
      <w:r>
        <w:rPr>
          <w:rFonts w:ascii="Times New Roman" w:hAnsi="Times New Roman"/>
        </w:rPr>
        <w:t>Tabuľka č. 4</w:t>
      </w:r>
      <w:r w:rsidRPr="00CA289B">
        <w:rPr>
          <w:rFonts w:ascii="Times New Roman" w:hAnsi="Times New Roman"/>
          <w:b/>
        </w:rPr>
        <w:t xml:space="preserve">     </w:t>
      </w:r>
      <w:r>
        <w:rPr>
          <w:rFonts w:ascii="Times New Roman" w:hAnsi="Times New Roman"/>
          <w:b/>
        </w:rPr>
        <w:t xml:space="preserve">          </w:t>
      </w:r>
    </w:p>
    <w:tbl>
      <w:tblPr>
        <w:tblStyle w:val="TableNormal"/>
        <w:tblW w:w="11057" w:type="dxa"/>
        <w:tblInd w:w="-639" w:type="dxa"/>
        <w:tblLayout w:type="fixed"/>
        <w:tblCellMar>
          <w:left w:w="0" w:type="dxa"/>
          <w:right w:w="0" w:type="dxa"/>
        </w:tblCellMar>
      </w:tblPr>
      <w:tblGrid>
        <w:gridCol w:w="6522"/>
        <w:gridCol w:w="1275"/>
        <w:gridCol w:w="709"/>
        <w:gridCol w:w="709"/>
        <w:gridCol w:w="709"/>
        <w:gridCol w:w="1133"/>
      </w:tblGrid>
      <w:tr>
        <w:tblPrEx>
          <w:tblW w:w="11057" w:type="dxa"/>
          <w:tblInd w:w="-639" w:type="dxa"/>
          <w:tblLayout w:type="fixed"/>
          <w:tblCellMar>
            <w:left w:w="0" w:type="dxa"/>
            <w:right w:w="0" w:type="dxa"/>
          </w:tblCellMar>
        </w:tblPrEx>
        <w:trPr>
          <w:trHeight w:val="255"/>
        </w:trPr>
        <w:tc>
          <w:tcPr>
            <w:tcW w:w="652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P="00B819E3">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Výdavky (v eurách)</w:t>
            </w:r>
          </w:p>
        </w:tc>
        <w:tc>
          <w:tcPr>
            <w:tcW w:w="3402"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166D5" w:rsidP="00B819E3">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Vplyv na rozpočet verejnej správy</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5166D5" w:rsidRPr="00CA289B" w:rsidP="00B819E3">
            <w:pPr>
              <w:pStyle w:val="NormalWeb"/>
              <w:bidi w:val="0"/>
              <w:spacing w:before="0" w:beforeAutospacing="0" w:after="0" w:afterAutospacing="0"/>
              <w:jc w:val="center"/>
              <w:rPr>
                <w:rFonts w:ascii="Times New Roman" w:hAnsi="Times New Roman"/>
                <w:sz w:val="20"/>
                <w:szCs w:val="20"/>
              </w:rPr>
            </w:pPr>
            <w:r w:rsidRPr="00CA289B">
              <w:rPr>
                <w:rFonts w:ascii="Times New Roman" w:hAnsi="Times New Roman"/>
                <w:b/>
                <w:bCs/>
                <w:color w:val="FFFFFF"/>
                <w:sz w:val="20"/>
                <w:szCs w:val="20"/>
              </w:rPr>
              <w:t>poznámka</w:t>
            </w:r>
          </w:p>
        </w:tc>
      </w:tr>
      <w:tr>
        <w:tblPrEx>
          <w:tblW w:w="11057" w:type="dxa"/>
          <w:tblInd w:w="-639" w:type="dxa"/>
          <w:tblLayout w:type="fixed"/>
          <w:tblCellMar>
            <w:left w:w="0" w:type="dxa"/>
            <w:right w:w="0" w:type="dxa"/>
          </w:tblCellMar>
        </w:tblPrEx>
        <w:trPr>
          <w:trHeight w:val="197"/>
        </w:trPr>
        <w:tc>
          <w:tcPr>
            <w:tcW w:w="6522" w:type="dxa"/>
            <w:vMerge/>
            <w:tcBorders>
              <w:top w:val="single" w:sz="4" w:space="0" w:color="000000"/>
              <w:left w:val="single" w:sz="4" w:space="0" w:color="000000"/>
              <w:bottom w:val="single" w:sz="4" w:space="0" w:color="000000"/>
              <w:right w:val="single" w:sz="4" w:space="0" w:color="000000"/>
            </w:tcBorders>
            <w:textDirection w:val="lrTb"/>
            <w:vAlign w:val="center"/>
          </w:tcPr>
          <w:p w:rsidR="005166D5" w:rsidP="00B819E3">
            <w:pPr>
              <w:bidi w:val="0"/>
              <w:rPr>
                <w:rFonts w:ascii="Times New Roman" w:hAnsi="Times New Roman"/>
              </w:rPr>
            </w:pP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166D5" w:rsidP="00B819E3">
            <w:pPr>
              <w:pStyle w:val="NormalWeb"/>
              <w:bidi w:val="0"/>
              <w:spacing w:before="0" w:beforeAutospacing="0" w:after="0" w:afterAutospacing="0"/>
              <w:jc w:val="center"/>
              <w:rPr>
                <w:rFonts w:ascii="Times New Roman" w:hAnsi="Times New Roman"/>
              </w:rPr>
            </w:pPr>
            <w:r>
              <w:rPr>
                <w:rFonts w:ascii="Times New Roman" w:hAnsi="Times New Roman"/>
                <w:b/>
                <w:bCs/>
                <w:color w:val="FFFFFF"/>
                <w:sz w:val="20"/>
                <w:szCs w:val="20"/>
              </w:rPr>
              <w:t>2015</w:t>
            </w:r>
          </w:p>
        </w:tc>
        <w:tc>
          <w:tcPr>
            <w:tcW w:w="70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166D5" w:rsidRPr="000E516E" w:rsidP="00B819E3">
            <w:pPr>
              <w:pStyle w:val="NormalWeb"/>
              <w:bidi w:val="0"/>
              <w:spacing w:before="0" w:beforeAutospacing="0" w:after="0" w:afterAutospacing="0"/>
              <w:jc w:val="center"/>
              <w:rPr>
                <w:rFonts w:ascii="Times New Roman" w:hAnsi="Times New Roman"/>
                <w:b/>
                <w:bCs/>
                <w:sz w:val="20"/>
                <w:szCs w:val="20"/>
              </w:rPr>
            </w:pPr>
            <w:r w:rsidRPr="000E516E">
              <w:rPr>
                <w:rFonts w:ascii="Times New Roman" w:hAnsi="Times New Roman"/>
                <w:b/>
                <w:bCs/>
                <w:sz w:val="20"/>
                <w:szCs w:val="20"/>
              </w:rPr>
              <w:t>2016</w:t>
            </w:r>
          </w:p>
        </w:tc>
        <w:tc>
          <w:tcPr>
            <w:tcW w:w="70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166D5" w:rsidRPr="000E516E" w:rsidP="00B819E3">
            <w:pPr>
              <w:pStyle w:val="NormalWeb"/>
              <w:bidi w:val="0"/>
              <w:spacing w:before="0" w:beforeAutospacing="0" w:after="0" w:afterAutospacing="0"/>
              <w:jc w:val="center"/>
              <w:rPr>
                <w:rFonts w:ascii="Times New Roman" w:hAnsi="Times New Roman"/>
                <w:b/>
                <w:bCs/>
                <w:sz w:val="20"/>
                <w:szCs w:val="20"/>
              </w:rPr>
            </w:pPr>
            <w:r w:rsidRPr="000E516E">
              <w:rPr>
                <w:rFonts w:ascii="Times New Roman" w:hAnsi="Times New Roman"/>
                <w:b/>
                <w:bCs/>
                <w:sz w:val="20"/>
                <w:szCs w:val="20"/>
              </w:rPr>
              <w:t>2017</w:t>
            </w:r>
          </w:p>
        </w:tc>
        <w:tc>
          <w:tcPr>
            <w:tcW w:w="70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5166D5" w:rsidRPr="000E516E" w:rsidP="00B819E3">
            <w:pPr>
              <w:pStyle w:val="NormalWeb"/>
              <w:bidi w:val="0"/>
              <w:spacing w:before="0" w:beforeAutospacing="0" w:after="0" w:afterAutospacing="0"/>
              <w:jc w:val="center"/>
              <w:rPr>
                <w:rFonts w:ascii="Times New Roman" w:hAnsi="Times New Roman"/>
                <w:b/>
                <w:bCs/>
                <w:sz w:val="20"/>
                <w:szCs w:val="20"/>
              </w:rPr>
            </w:pPr>
            <w:r w:rsidRPr="000E516E">
              <w:rPr>
                <w:rFonts w:ascii="Times New Roman" w:hAnsi="Times New Roman"/>
                <w:b/>
                <w:bCs/>
                <w:sz w:val="20"/>
                <w:szCs w:val="20"/>
              </w:rPr>
              <w:t>2018</w:t>
            </w:r>
          </w:p>
        </w:tc>
        <w:tc>
          <w:tcPr>
            <w:tcW w:w="1133" w:type="dxa"/>
            <w:vMerge/>
            <w:tcBorders>
              <w:top w:val="single" w:sz="4" w:space="0" w:color="000000"/>
              <w:left w:val="single" w:sz="4" w:space="0" w:color="000000"/>
              <w:bottom w:val="single" w:sz="4" w:space="0" w:color="000000"/>
              <w:right w:val="single" w:sz="4" w:space="0" w:color="000000"/>
            </w:tcBorders>
            <w:textDirection w:val="lrTb"/>
            <w:vAlign w:val="center"/>
          </w:tcPr>
          <w:p w:rsidR="005166D5" w:rsidP="00B819E3">
            <w:pPr>
              <w:bidi w:val="0"/>
              <w:rPr>
                <w:rFonts w:ascii="Times New Roman" w:hAnsi="Times New Roman"/>
              </w:rPr>
            </w:pP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b/>
                <w:bCs/>
                <w:sz w:val="20"/>
                <w:szCs w:val="20"/>
              </w:rPr>
              <w:t>Bežné výdavky (600) MDVRR SR</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0E516E"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0E516E"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0E516E"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Mzdy, platy, služobné príjmy a ostatné osobné vyrovnania (610)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jc w:val="center"/>
              <w:rPr>
                <w:rFonts w:ascii="Times New Roman" w:hAnsi="Times New Roman"/>
              </w:rPr>
            </w:pPr>
            <w:r>
              <w:rPr>
                <w:rFonts w:ascii="Times New Roman" w:hAnsi="Times New Roman"/>
                <w:sz w:val="20"/>
                <w:szCs w:val="20"/>
              </w:rPr>
              <w:t> 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9B0590" w:rsidP="00B819E3">
            <w:pPr>
              <w:pStyle w:val="NormalWeb"/>
              <w:bidi w:val="0"/>
              <w:spacing w:before="0" w:beforeAutospacing="0" w:after="0" w:afterAutospacing="0"/>
              <w:jc w:val="center"/>
              <w:rPr>
                <w:rFonts w:ascii="Times New Roman" w:hAnsi="Times New Roman"/>
                <w:sz w:val="20"/>
                <w:szCs w:val="20"/>
              </w:rPr>
            </w:pPr>
            <w:r>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bidi w:val="0"/>
              <w:jc w:val="center"/>
              <w:rPr>
                <w:rFonts w:ascii="Times New Roman" w:hAnsi="Times New Roman"/>
                <w:sz w:val="20"/>
                <w:szCs w:val="20"/>
              </w:rPr>
            </w:pPr>
            <w:r w:rsidRPr="003460E4">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bidi w:val="0"/>
              <w:jc w:val="center"/>
              <w:rPr>
                <w:rFonts w:ascii="Times New Roman" w:hAnsi="Times New Roman"/>
                <w:sz w:val="20"/>
                <w:szCs w:val="20"/>
              </w:rPr>
            </w:pPr>
            <w:r w:rsidRPr="003460E4">
              <w:rPr>
                <w:rFonts w:ascii="Times New Roman" w:hAnsi="Times New Roman"/>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Poistné a príspevok do poisťovní (620)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jc w:val="center"/>
              <w:rPr>
                <w:rFonts w:ascii="Times New Roman" w:hAnsi="Times New Roman"/>
              </w:rPr>
            </w:pPr>
            <w:r>
              <w:rPr>
                <w:rFonts w:ascii="Times New Roman" w:hAnsi="Times New Roman"/>
                <w:sz w:val="20"/>
                <w:szCs w:val="20"/>
              </w:rPr>
              <w:t> 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9B0590" w:rsidP="00B819E3">
            <w:pPr>
              <w:pStyle w:val="NormalWeb"/>
              <w:bidi w:val="0"/>
              <w:spacing w:before="0" w:beforeAutospacing="0" w:after="0" w:afterAutospacing="0"/>
              <w:jc w:val="center"/>
              <w:rPr>
                <w:rFonts w:ascii="Times New Roman" w:hAnsi="Times New Roman"/>
                <w:sz w:val="20"/>
                <w:szCs w:val="20"/>
              </w:rPr>
            </w:pPr>
            <w:r>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bidi w:val="0"/>
              <w:jc w:val="center"/>
              <w:rPr>
                <w:rFonts w:ascii="Times New Roman" w:hAnsi="Times New Roman"/>
                <w:sz w:val="20"/>
                <w:szCs w:val="20"/>
              </w:rPr>
            </w:pPr>
            <w:r w:rsidRPr="003460E4">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bidi w:val="0"/>
              <w:jc w:val="center"/>
              <w:rPr>
                <w:rFonts w:ascii="Times New Roman" w:hAnsi="Times New Roman"/>
                <w:sz w:val="20"/>
                <w:szCs w:val="20"/>
              </w:rPr>
            </w:pPr>
            <w:r w:rsidRPr="003460E4">
              <w:rPr>
                <w:rFonts w:ascii="Times New Roman" w:hAnsi="Times New Roman"/>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jc w:val="center"/>
              <w:rPr>
                <w:rFonts w:ascii="Times New Roman" w:hAnsi="Times New Roman"/>
              </w:rPr>
            </w:pPr>
            <w:r>
              <w:rPr>
                <w:rFonts w:ascii="Times New Roman" w:hAnsi="Times New Roman"/>
                <w:sz w:val="20"/>
                <w:szCs w:val="20"/>
              </w:rPr>
              <w:t> 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C44DE0" w:rsidP="00B819E3">
            <w:pPr>
              <w:pStyle w:val="NormalWeb"/>
              <w:bidi w:val="0"/>
              <w:spacing w:before="0" w:beforeAutospacing="0" w:after="0" w:afterAutospacing="0"/>
              <w:jc w:val="center"/>
              <w:rPr>
                <w:rFonts w:ascii="Times New Roman" w:hAnsi="Times New Roman"/>
              </w:rPr>
            </w:pPr>
            <w:r>
              <w:rPr>
                <w:rFonts w:ascii="Times New Roman" w:hAnsi="Times New Roman"/>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bidi w:val="0"/>
              <w:jc w:val="center"/>
              <w:rPr>
                <w:rFonts w:ascii="Times New Roman" w:hAnsi="Times New Roman"/>
                <w:sz w:val="20"/>
                <w:szCs w:val="20"/>
              </w:rPr>
            </w:pPr>
            <w:r w:rsidRPr="003460E4">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bidi w:val="0"/>
              <w:jc w:val="center"/>
              <w:rPr>
                <w:rFonts w:ascii="Times New Roman" w:hAnsi="Times New Roman"/>
                <w:sz w:val="20"/>
                <w:szCs w:val="20"/>
              </w:rPr>
            </w:pPr>
            <w:r w:rsidRPr="003460E4">
              <w:rPr>
                <w:rFonts w:ascii="Times New Roman" w:hAnsi="Times New Roman"/>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3602D7">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3602D7">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3602D7">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3602D7">
              <w:rPr>
                <w:rFonts w:ascii="Times New Roman" w:hAnsi="Times New Roman"/>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b/>
                <w:bCs/>
                <w:sz w:val="20"/>
                <w:szCs w:val="20"/>
              </w:rPr>
              <w:t>Kapitálové výdavky (700)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jc w:val="center"/>
              <w:rPr>
                <w:rFonts w:ascii="Times New Roman" w:hAnsi="Times New Roman"/>
              </w:rPr>
            </w:pPr>
            <w:r>
              <w:rPr>
                <w:rFonts w:ascii="Times New Roman" w:hAnsi="Times New Roman"/>
                <w:b/>
                <w:bCs/>
                <w:sz w:val="20"/>
                <w:szCs w:val="20"/>
              </w:rPr>
              <w:t>20 004 140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C44DE0"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C44DE0"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C44DE0"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Obstarávanie kapitálových aktív (710)</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sidRPr="003460E4">
              <w:rPr>
                <w:rFonts w:ascii="Times New Roman" w:hAnsi="Times New Roman"/>
                <w:bCs/>
                <w:sz w:val="20"/>
                <w:szCs w:val="20"/>
              </w:rPr>
              <w:t>20 004 140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Pr>
                <w:rFonts w:ascii="Times New Roman" w:hAnsi="Times New Roman"/>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Pr>
                <w:rFonts w:ascii="Times New Roman" w:hAnsi="Times New Roman"/>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Pr>
                <w:rFonts w:ascii="Times New Roman" w:hAnsi="Times New Roman"/>
                <w:bCs/>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b/>
                <w:bCs/>
                <w:sz w:val="20"/>
                <w:szCs w:val="20"/>
              </w:rPr>
              <w:t>Výdavky z transakcií s finančnými aktívami a finančnými pasívami (800)</w:t>
            </w:r>
          </w:p>
        </w:tc>
        <w:tc>
          <w:tcPr>
            <w:tcW w:w="1275"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709"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926D45">
              <w:rPr>
                <w:rFonts w:ascii="Times New Roman" w:hAnsi="Times New Roman"/>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b/>
                <w:bCs/>
                <w:color w:val="FFFFFF"/>
                <w:sz w:val="20"/>
                <w:szCs w:val="20"/>
              </w:rPr>
              <w:t>Dopad na výdavky verejnej správy celkom</w:t>
            </w:r>
          </w:p>
        </w:tc>
        <w:tc>
          <w:tcPr>
            <w:tcW w:w="1275"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166D5" w:rsidRPr="00C44DE0"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20 004 140</w:t>
            </w:r>
          </w:p>
        </w:tc>
        <w:tc>
          <w:tcPr>
            <w:tcW w:w="709"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166D5" w:rsidRPr="00531BAA"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0</w:t>
            </w:r>
          </w:p>
        </w:tc>
        <w:tc>
          <w:tcPr>
            <w:tcW w:w="709"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334BBF">
              <w:rPr>
                <w:rFonts w:ascii="Times New Roman" w:hAnsi="Times New Roman"/>
                <w:b/>
                <w:bCs/>
                <w:sz w:val="20"/>
                <w:szCs w:val="20"/>
              </w:rPr>
              <w:t>0</w:t>
            </w:r>
          </w:p>
        </w:tc>
        <w:tc>
          <w:tcPr>
            <w:tcW w:w="709"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5166D5" w:rsidP="00B819E3">
            <w:pPr>
              <w:bidi w:val="0"/>
              <w:jc w:val="center"/>
              <w:rPr>
                <w:rFonts w:ascii="Times New Roman" w:hAnsi="Times New Roman"/>
              </w:rPr>
            </w:pPr>
            <w:r w:rsidRPr="00334BBF">
              <w:rPr>
                <w:rFonts w:ascii="Times New Roman" w:hAnsi="Times New Roman"/>
                <w:b/>
                <w:bCs/>
                <w:sz w:val="20"/>
                <w:szCs w:val="20"/>
              </w:rPr>
              <w:t>0</w:t>
            </w:r>
          </w:p>
        </w:tc>
        <w:tc>
          <w:tcPr>
            <w:tcW w:w="113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color w:val="FFFFFF"/>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b/>
                <w:bCs/>
                <w:sz w:val="20"/>
                <w:szCs w:val="20"/>
              </w:rPr>
              <w:t>  z toho výdavky na ŠR</w:t>
            </w:r>
          </w:p>
        </w:tc>
        <w:tc>
          <w:tcPr>
            <w:tcW w:w="1275"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C44DE0" w:rsidP="00B819E3">
            <w:pPr>
              <w:pStyle w:val="NormalWeb"/>
              <w:bidi w:val="0"/>
              <w:spacing w:before="0" w:beforeAutospacing="0" w:after="0" w:afterAutospacing="0"/>
              <w:jc w:val="center"/>
              <w:rPr>
                <w:rFonts w:ascii="Times New Roman" w:hAnsi="Times New Roman"/>
                <w:b/>
                <w:bCs/>
                <w:sz w:val="20"/>
                <w:szCs w:val="20"/>
              </w:rPr>
            </w:pPr>
            <w:r>
              <w:rPr>
                <w:rFonts w:ascii="Times New Roman" w:hAnsi="Times New Roman"/>
                <w:b/>
                <w:bCs/>
                <w:sz w:val="20"/>
                <w:szCs w:val="20"/>
              </w:rPr>
              <w:t>20 004 140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5D1E13" w:rsidP="00B819E3">
            <w:pPr>
              <w:pStyle w:val="NormalWeb"/>
              <w:bidi w:val="0"/>
              <w:spacing w:before="0" w:beforeAutospacing="0" w:after="0" w:afterAutospacing="0"/>
              <w:jc w:val="center"/>
              <w:rPr>
                <w:rFonts w:ascii="Times New Roman" w:hAnsi="Times New Roman"/>
                <w:b/>
                <w:bCs/>
                <w:sz w:val="20"/>
                <w:szCs w:val="20"/>
              </w:rPr>
            </w:pPr>
            <w:r w:rsidRPr="00854F3B">
              <w:rPr>
                <w:rFonts w:ascii="Times New Roman" w:hAnsi="Times New Roman"/>
                <w:b/>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5D1E13" w:rsidP="00B819E3">
            <w:pPr>
              <w:pStyle w:val="NormalWeb"/>
              <w:bidi w:val="0"/>
              <w:spacing w:before="0" w:beforeAutospacing="0" w:after="0" w:afterAutospacing="0"/>
              <w:jc w:val="center"/>
              <w:rPr>
                <w:rFonts w:ascii="Times New Roman" w:hAnsi="Times New Roman"/>
                <w:b/>
                <w:bCs/>
                <w:sz w:val="20"/>
                <w:szCs w:val="20"/>
              </w:rPr>
            </w:pPr>
            <w:r w:rsidRPr="00854F3B">
              <w:rPr>
                <w:rFonts w:ascii="Times New Roman" w:hAnsi="Times New Roman"/>
                <w:b/>
                <w:bCs/>
                <w:sz w:val="20"/>
                <w:szCs w:val="20"/>
              </w:rPr>
              <w:t>0</w:t>
            </w:r>
          </w:p>
        </w:tc>
        <w:tc>
          <w:tcPr>
            <w:tcW w:w="70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5D1E13" w:rsidP="00B819E3">
            <w:pPr>
              <w:pStyle w:val="NormalWeb"/>
              <w:bidi w:val="0"/>
              <w:spacing w:before="0" w:beforeAutospacing="0" w:after="0" w:afterAutospacing="0"/>
              <w:jc w:val="center"/>
              <w:rPr>
                <w:rFonts w:ascii="Times New Roman" w:hAnsi="Times New Roman"/>
                <w:b/>
                <w:bCs/>
                <w:sz w:val="20"/>
                <w:szCs w:val="20"/>
              </w:rPr>
            </w:pPr>
            <w:r w:rsidRPr="00854F3B">
              <w:rPr>
                <w:rFonts w:ascii="Times New Roman" w:hAnsi="Times New Roman"/>
                <w:b/>
                <w:bCs/>
                <w:sz w:val="20"/>
                <w:szCs w:val="20"/>
              </w:rPr>
              <w:t>0</w:t>
            </w:r>
          </w:p>
        </w:tc>
        <w:tc>
          <w:tcPr>
            <w:tcW w:w="113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27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pStyle w:val="NormalWeb"/>
              <w:bidi w:val="0"/>
              <w:spacing w:before="0" w:beforeAutospacing="0" w:after="0" w:afterAutospacing="0"/>
              <w:jc w:val="center"/>
              <w:rPr>
                <w:rFonts w:ascii="Times New Roman" w:hAnsi="Times New Roman"/>
              </w:rPr>
            </w:pPr>
            <w:r w:rsidRPr="003460E4">
              <w:rPr>
                <w:rFonts w:ascii="Times New Roman" w:hAnsi="Times New Roman"/>
                <w:bCs/>
                <w:sz w:val="20"/>
                <w:szCs w:val="20"/>
              </w:rPr>
              <w:t>0 </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pStyle w:val="NormalWeb"/>
              <w:bidi w:val="0"/>
              <w:spacing w:before="0" w:beforeAutospacing="0" w:after="0" w:afterAutospacing="0"/>
              <w:jc w:val="center"/>
              <w:rPr>
                <w:rFonts w:ascii="Times New Roman" w:hAnsi="Times New Roman"/>
                <w:bCs/>
                <w:sz w:val="20"/>
                <w:szCs w:val="20"/>
              </w:rPr>
            </w:pPr>
            <w:r w:rsidRPr="003460E4">
              <w:rPr>
                <w:rFonts w:ascii="Times New Roman" w:hAnsi="Times New Roman"/>
                <w:bCs/>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pStyle w:val="NormalWeb"/>
              <w:bidi w:val="0"/>
              <w:spacing w:before="0" w:beforeAutospacing="0" w:after="0" w:afterAutospacing="0"/>
              <w:jc w:val="center"/>
              <w:rPr>
                <w:rFonts w:ascii="Times New Roman" w:hAnsi="Times New Roman"/>
                <w:bCs/>
                <w:sz w:val="20"/>
                <w:szCs w:val="20"/>
              </w:rPr>
            </w:pPr>
            <w:r w:rsidRPr="003460E4">
              <w:rPr>
                <w:rFonts w:ascii="Times New Roman" w:hAnsi="Times New Roman"/>
                <w:bCs/>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pStyle w:val="NormalWeb"/>
              <w:bidi w:val="0"/>
              <w:spacing w:before="0" w:beforeAutospacing="0" w:after="0" w:afterAutospacing="0"/>
              <w:jc w:val="center"/>
              <w:rPr>
                <w:rFonts w:ascii="Times New Roman" w:hAnsi="Times New Roman"/>
                <w:bCs/>
                <w:sz w:val="20"/>
                <w:szCs w:val="20"/>
              </w:rPr>
            </w:pPr>
            <w:r w:rsidRPr="003460E4">
              <w:rPr>
                <w:rFonts w:ascii="Times New Roman" w:hAnsi="Times New Roman"/>
                <w:bCs/>
                <w:sz w:val="20"/>
                <w:szCs w:val="20"/>
              </w:rPr>
              <w:t>0</w:t>
            </w:r>
          </w:p>
        </w:tc>
        <w:tc>
          <w:tcPr>
            <w:tcW w:w="11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b/>
                <w:bCs/>
                <w:sz w:val="20"/>
                <w:szCs w:val="20"/>
              </w:rPr>
              <w:t xml:space="preserve">        </w:t>
            </w:r>
            <w:r>
              <w:rPr>
                <w:rFonts w:ascii="Times New Roman" w:hAnsi="Times New Roman"/>
                <w:sz w:val="20"/>
                <w:szCs w:val="20"/>
              </w:rPr>
              <w:t>Mzdy, platy, služobné príjmy a ostatné osobné vyrovnania (610)</w:t>
            </w:r>
          </w:p>
        </w:tc>
        <w:tc>
          <w:tcPr>
            <w:tcW w:w="127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pStyle w:val="NormalWeb"/>
              <w:bidi w:val="0"/>
              <w:spacing w:before="0" w:beforeAutospacing="0" w:after="0" w:afterAutospacing="0"/>
              <w:jc w:val="center"/>
              <w:rPr>
                <w:rFonts w:ascii="Times New Roman" w:hAnsi="Times New Roman"/>
              </w:rPr>
            </w:pPr>
            <w:r w:rsidRPr="003460E4">
              <w:rPr>
                <w:rFonts w:ascii="Times New Roman" w:hAnsi="Times New Roman"/>
                <w:bCs/>
                <w:sz w:val="20"/>
                <w:szCs w:val="20"/>
              </w:rPr>
              <w:t>0 </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3460E4" w:rsidP="00B819E3">
            <w:pPr>
              <w:pStyle w:val="NormalWeb"/>
              <w:bidi w:val="0"/>
              <w:spacing w:before="0" w:beforeAutospacing="0" w:after="0" w:afterAutospacing="0"/>
              <w:jc w:val="center"/>
              <w:rPr>
                <w:rFonts w:ascii="Times New Roman" w:hAnsi="Times New Roman"/>
                <w:bCs/>
                <w:sz w:val="20"/>
                <w:szCs w:val="20"/>
              </w:rPr>
            </w:pPr>
            <w:r w:rsidRPr="003460E4">
              <w:rPr>
                <w:rFonts w:ascii="Times New Roman" w:hAnsi="Times New Roman"/>
                <w:bCs/>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sidRPr="003460E4">
              <w:rPr>
                <w:rFonts w:ascii="Times New Roman" w:hAnsi="Times New Roman"/>
                <w:bCs/>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sidRPr="003460E4">
              <w:rPr>
                <w:rFonts w:ascii="Times New Roman" w:hAnsi="Times New Roman"/>
                <w:bCs/>
                <w:sz w:val="20"/>
                <w:szCs w:val="20"/>
              </w:rPr>
              <w:t>0</w:t>
            </w:r>
          </w:p>
        </w:tc>
        <w:tc>
          <w:tcPr>
            <w:tcW w:w="11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Kapitálové výdavky (700)</w:t>
            </w:r>
          </w:p>
        </w:tc>
        <w:tc>
          <w:tcPr>
            <w:tcW w:w="127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pStyle w:val="NormalWeb"/>
              <w:bidi w:val="0"/>
              <w:spacing w:before="0" w:beforeAutospacing="0" w:after="0" w:afterAutospacing="0"/>
              <w:jc w:val="center"/>
              <w:rPr>
                <w:rFonts w:ascii="Times New Roman" w:hAnsi="Times New Roman"/>
              </w:rPr>
            </w:pPr>
            <w:r w:rsidRPr="003460E4">
              <w:rPr>
                <w:rFonts w:ascii="Times New Roman" w:hAnsi="Times New Roman"/>
                <w:bCs/>
                <w:sz w:val="20"/>
                <w:szCs w:val="20"/>
              </w:rPr>
              <w:t>20 004 140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pStyle w:val="NormalWeb"/>
              <w:bidi w:val="0"/>
              <w:spacing w:before="0" w:beforeAutospacing="0" w:after="0" w:afterAutospacing="0"/>
              <w:jc w:val="center"/>
              <w:rPr>
                <w:rFonts w:ascii="Times New Roman" w:hAnsi="Times New Roman"/>
              </w:rPr>
            </w:pPr>
            <w:r w:rsidRPr="00AD5CF8">
              <w:rPr>
                <w:rFonts w:ascii="Times New Roman" w:hAnsi="Times New Roman"/>
                <w:b/>
                <w:bCs/>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pStyle w:val="NormalWeb"/>
              <w:bidi w:val="0"/>
              <w:spacing w:before="0" w:beforeAutospacing="0" w:after="0" w:afterAutospacing="0"/>
              <w:jc w:val="center"/>
              <w:rPr>
                <w:rFonts w:ascii="Times New Roman" w:hAnsi="Times New Roman"/>
              </w:rPr>
            </w:pPr>
            <w:r w:rsidRPr="00AD5CF8">
              <w:rPr>
                <w:rFonts w:ascii="Times New Roman" w:hAnsi="Times New Roman"/>
                <w:b/>
                <w:bCs/>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sidRPr="00AD5CF8">
              <w:rPr>
                <w:rFonts w:ascii="Times New Roman" w:hAnsi="Times New Roman"/>
                <w:b/>
                <w:bCs/>
                <w:sz w:val="20"/>
                <w:szCs w:val="20"/>
              </w:rPr>
              <w:t>0</w:t>
            </w:r>
          </w:p>
        </w:tc>
        <w:tc>
          <w:tcPr>
            <w:tcW w:w="11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r>
        <w:tblPrEx>
          <w:tblW w:w="11057" w:type="dxa"/>
          <w:tblInd w:w="-639" w:type="dxa"/>
          <w:tblLayout w:type="fixed"/>
          <w:tblCellMar>
            <w:left w:w="0" w:type="dxa"/>
            <w:right w:w="0" w:type="dxa"/>
          </w:tblCellMar>
        </w:tblPrEx>
        <w:trPr>
          <w:trHeight w:val="255"/>
        </w:trPr>
        <w:tc>
          <w:tcPr>
            <w:tcW w:w="652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166D5" w:rsidP="00B819E3">
            <w:pPr>
              <w:pStyle w:val="NormalWeb"/>
              <w:bidi w:val="0"/>
              <w:spacing w:before="0" w:beforeAutospacing="0" w:after="0" w:afterAutospacing="0"/>
              <w:rPr>
                <w:rFonts w:ascii="Times New Roman" w:hAnsi="Times New Roman"/>
              </w:rPr>
            </w:pPr>
            <w:r>
              <w:rPr>
                <w:rFonts w:ascii="Times New Roman" w:hAnsi="Times New Roman"/>
                <w:sz w:val="20"/>
                <w:szCs w:val="20"/>
              </w:rPr>
              <w:t>    Výdavky z transakcií s finančnými aktívami a finančnými pasívami (800)</w:t>
            </w:r>
          </w:p>
        </w:tc>
        <w:tc>
          <w:tcPr>
            <w:tcW w:w="1275"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sidRPr="006405F5">
              <w:rPr>
                <w:rFonts w:ascii="Times New Roman" w:hAnsi="Times New Roman"/>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sidRPr="006405F5">
              <w:rPr>
                <w:rFonts w:ascii="Times New Roman" w:hAnsi="Times New Roman"/>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sidRPr="006405F5">
              <w:rPr>
                <w:rFonts w:ascii="Times New Roman" w:hAnsi="Times New Roman"/>
                <w:sz w:val="20"/>
                <w:szCs w:val="20"/>
              </w:rPr>
              <w:t>0</w:t>
            </w:r>
          </w:p>
        </w:tc>
        <w:tc>
          <w:tcPr>
            <w:tcW w:w="70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166D5" w:rsidRPr="006405F5" w:rsidP="00B819E3">
            <w:pPr>
              <w:bidi w:val="0"/>
              <w:jc w:val="center"/>
              <w:rPr>
                <w:rFonts w:ascii="Times New Roman" w:hAnsi="Times New Roman"/>
              </w:rPr>
            </w:pPr>
            <w:r w:rsidRPr="006405F5">
              <w:rPr>
                <w:rFonts w:ascii="Times New Roman" w:hAnsi="Times New Roman"/>
                <w:sz w:val="20"/>
                <w:szCs w:val="20"/>
              </w:rPr>
              <w:t>0</w:t>
            </w:r>
          </w:p>
        </w:tc>
        <w:tc>
          <w:tcPr>
            <w:tcW w:w="113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5166D5" w:rsidRPr="00C44DE0" w:rsidP="00B819E3">
            <w:pPr>
              <w:pStyle w:val="NormalWeb"/>
              <w:bidi w:val="0"/>
              <w:spacing w:before="0" w:beforeAutospacing="0" w:after="0" w:afterAutospacing="0"/>
              <w:rPr>
                <w:rFonts w:ascii="Times New Roman" w:hAnsi="Times New Roman"/>
                <w:sz w:val="20"/>
                <w:szCs w:val="20"/>
              </w:rPr>
            </w:pPr>
            <w:r w:rsidRPr="00C44DE0">
              <w:rPr>
                <w:rFonts w:ascii="Times New Roman" w:hAnsi="Times New Roman"/>
                <w:sz w:val="20"/>
                <w:szCs w:val="20"/>
              </w:rPr>
              <w:t> </w:t>
            </w:r>
          </w:p>
        </w:tc>
      </w:tr>
    </w:tbl>
    <w:p w:rsidR="005166D5" w:rsidP="005166D5">
      <w:pPr>
        <w:bidi w:val="0"/>
        <w:jc w:val="both"/>
        <w:rPr>
          <w:rFonts w:ascii="Times New Roman" w:hAnsi="Times New Roman"/>
        </w:rPr>
      </w:pPr>
    </w:p>
    <w:p w:rsidR="005166D5" w:rsidP="005166D5">
      <w:pPr>
        <w:bidi w:val="0"/>
        <w:jc w:val="both"/>
        <w:rPr>
          <w:rFonts w:ascii="Times New Roman" w:hAnsi="Times New Roman"/>
        </w:rPr>
      </w:pPr>
    </w:p>
    <w:p w:rsidR="005166D5" w:rsidP="005166D5">
      <w:pPr>
        <w:bidi w:val="0"/>
        <w:jc w:val="both"/>
        <w:rPr>
          <w:rFonts w:ascii="Times New Roman" w:hAnsi="Times New Roman"/>
        </w:rPr>
      </w:pPr>
    </w:p>
    <w:p w:rsidR="00CD4B98" w:rsidRPr="008C6097" w:rsidP="006B06B7">
      <w:pPr>
        <w:widowControl/>
        <w:bidi w:val="0"/>
        <w:spacing w:before="120"/>
        <w:jc w:val="both"/>
        <w:rPr>
          <w:rFonts w:ascii="Times New Roman" w:hAnsi="Times New Roman"/>
          <w:b/>
        </w:rPr>
      </w:pPr>
      <w:r w:rsidRPr="008C6097">
        <w:rPr>
          <w:rFonts w:ascii="Times New Roman" w:hAnsi="Times New Roman"/>
          <w:b/>
        </w:rPr>
        <w:t>B. Osobitná časť</w:t>
      </w:r>
    </w:p>
    <w:p w:rsidR="00CD4B98" w:rsidRPr="008C6097" w:rsidP="006B06B7">
      <w:pPr>
        <w:widowControl/>
        <w:bidi w:val="0"/>
        <w:spacing w:before="120"/>
        <w:rPr>
          <w:rStyle w:val="PlaceholderText"/>
          <w:b/>
          <w:color w:val="auto"/>
        </w:rPr>
      </w:pPr>
      <w:r w:rsidRPr="008C6097">
        <w:rPr>
          <w:rStyle w:val="PlaceholderText"/>
          <w:b/>
          <w:color w:val="auto"/>
        </w:rPr>
        <w:t>K</w:t>
      </w:r>
      <w:r w:rsidRPr="008C6097" w:rsidR="00682CA2">
        <w:rPr>
          <w:rStyle w:val="PlaceholderText"/>
          <w:b/>
          <w:color w:val="auto"/>
        </w:rPr>
        <w:t> </w:t>
      </w:r>
      <w:r w:rsidRPr="008C6097" w:rsidR="004169BA">
        <w:rPr>
          <w:rStyle w:val="PlaceholderText"/>
          <w:b/>
          <w:color w:val="auto"/>
        </w:rPr>
        <w:t>č</w:t>
      </w:r>
      <w:r w:rsidRPr="008C6097" w:rsidR="00682CA2">
        <w:rPr>
          <w:rStyle w:val="PlaceholderText"/>
          <w:b/>
          <w:color w:val="auto"/>
        </w:rPr>
        <w:t>l.</w:t>
      </w:r>
      <w:r w:rsidRPr="008C6097" w:rsidR="004169BA">
        <w:rPr>
          <w:rStyle w:val="PlaceholderText"/>
          <w:b/>
          <w:color w:val="auto"/>
        </w:rPr>
        <w:t xml:space="preserve"> </w:t>
      </w:r>
      <w:r w:rsidRPr="008C6097" w:rsidR="00682CA2">
        <w:rPr>
          <w:rStyle w:val="PlaceholderText"/>
          <w:b/>
          <w:color w:val="auto"/>
        </w:rPr>
        <w:t>I</w:t>
      </w:r>
      <w:r w:rsidRPr="008C6097">
        <w:rPr>
          <w:rStyle w:val="PlaceholderText"/>
          <w:b/>
          <w:color w:val="auto"/>
        </w:rPr>
        <w:t>:</w:t>
      </w:r>
    </w:p>
    <w:p w:rsidR="004169BA" w:rsidRPr="008C6097" w:rsidP="006B06B7">
      <w:pPr>
        <w:widowControl/>
        <w:bidi w:val="0"/>
        <w:spacing w:before="120"/>
        <w:rPr>
          <w:rFonts w:ascii="Times New Roman" w:hAnsi="Times New Roman"/>
        </w:rPr>
      </w:pPr>
      <w:r w:rsidRPr="008C6097" w:rsidR="00E44E5B">
        <w:rPr>
          <w:rStyle w:val="PlaceholderText"/>
          <w:b/>
          <w:color w:val="auto"/>
        </w:rPr>
        <w:t>K bodu 1</w:t>
      </w:r>
      <w:r w:rsidRPr="008C6097" w:rsidR="00A16ECA">
        <w:rPr>
          <w:rStyle w:val="PlaceholderText"/>
          <w:b/>
          <w:color w:val="auto"/>
        </w:rPr>
        <w:t xml:space="preserve"> </w:t>
      </w:r>
      <w:r w:rsidRPr="008C6097" w:rsidR="00F931F2">
        <w:rPr>
          <w:rStyle w:val="PlaceholderText"/>
          <w:b/>
          <w:color w:val="auto"/>
        </w:rPr>
        <w:t>a 2</w:t>
      </w:r>
      <w:r w:rsidRPr="008C6097">
        <w:rPr>
          <w:rStyle w:val="PlaceholderText"/>
          <w:b/>
          <w:color w:val="auto"/>
        </w:rPr>
        <w:t xml:space="preserve">: </w:t>
      </w:r>
    </w:p>
    <w:p w:rsidR="00171D62" w:rsidRPr="008C6097" w:rsidP="00B236F9">
      <w:pPr>
        <w:pStyle w:val="BodyText2"/>
        <w:bidi w:val="0"/>
        <w:spacing w:line="240" w:lineRule="auto"/>
        <w:ind w:firstLine="720"/>
        <w:rPr>
          <w:rFonts w:ascii="Times New Roman" w:hAnsi="Times New Roman"/>
          <w:iCs/>
        </w:rPr>
      </w:pPr>
      <w:r w:rsidRPr="008C6097" w:rsidR="00F931F2">
        <w:rPr>
          <w:rFonts w:ascii="Times New Roman" w:hAnsi="Times New Roman"/>
          <w:iCs/>
        </w:rPr>
        <w:t>Technická vybavenosť</w:t>
      </w:r>
      <w:r w:rsidRPr="008C6097" w:rsidR="00923BB3">
        <w:rPr>
          <w:rFonts w:ascii="Times New Roman" w:hAnsi="Times New Roman"/>
          <w:iCs/>
        </w:rPr>
        <w:t xml:space="preserve"> podmieňujúca</w:t>
      </w:r>
      <w:r w:rsidRPr="008C6097" w:rsidR="00F931F2">
        <w:rPr>
          <w:rFonts w:ascii="Times New Roman" w:hAnsi="Times New Roman"/>
          <w:iCs/>
        </w:rPr>
        <w:t> užívan</w:t>
      </w:r>
      <w:r w:rsidRPr="008C6097" w:rsidR="00923BB3">
        <w:rPr>
          <w:rFonts w:ascii="Times New Roman" w:hAnsi="Times New Roman"/>
          <w:iCs/>
        </w:rPr>
        <w:t>ie</w:t>
      </w:r>
      <w:r w:rsidRPr="008C6097" w:rsidR="00F931F2">
        <w:rPr>
          <w:rFonts w:ascii="Times New Roman" w:hAnsi="Times New Roman"/>
          <w:iCs/>
        </w:rPr>
        <w:t xml:space="preserve"> podporovaných bytov je oblasťou priamej podpory. V rámci tejto technickej vybavenosti sa podporuje </w:t>
      </w:r>
      <w:r w:rsidRPr="008C6097" w:rsidR="00923BB3">
        <w:rPr>
          <w:rFonts w:ascii="Times New Roman" w:hAnsi="Times New Roman"/>
          <w:iCs/>
        </w:rPr>
        <w:t xml:space="preserve">aj </w:t>
      </w:r>
      <w:r w:rsidRPr="008C6097" w:rsidR="00F931F2">
        <w:rPr>
          <w:rFonts w:ascii="Times New Roman" w:hAnsi="Times New Roman"/>
          <w:iCs/>
        </w:rPr>
        <w:t>výstavba miestn</w:t>
      </w:r>
      <w:r w:rsidRPr="008C6097" w:rsidR="0024667B">
        <w:rPr>
          <w:rFonts w:ascii="Times New Roman" w:hAnsi="Times New Roman"/>
          <w:iCs/>
        </w:rPr>
        <w:t>ej</w:t>
      </w:r>
      <w:r w:rsidRPr="008C6097" w:rsidR="00F931F2">
        <w:rPr>
          <w:rFonts w:ascii="Times New Roman" w:hAnsi="Times New Roman"/>
          <w:iCs/>
        </w:rPr>
        <w:t xml:space="preserve"> komunikáci</w:t>
      </w:r>
      <w:r w:rsidRPr="008C6097" w:rsidR="0024667B">
        <w:rPr>
          <w:rFonts w:ascii="Times New Roman" w:hAnsi="Times New Roman"/>
          <w:iCs/>
        </w:rPr>
        <w:t>e</w:t>
      </w:r>
      <w:r w:rsidRPr="008C6097" w:rsidR="00F931F2">
        <w:rPr>
          <w:rFonts w:ascii="Times New Roman" w:hAnsi="Times New Roman"/>
          <w:iCs/>
        </w:rPr>
        <w:t xml:space="preserve"> vrátane potrebných odstavných plôch. Projektové riešenie nie vždy umožňuje navrhnúť požadovaný počet odstavných plôch pri miestnej komunikácii. V mnohých prípadoch </w:t>
      </w:r>
      <w:r w:rsidRPr="008C6097" w:rsidR="00125F01">
        <w:rPr>
          <w:rFonts w:ascii="Times New Roman" w:hAnsi="Times New Roman"/>
          <w:iCs/>
        </w:rPr>
        <w:t>je možné vybudova</w:t>
      </w:r>
      <w:r w:rsidRPr="008C6097" w:rsidR="005F28CE">
        <w:rPr>
          <w:rFonts w:ascii="Times New Roman" w:hAnsi="Times New Roman"/>
          <w:iCs/>
        </w:rPr>
        <w:t>nie</w:t>
      </w:r>
      <w:r w:rsidRPr="008C6097" w:rsidR="00125F01">
        <w:rPr>
          <w:rFonts w:ascii="Times New Roman" w:hAnsi="Times New Roman"/>
          <w:iCs/>
        </w:rPr>
        <w:t xml:space="preserve"> </w:t>
      </w:r>
      <w:r w:rsidRPr="008C6097" w:rsidR="0024667B">
        <w:rPr>
          <w:rFonts w:ascii="Times New Roman" w:hAnsi="Times New Roman"/>
          <w:iCs/>
        </w:rPr>
        <w:t xml:space="preserve">odstavných plôch len mimo </w:t>
      </w:r>
      <w:r w:rsidRPr="008C6097" w:rsidR="00125F01">
        <w:rPr>
          <w:rFonts w:ascii="Times New Roman" w:hAnsi="Times New Roman"/>
          <w:iCs/>
        </w:rPr>
        <w:t>miestn</w:t>
      </w:r>
      <w:r w:rsidRPr="008C6097" w:rsidR="0024667B">
        <w:rPr>
          <w:rFonts w:ascii="Times New Roman" w:hAnsi="Times New Roman"/>
          <w:iCs/>
        </w:rPr>
        <w:t>ej</w:t>
      </w:r>
      <w:r w:rsidRPr="008C6097" w:rsidR="00125F01">
        <w:rPr>
          <w:rFonts w:ascii="Times New Roman" w:hAnsi="Times New Roman"/>
          <w:iCs/>
        </w:rPr>
        <w:t xml:space="preserve"> komunikáci</w:t>
      </w:r>
      <w:r w:rsidRPr="008C6097" w:rsidR="0024667B">
        <w:rPr>
          <w:rFonts w:ascii="Times New Roman" w:hAnsi="Times New Roman"/>
          <w:iCs/>
        </w:rPr>
        <w:t>e</w:t>
      </w:r>
      <w:r w:rsidRPr="008C6097" w:rsidR="00F931F2">
        <w:rPr>
          <w:rFonts w:ascii="Times New Roman" w:hAnsi="Times New Roman"/>
          <w:iCs/>
        </w:rPr>
        <w:t xml:space="preserve">, preto sa navrhuje </w:t>
      </w:r>
      <w:r w:rsidRPr="008C6097" w:rsidR="00125F01">
        <w:rPr>
          <w:rFonts w:ascii="Times New Roman" w:hAnsi="Times New Roman"/>
          <w:iCs/>
        </w:rPr>
        <w:t>možnosť poskytnutia dotácie aj na odstavné plochy vybudované</w:t>
      </w:r>
      <w:r w:rsidRPr="008C6097" w:rsidR="009E1803">
        <w:rPr>
          <w:rFonts w:ascii="Times New Roman" w:hAnsi="Times New Roman"/>
          <w:iCs/>
        </w:rPr>
        <w:t xml:space="preserve"> samosta</w:t>
      </w:r>
      <w:r w:rsidRPr="008C6097" w:rsidR="00762DAC">
        <w:rPr>
          <w:rFonts w:ascii="Times New Roman" w:hAnsi="Times New Roman"/>
          <w:iCs/>
        </w:rPr>
        <w:t>t</w:t>
      </w:r>
      <w:r w:rsidRPr="008C6097" w:rsidR="009E1803">
        <w:rPr>
          <w:rFonts w:ascii="Times New Roman" w:hAnsi="Times New Roman"/>
          <w:iCs/>
        </w:rPr>
        <w:t>ne</w:t>
      </w:r>
      <w:r w:rsidRPr="008C6097" w:rsidR="00125F01">
        <w:rPr>
          <w:rFonts w:ascii="Times New Roman" w:hAnsi="Times New Roman"/>
          <w:iCs/>
        </w:rPr>
        <w:t xml:space="preserve"> pri obstarávanom nájomnom byte. </w:t>
      </w:r>
      <w:r w:rsidRPr="008C6097" w:rsidR="00F931F2">
        <w:rPr>
          <w:rFonts w:ascii="Times New Roman" w:hAnsi="Times New Roman"/>
          <w:iCs/>
        </w:rPr>
        <w:t xml:space="preserve"> </w:t>
      </w:r>
    </w:p>
    <w:p w:rsidR="00FC1CB7" w:rsidRPr="008C6097" w:rsidP="006B06B7">
      <w:pPr>
        <w:widowControl/>
        <w:bidi w:val="0"/>
        <w:spacing w:before="120"/>
        <w:jc w:val="both"/>
        <w:rPr>
          <w:rFonts w:ascii="Times New Roman" w:hAnsi="Times New Roman"/>
          <w:b/>
        </w:rPr>
      </w:pPr>
      <w:r w:rsidRPr="008C6097">
        <w:rPr>
          <w:rFonts w:ascii="Times New Roman" w:hAnsi="Times New Roman"/>
          <w:b/>
        </w:rPr>
        <w:t>K bodu 3:</w:t>
      </w:r>
    </w:p>
    <w:p w:rsidR="00863D8B" w:rsidRPr="00AE39BF" w:rsidP="00AE39BF">
      <w:pPr>
        <w:widowControl/>
        <w:bidi w:val="0"/>
        <w:spacing w:before="120"/>
        <w:ind w:firstLine="720"/>
        <w:jc w:val="both"/>
        <w:rPr>
          <w:rFonts w:ascii="Times New Roman" w:hAnsi="Times New Roman"/>
        </w:rPr>
      </w:pPr>
      <w:r w:rsidRPr="008C6097" w:rsidR="00923BB3">
        <w:rPr>
          <w:rFonts w:ascii="Times New Roman" w:hAnsi="Times New Roman"/>
        </w:rPr>
        <w:t>Ide o legislatívno-technickú úpravu v nadväznosti na zákon č. 150/2013 Z. z. o Štátnom fonde rozvoja bývania, ktorým bol zrušený  zákon č. 607/2003 Z. z. o </w:t>
      </w:r>
      <w:r w:rsidRPr="008C6097" w:rsidR="002F5C9D">
        <w:rPr>
          <w:rFonts w:ascii="Times New Roman" w:hAnsi="Times New Roman"/>
        </w:rPr>
        <w:t>Š</w:t>
      </w:r>
      <w:r w:rsidRPr="008C6097" w:rsidR="00923BB3">
        <w:rPr>
          <w:rFonts w:ascii="Times New Roman" w:hAnsi="Times New Roman"/>
        </w:rPr>
        <w:t>tátnom fonde rozvoja bývania v znení neskorších predpisov.</w:t>
      </w:r>
    </w:p>
    <w:p w:rsidR="00FC1CB7" w:rsidRPr="008C6097" w:rsidP="006B06B7">
      <w:pPr>
        <w:widowControl/>
        <w:bidi w:val="0"/>
        <w:spacing w:before="120"/>
        <w:jc w:val="both"/>
        <w:rPr>
          <w:rFonts w:ascii="Times New Roman" w:hAnsi="Times New Roman"/>
          <w:b/>
        </w:rPr>
      </w:pPr>
      <w:r w:rsidRPr="008C6097">
        <w:rPr>
          <w:rFonts w:ascii="Times New Roman" w:hAnsi="Times New Roman"/>
          <w:b/>
        </w:rPr>
        <w:t>K bodu 4:</w:t>
      </w:r>
    </w:p>
    <w:p w:rsidR="00E15D9B" w:rsidRPr="008C6097" w:rsidP="006B06B7">
      <w:pPr>
        <w:widowControl/>
        <w:bidi w:val="0"/>
        <w:spacing w:before="120"/>
        <w:ind w:firstLine="720"/>
        <w:jc w:val="both"/>
        <w:rPr>
          <w:rFonts w:ascii="Times New Roman" w:hAnsi="Times New Roman"/>
        </w:rPr>
      </w:pPr>
      <w:r w:rsidRPr="008C6097">
        <w:rPr>
          <w:rFonts w:ascii="Times New Roman" w:hAnsi="Times New Roman"/>
        </w:rPr>
        <w:t xml:space="preserve">Ustanovenie </w:t>
      </w:r>
      <w:r w:rsidR="001D67BD">
        <w:rPr>
          <w:rFonts w:ascii="Times New Roman" w:hAnsi="Times New Roman"/>
        </w:rPr>
        <w:t xml:space="preserve">§ 4 upravuje jednotlivé možnosti obstarania nájomného bytu určeného na sociálne bývanie, pričom v porovnaní s platným sa </w:t>
      </w:r>
      <w:r w:rsidRPr="008C6097">
        <w:rPr>
          <w:rFonts w:ascii="Times New Roman" w:hAnsi="Times New Roman"/>
        </w:rPr>
        <w:t xml:space="preserve">navrhuje </w:t>
      </w:r>
      <w:r w:rsidR="001D67BD">
        <w:rPr>
          <w:rFonts w:ascii="Times New Roman" w:hAnsi="Times New Roman"/>
        </w:rPr>
        <w:t xml:space="preserve">rozšírenie o </w:t>
      </w:r>
      <w:r w:rsidRPr="008C6097">
        <w:rPr>
          <w:rFonts w:ascii="Times New Roman" w:hAnsi="Times New Roman"/>
        </w:rPr>
        <w:t xml:space="preserve">možnosť poskytnutia dotácie na </w:t>
      </w:r>
      <w:r w:rsidRPr="008C6097" w:rsidR="00AC6433">
        <w:rPr>
          <w:rFonts w:ascii="Times New Roman" w:hAnsi="Times New Roman"/>
        </w:rPr>
        <w:t xml:space="preserve">obstaranie nájomného bytu </w:t>
      </w:r>
      <w:r w:rsidRPr="008C6097">
        <w:rPr>
          <w:rFonts w:ascii="Times New Roman" w:hAnsi="Times New Roman"/>
        </w:rPr>
        <w:t>stavebn</w:t>
      </w:r>
      <w:r w:rsidRPr="008C6097" w:rsidR="00AC6433">
        <w:rPr>
          <w:rFonts w:ascii="Times New Roman" w:hAnsi="Times New Roman"/>
        </w:rPr>
        <w:t xml:space="preserve">ými </w:t>
      </w:r>
      <w:r w:rsidRPr="008C6097">
        <w:rPr>
          <w:rFonts w:ascii="Times New Roman" w:hAnsi="Times New Roman"/>
        </w:rPr>
        <w:t>úprav</w:t>
      </w:r>
      <w:r w:rsidRPr="008C6097" w:rsidR="00AC6433">
        <w:rPr>
          <w:rFonts w:ascii="Times New Roman" w:hAnsi="Times New Roman"/>
        </w:rPr>
        <w:t xml:space="preserve">ami </w:t>
      </w:r>
      <w:r w:rsidRPr="008C6097" w:rsidR="00A16ECA">
        <w:rPr>
          <w:rFonts w:ascii="Times New Roman" w:hAnsi="Times New Roman"/>
        </w:rPr>
        <w:t>nájomn</w:t>
      </w:r>
      <w:r w:rsidRPr="008C6097" w:rsidR="00CA5026">
        <w:rPr>
          <w:rFonts w:ascii="Times New Roman" w:hAnsi="Times New Roman"/>
        </w:rPr>
        <w:t>ého</w:t>
      </w:r>
      <w:r w:rsidRPr="008C6097" w:rsidR="00A16ECA">
        <w:rPr>
          <w:rFonts w:ascii="Times New Roman" w:hAnsi="Times New Roman"/>
        </w:rPr>
        <w:t xml:space="preserve"> byt</w:t>
      </w:r>
      <w:r w:rsidRPr="008C6097" w:rsidR="00CA5026">
        <w:rPr>
          <w:rFonts w:ascii="Times New Roman" w:hAnsi="Times New Roman"/>
        </w:rPr>
        <w:t>u</w:t>
      </w:r>
      <w:r w:rsidRPr="008C6097" w:rsidR="00A16ECA">
        <w:rPr>
          <w:rFonts w:ascii="Times New Roman" w:hAnsi="Times New Roman"/>
        </w:rPr>
        <w:t xml:space="preserve"> v </w:t>
      </w:r>
      <w:r w:rsidRPr="008C6097" w:rsidR="00AC6433">
        <w:rPr>
          <w:rFonts w:ascii="Times New Roman" w:hAnsi="Times New Roman"/>
        </w:rPr>
        <w:t>nehnuteľnost</w:t>
      </w:r>
      <w:r w:rsidRPr="008C6097" w:rsidR="00A16ECA">
        <w:rPr>
          <w:rFonts w:ascii="Times New Roman" w:hAnsi="Times New Roman"/>
        </w:rPr>
        <w:t>i</w:t>
      </w:r>
      <w:r w:rsidRPr="008C6097" w:rsidR="00AC6433">
        <w:rPr>
          <w:rFonts w:ascii="Times New Roman" w:hAnsi="Times New Roman"/>
        </w:rPr>
        <w:t>, ktor</w:t>
      </w:r>
      <w:r w:rsidRPr="008C6097" w:rsidR="00A16ECA">
        <w:rPr>
          <w:rFonts w:ascii="Times New Roman" w:hAnsi="Times New Roman"/>
        </w:rPr>
        <w:t>ú</w:t>
      </w:r>
      <w:r w:rsidRPr="008C6097" w:rsidR="00AC6433">
        <w:rPr>
          <w:rFonts w:ascii="Times New Roman" w:hAnsi="Times New Roman"/>
        </w:rPr>
        <w:t xml:space="preserve"> žiadateľ nadobudol podľa </w:t>
      </w:r>
      <w:r w:rsidRPr="008C6097" w:rsidR="00C766F0">
        <w:rPr>
          <w:rFonts w:ascii="Times New Roman" w:hAnsi="Times New Roman"/>
        </w:rPr>
        <w:t>zákon</w:t>
      </w:r>
      <w:r w:rsidRPr="008C6097" w:rsidR="00AC6433">
        <w:rPr>
          <w:rFonts w:ascii="Times New Roman" w:hAnsi="Times New Roman"/>
        </w:rPr>
        <w:t>a</w:t>
      </w:r>
      <w:r w:rsidRPr="008C6097" w:rsidR="00C766F0">
        <w:rPr>
          <w:rFonts w:ascii="Times New Roman" w:hAnsi="Times New Roman"/>
        </w:rPr>
        <w:t xml:space="preserve"> 172/2004 Z.</w:t>
      </w:r>
      <w:r w:rsidR="001D67BD">
        <w:rPr>
          <w:rFonts w:ascii="Times New Roman" w:hAnsi="Times New Roman"/>
        </w:rPr>
        <w:t> </w:t>
      </w:r>
      <w:r w:rsidRPr="008C6097" w:rsidR="00E225E9">
        <w:rPr>
          <w:rFonts w:ascii="Times New Roman" w:hAnsi="Times New Roman"/>
        </w:rPr>
        <w:t>z.</w:t>
      </w:r>
      <w:r w:rsidRPr="008C6097" w:rsidR="00C766F0">
        <w:rPr>
          <w:rFonts w:ascii="Times New Roman" w:hAnsi="Times New Roman"/>
        </w:rPr>
        <w:t xml:space="preserve"> </w:t>
      </w:r>
      <w:r w:rsidRPr="008C6097" w:rsidR="00862B8F">
        <w:rPr>
          <w:rFonts w:ascii="Times New Roman" w:hAnsi="Times New Roman"/>
        </w:rPr>
        <w:t xml:space="preserve">o prevode vlastníctva nehnuteľného majetku vo vlastníctve Slovenskej republiky na obec alebo vyšší územný celok </w:t>
      </w:r>
      <w:r w:rsidRPr="008C6097" w:rsidR="00C766F0">
        <w:rPr>
          <w:rFonts w:ascii="Times New Roman" w:hAnsi="Times New Roman"/>
        </w:rPr>
        <w:t>na základe rozhodnutia o prebytočnosti majetku štátu a darovacej zmluvy</w:t>
      </w:r>
      <w:r w:rsidRPr="008C6097" w:rsidR="00AC6433">
        <w:rPr>
          <w:rFonts w:ascii="Times New Roman" w:hAnsi="Times New Roman"/>
        </w:rPr>
        <w:t xml:space="preserve">. Ide o nehnuteľnosti </w:t>
      </w:r>
      <w:r w:rsidRPr="008C6097" w:rsidR="00C766F0">
        <w:rPr>
          <w:rFonts w:ascii="Times New Roman" w:hAnsi="Times New Roman"/>
        </w:rPr>
        <w:t xml:space="preserve">s nájomnými bytmi, ktoré </w:t>
      </w:r>
      <w:r w:rsidRPr="008C6097" w:rsidR="00E53863">
        <w:rPr>
          <w:rFonts w:ascii="Times New Roman" w:hAnsi="Times New Roman"/>
        </w:rPr>
        <w:t>boli využívané</w:t>
      </w:r>
      <w:r w:rsidRPr="008C6097" w:rsidR="00C766F0">
        <w:rPr>
          <w:rFonts w:ascii="Times New Roman" w:hAnsi="Times New Roman"/>
        </w:rPr>
        <w:t xml:space="preserve"> </w:t>
      </w:r>
      <w:r w:rsidRPr="008C6097">
        <w:rPr>
          <w:rFonts w:ascii="Times New Roman" w:hAnsi="Times New Roman"/>
        </w:rPr>
        <w:t>ozbrojeným</w:t>
      </w:r>
      <w:r w:rsidRPr="008C6097" w:rsidR="00E53863">
        <w:rPr>
          <w:rFonts w:ascii="Times New Roman" w:hAnsi="Times New Roman"/>
        </w:rPr>
        <w:t>i silami</w:t>
      </w:r>
      <w:r w:rsidRPr="008C6097">
        <w:rPr>
          <w:rFonts w:ascii="Times New Roman" w:hAnsi="Times New Roman"/>
        </w:rPr>
        <w:t xml:space="preserve"> Slovenskej republiky</w:t>
      </w:r>
      <w:r w:rsidRPr="008C6097" w:rsidR="00AC6433">
        <w:rPr>
          <w:rFonts w:ascii="Times New Roman" w:hAnsi="Times New Roman"/>
        </w:rPr>
        <w:t xml:space="preserve"> a v súčasnosti </w:t>
      </w:r>
      <w:r w:rsidRPr="008C6097" w:rsidR="00A16ECA">
        <w:rPr>
          <w:rFonts w:ascii="Times New Roman" w:hAnsi="Times New Roman"/>
        </w:rPr>
        <w:t>sú n</w:t>
      </w:r>
      <w:r w:rsidRPr="008C6097" w:rsidR="00AC6433">
        <w:rPr>
          <w:rFonts w:ascii="Times New Roman" w:hAnsi="Times New Roman"/>
        </w:rPr>
        <w:t>evyužívané</w:t>
      </w:r>
      <w:r w:rsidRPr="00765CA8" w:rsidR="00A76573">
        <w:rPr>
          <w:rFonts w:ascii="Times New Roman" w:hAnsi="Times New Roman"/>
        </w:rPr>
        <w:t>, resp. využívane s obmedzením</w:t>
      </w:r>
      <w:r w:rsidRPr="00765CA8">
        <w:rPr>
          <w:rFonts w:ascii="Times New Roman" w:hAnsi="Times New Roman"/>
        </w:rPr>
        <w:t xml:space="preserve">. </w:t>
      </w:r>
      <w:r w:rsidRPr="00765CA8" w:rsidR="00AC6433">
        <w:rPr>
          <w:rFonts w:ascii="Times New Roman" w:hAnsi="Times New Roman"/>
        </w:rPr>
        <w:t>Navrhuje</w:t>
      </w:r>
      <w:r w:rsidRPr="008C6097" w:rsidR="00AC6433">
        <w:rPr>
          <w:rFonts w:ascii="Times New Roman" w:hAnsi="Times New Roman"/>
        </w:rPr>
        <w:t xml:space="preserve"> sa možnosť poskytnúť dotáciu na stavebné úpravy </w:t>
      </w:r>
      <w:r w:rsidRPr="008C6097" w:rsidR="0075522A">
        <w:rPr>
          <w:rFonts w:ascii="Times New Roman" w:hAnsi="Times New Roman"/>
        </w:rPr>
        <w:t>t</w:t>
      </w:r>
      <w:r w:rsidRPr="008C6097" w:rsidR="00AC6433">
        <w:rPr>
          <w:rFonts w:ascii="Times New Roman" w:hAnsi="Times New Roman"/>
        </w:rPr>
        <w:t xml:space="preserve">ýchto </w:t>
      </w:r>
      <w:r w:rsidRPr="008C6097" w:rsidR="0075522A">
        <w:rPr>
          <w:rFonts w:ascii="Times New Roman" w:hAnsi="Times New Roman"/>
        </w:rPr>
        <w:t xml:space="preserve">bytov </w:t>
      </w:r>
      <w:r w:rsidRPr="008C6097" w:rsidR="00B340B7">
        <w:rPr>
          <w:rFonts w:ascii="Times New Roman" w:hAnsi="Times New Roman"/>
        </w:rPr>
        <w:t>za účelom ich využívania</w:t>
      </w:r>
      <w:r w:rsidRPr="008C6097" w:rsidR="00AC6433">
        <w:rPr>
          <w:rFonts w:ascii="Times New Roman" w:hAnsi="Times New Roman"/>
        </w:rPr>
        <w:t xml:space="preserve"> </w:t>
      </w:r>
      <w:r w:rsidRPr="008C6097" w:rsidR="006F6D4E">
        <w:rPr>
          <w:rFonts w:ascii="Times New Roman" w:hAnsi="Times New Roman"/>
        </w:rPr>
        <w:t xml:space="preserve">na </w:t>
      </w:r>
      <w:r w:rsidRPr="008C6097" w:rsidR="0075522A">
        <w:rPr>
          <w:rFonts w:ascii="Times New Roman" w:hAnsi="Times New Roman"/>
        </w:rPr>
        <w:t>sociálne bývani</w:t>
      </w:r>
      <w:r w:rsidRPr="008C6097" w:rsidR="006F6D4E">
        <w:rPr>
          <w:rFonts w:ascii="Times New Roman" w:hAnsi="Times New Roman"/>
        </w:rPr>
        <w:t>e</w:t>
      </w:r>
      <w:r w:rsidRPr="008C6097" w:rsidR="0075522A">
        <w:rPr>
          <w:rFonts w:ascii="Times New Roman" w:hAnsi="Times New Roman"/>
        </w:rPr>
        <w:t>.</w:t>
      </w:r>
      <w:r w:rsidRPr="008C6097" w:rsidR="0024667B">
        <w:rPr>
          <w:rFonts w:ascii="Times New Roman" w:hAnsi="Times New Roman"/>
        </w:rPr>
        <w:t xml:space="preserve"> </w:t>
      </w:r>
      <w:r w:rsidRPr="008C6097" w:rsidR="0075522A">
        <w:rPr>
          <w:rFonts w:ascii="Times New Roman" w:hAnsi="Times New Roman"/>
        </w:rPr>
        <w:t xml:space="preserve"> </w:t>
      </w:r>
    </w:p>
    <w:p w:rsidR="007D0BF7" w:rsidRPr="008C6097" w:rsidP="00691DBA">
      <w:pPr>
        <w:widowControl/>
        <w:bidi w:val="0"/>
        <w:spacing w:before="120"/>
        <w:ind w:firstLine="720"/>
        <w:jc w:val="both"/>
        <w:rPr>
          <w:rFonts w:ascii="Times New Roman" w:hAnsi="Times New Roman"/>
        </w:rPr>
      </w:pPr>
      <w:r w:rsidRPr="008C6097" w:rsidR="00F84F2C">
        <w:rPr>
          <w:rFonts w:ascii="Times New Roman" w:hAnsi="Times New Roman"/>
        </w:rPr>
        <w:t>Podľa platného znenia zákona je možné poskytnúť dotáciu na o</w:t>
      </w:r>
      <w:r w:rsidRPr="008C6097" w:rsidR="00793A95">
        <w:rPr>
          <w:rFonts w:ascii="Times New Roman" w:hAnsi="Times New Roman"/>
        </w:rPr>
        <w:t xml:space="preserve">bstaranie nájomného bytu aj v rodinnom dome. </w:t>
      </w:r>
      <w:r w:rsidRPr="008C6097" w:rsidR="00F84F2C">
        <w:rPr>
          <w:rFonts w:ascii="Times New Roman" w:hAnsi="Times New Roman"/>
        </w:rPr>
        <w:t>Doplnené u</w:t>
      </w:r>
      <w:r w:rsidRPr="008C6097" w:rsidR="00793A95">
        <w:rPr>
          <w:rFonts w:ascii="Times New Roman" w:hAnsi="Times New Roman"/>
        </w:rPr>
        <w:t>stanovenie upravuje možnosť poskytnutia dotácie na obstaranie nájomn</w:t>
      </w:r>
      <w:r w:rsidRPr="008C6097" w:rsidR="00F84F2C">
        <w:rPr>
          <w:rFonts w:ascii="Times New Roman" w:hAnsi="Times New Roman"/>
        </w:rPr>
        <w:t>ého</w:t>
      </w:r>
      <w:r w:rsidRPr="008C6097" w:rsidR="00793A95">
        <w:rPr>
          <w:rFonts w:ascii="Times New Roman" w:hAnsi="Times New Roman"/>
        </w:rPr>
        <w:t xml:space="preserve"> byt</w:t>
      </w:r>
      <w:r w:rsidRPr="008C6097" w:rsidR="00F84F2C">
        <w:rPr>
          <w:rFonts w:ascii="Times New Roman" w:hAnsi="Times New Roman"/>
        </w:rPr>
        <w:t>u</w:t>
      </w:r>
      <w:r w:rsidRPr="008C6097" w:rsidR="00793A95">
        <w:rPr>
          <w:rFonts w:ascii="Times New Roman" w:hAnsi="Times New Roman"/>
        </w:rPr>
        <w:t xml:space="preserve"> v</w:t>
      </w:r>
      <w:r w:rsidRPr="008C6097" w:rsidR="00F84F2C">
        <w:rPr>
          <w:rFonts w:ascii="Times New Roman" w:hAnsi="Times New Roman"/>
        </w:rPr>
        <w:t> </w:t>
      </w:r>
      <w:r w:rsidRPr="008C6097" w:rsidR="00793A95">
        <w:rPr>
          <w:rFonts w:ascii="Times New Roman" w:hAnsi="Times New Roman"/>
        </w:rPr>
        <w:t>rodinn</w:t>
      </w:r>
      <w:r w:rsidRPr="008C6097" w:rsidR="00F84F2C">
        <w:rPr>
          <w:rFonts w:ascii="Times New Roman" w:hAnsi="Times New Roman"/>
        </w:rPr>
        <w:t xml:space="preserve">om </w:t>
      </w:r>
      <w:r w:rsidRPr="008C6097" w:rsidR="00793A95">
        <w:rPr>
          <w:rFonts w:ascii="Times New Roman" w:hAnsi="Times New Roman"/>
        </w:rPr>
        <w:t>dom</w:t>
      </w:r>
      <w:r w:rsidRPr="008C6097" w:rsidR="00F84F2C">
        <w:rPr>
          <w:rFonts w:ascii="Times New Roman" w:hAnsi="Times New Roman"/>
        </w:rPr>
        <w:t>e</w:t>
      </w:r>
      <w:r w:rsidRPr="008C6097" w:rsidR="00793A95">
        <w:rPr>
          <w:rFonts w:ascii="Times New Roman" w:hAnsi="Times New Roman"/>
        </w:rPr>
        <w:t xml:space="preserve"> </w:t>
      </w:r>
      <w:r w:rsidRPr="008C6097" w:rsidR="00FC1C9B">
        <w:rPr>
          <w:rFonts w:ascii="Times New Roman" w:hAnsi="Times New Roman"/>
        </w:rPr>
        <w:t xml:space="preserve">len </w:t>
      </w:r>
      <w:r w:rsidRPr="008C6097" w:rsidR="00793A95">
        <w:rPr>
          <w:rFonts w:ascii="Times New Roman" w:hAnsi="Times New Roman"/>
        </w:rPr>
        <w:t xml:space="preserve">ak </w:t>
      </w:r>
      <w:r w:rsidRPr="008C6097" w:rsidR="00F84F2C">
        <w:rPr>
          <w:rFonts w:ascii="Times New Roman" w:hAnsi="Times New Roman"/>
        </w:rPr>
        <w:t xml:space="preserve">žiadateľ </w:t>
      </w:r>
      <w:r w:rsidRPr="008C6097" w:rsidR="00793A95">
        <w:rPr>
          <w:rFonts w:ascii="Times New Roman" w:hAnsi="Times New Roman"/>
        </w:rPr>
        <w:t xml:space="preserve">obstaráva </w:t>
      </w:r>
      <w:r w:rsidRPr="008C6097" w:rsidR="00FC1C9B">
        <w:rPr>
          <w:rFonts w:ascii="Times New Roman" w:hAnsi="Times New Roman"/>
        </w:rPr>
        <w:t xml:space="preserve">v rodinnom dome </w:t>
      </w:r>
      <w:r w:rsidRPr="008C6097" w:rsidR="00793A95">
        <w:rPr>
          <w:rFonts w:ascii="Times New Roman" w:hAnsi="Times New Roman"/>
        </w:rPr>
        <w:t xml:space="preserve">minimálne </w:t>
      </w:r>
      <w:r w:rsidRPr="008C6097" w:rsidR="00B746D3">
        <w:rPr>
          <w:rFonts w:ascii="Times New Roman" w:hAnsi="Times New Roman"/>
        </w:rPr>
        <w:t>dva</w:t>
      </w:r>
      <w:r w:rsidRPr="008C6097" w:rsidR="00793A95">
        <w:rPr>
          <w:rFonts w:ascii="Times New Roman" w:hAnsi="Times New Roman"/>
        </w:rPr>
        <w:t xml:space="preserve"> nájomné byty</w:t>
      </w:r>
      <w:r w:rsidRPr="008C6097" w:rsidR="00F84F2C">
        <w:rPr>
          <w:rFonts w:ascii="Times New Roman" w:hAnsi="Times New Roman"/>
        </w:rPr>
        <w:t>.</w:t>
      </w:r>
      <w:r w:rsidRPr="008C6097" w:rsidR="00793A95">
        <w:rPr>
          <w:rFonts w:ascii="Times New Roman" w:hAnsi="Times New Roman"/>
        </w:rPr>
        <w:t xml:space="preserve"> </w:t>
      </w:r>
    </w:p>
    <w:p w:rsidR="00B746D3" w:rsidRPr="008C6097" w:rsidP="00B746D3">
      <w:pPr>
        <w:widowControl/>
        <w:bidi w:val="0"/>
        <w:spacing w:before="120"/>
        <w:ind w:firstLine="720"/>
        <w:jc w:val="both"/>
        <w:rPr>
          <w:rFonts w:ascii="Times New Roman" w:hAnsi="Times New Roman"/>
        </w:rPr>
      </w:pPr>
      <w:r w:rsidRPr="008C6097" w:rsidR="00F84F2C">
        <w:rPr>
          <w:rFonts w:ascii="Times New Roman" w:hAnsi="Times New Roman"/>
        </w:rPr>
        <w:t>Doplnené u</w:t>
      </w:r>
      <w:r w:rsidRPr="008C6097">
        <w:rPr>
          <w:rFonts w:ascii="Times New Roman" w:hAnsi="Times New Roman"/>
        </w:rPr>
        <w:t>stanovenie</w:t>
      </w:r>
      <w:r w:rsidRPr="008C6097" w:rsidR="00E53863">
        <w:rPr>
          <w:rFonts w:ascii="Times New Roman" w:hAnsi="Times New Roman"/>
        </w:rPr>
        <w:t xml:space="preserve"> definuje kúpu nájomného bytu a </w:t>
      </w:r>
      <w:r w:rsidRPr="008C6097">
        <w:rPr>
          <w:rFonts w:ascii="Times New Roman" w:hAnsi="Times New Roman"/>
        </w:rPr>
        <w:t>zosúla</w:t>
      </w:r>
      <w:r w:rsidRPr="008C6097" w:rsidR="00F43972">
        <w:rPr>
          <w:rFonts w:ascii="Times New Roman" w:hAnsi="Times New Roman"/>
        </w:rPr>
        <w:t xml:space="preserve">ďuje </w:t>
      </w:r>
      <w:r w:rsidRPr="008C6097">
        <w:rPr>
          <w:rFonts w:ascii="Times New Roman" w:hAnsi="Times New Roman"/>
        </w:rPr>
        <w:t>definíci</w:t>
      </w:r>
      <w:r w:rsidRPr="008C6097" w:rsidR="00F43972">
        <w:rPr>
          <w:rFonts w:ascii="Times New Roman" w:hAnsi="Times New Roman"/>
        </w:rPr>
        <w:t>u</w:t>
      </w:r>
      <w:r w:rsidRPr="008C6097">
        <w:rPr>
          <w:rFonts w:ascii="Times New Roman" w:hAnsi="Times New Roman"/>
        </w:rPr>
        <w:t xml:space="preserve"> kúpy </w:t>
      </w:r>
      <w:r w:rsidRPr="008C6097" w:rsidR="00691DBA">
        <w:rPr>
          <w:rFonts w:ascii="Times New Roman" w:hAnsi="Times New Roman"/>
        </w:rPr>
        <w:t xml:space="preserve">bytu </w:t>
      </w:r>
      <w:r w:rsidRPr="008C6097">
        <w:rPr>
          <w:rFonts w:ascii="Times New Roman" w:hAnsi="Times New Roman"/>
        </w:rPr>
        <w:t>so zákonom č. 150/2013 Z.</w:t>
      </w:r>
      <w:r w:rsidRPr="008C6097" w:rsidR="002202FB">
        <w:rPr>
          <w:rFonts w:ascii="Times New Roman" w:hAnsi="Times New Roman"/>
        </w:rPr>
        <w:t xml:space="preserve"> </w:t>
      </w:r>
      <w:r w:rsidRPr="008C6097">
        <w:rPr>
          <w:rFonts w:ascii="Times New Roman" w:hAnsi="Times New Roman"/>
        </w:rPr>
        <w:t>z. o Štátnom fonde rozvoja bývania.</w:t>
      </w:r>
    </w:p>
    <w:p w:rsidR="00C974C3" w:rsidRPr="008C6097" w:rsidP="00C974C3">
      <w:pPr>
        <w:widowControl/>
        <w:bidi w:val="0"/>
        <w:spacing w:before="120"/>
        <w:ind w:firstLine="709"/>
        <w:jc w:val="both"/>
        <w:rPr>
          <w:rStyle w:val="PlaceholderText"/>
          <w:color w:val="auto"/>
        </w:rPr>
      </w:pPr>
      <w:r w:rsidRPr="008C6097">
        <w:rPr>
          <w:rStyle w:val="PlaceholderText"/>
          <w:color w:val="auto"/>
        </w:rPr>
        <w:t xml:space="preserve">Ďalším navrhovaným doplnením sa spresňuje podmienka, že podporu na obstaranie nájomného bytu stavebnou úpravou bytu v bytovom dome, ktorý žiadateľ nadobudol podľa zákona </w:t>
      </w:r>
      <w:r w:rsidRPr="008C6097" w:rsidR="00F3329B">
        <w:rPr>
          <w:rStyle w:val="PlaceholderText"/>
          <w:color w:val="auto"/>
        </w:rPr>
        <w:t xml:space="preserve"> </w:t>
      </w:r>
      <w:r w:rsidRPr="008C6097">
        <w:rPr>
          <w:rStyle w:val="PlaceholderText"/>
          <w:color w:val="auto"/>
        </w:rPr>
        <w:t>č. 172/2004 Z. z. o prevode vlastníctva nehnuteľného majetku vo vlastníctve Slovenskej republiky na obec alebo vyšší územný celok môže byť poskytnutá aj v prípade, keď dochádza k zmene počtu bytov (či už zníženiu pri spojení dvoch menších bytov alebo zvýšeniu rozdeleniu veľkého bytu na dva menšie byty). Môže nastať situácia, že podlahová plochy obnovovaných bytov nespĺňa podmienku maximálnej podlahovej plochy bytu, resp. priemernej podlahovej plochy bytov stanovené zákonom.</w:t>
      </w:r>
    </w:p>
    <w:p w:rsidR="00B746D3" w:rsidRPr="008C6097" w:rsidP="00B746D3">
      <w:pPr>
        <w:widowControl/>
        <w:bidi w:val="0"/>
        <w:spacing w:before="120"/>
        <w:jc w:val="both"/>
        <w:rPr>
          <w:rFonts w:ascii="Times New Roman" w:hAnsi="Times New Roman"/>
          <w:b/>
        </w:rPr>
      </w:pPr>
      <w:r w:rsidR="001D67BD">
        <w:rPr>
          <w:rFonts w:ascii="Times New Roman" w:hAnsi="Times New Roman"/>
          <w:b/>
        </w:rPr>
        <w:t>K bodu 5</w:t>
      </w:r>
      <w:r w:rsidR="003919F2">
        <w:rPr>
          <w:rFonts w:ascii="Times New Roman" w:hAnsi="Times New Roman"/>
          <w:b/>
        </w:rPr>
        <w:t xml:space="preserve"> </w:t>
      </w:r>
      <w:r w:rsidR="001D67BD">
        <w:rPr>
          <w:rFonts w:ascii="Times New Roman" w:hAnsi="Times New Roman"/>
          <w:b/>
        </w:rPr>
        <w:t>a 6</w:t>
      </w:r>
      <w:r w:rsidRPr="008C6097">
        <w:rPr>
          <w:rFonts w:ascii="Times New Roman" w:hAnsi="Times New Roman"/>
          <w:b/>
        </w:rPr>
        <w:t>:</w:t>
      </w:r>
    </w:p>
    <w:p w:rsidR="00B746D3" w:rsidRPr="008C6097" w:rsidP="00B746D3">
      <w:pPr>
        <w:widowControl/>
        <w:bidi w:val="0"/>
        <w:spacing w:before="120"/>
        <w:ind w:firstLine="720"/>
        <w:jc w:val="both"/>
        <w:rPr>
          <w:rFonts w:ascii="Times New Roman" w:hAnsi="Times New Roman"/>
        </w:rPr>
      </w:pPr>
      <w:r w:rsidRPr="008C6097">
        <w:rPr>
          <w:rFonts w:ascii="Times New Roman" w:hAnsi="Times New Roman"/>
        </w:rPr>
        <w:t>Ide o legislatívno-technickú úpravu nadväzujúcu na zákon č. 150/2013 Z. z. o Štátnom fonde rozvoja bývania, ktorým bol zrušený  zákon</w:t>
      </w:r>
      <w:r w:rsidRPr="008C6097" w:rsidR="002F5C9D">
        <w:rPr>
          <w:rFonts w:ascii="Times New Roman" w:hAnsi="Times New Roman"/>
        </w:rPr>
        <w:t xml:space="preserve"> č. 607/2003 Z. z. o Š</w:t>
      </w:r>
      <w:r w:rsidRPr="008C6097">
        <w:rPr>
          <w:rFonts w:ascii="Times New Roman" w:hAnsi="Times New Roman"/>
        </w:rPr>
        <w:t>tátnom fonde rozvoja bývania v znení neskorších predpisov.</w:t>
      </w:r>
    </w:p>
    <w:p w:rsidR="00B746D3" w:rsidRPr="008C6097" w:rsidP="00B746D3">
      <w:pPr>
        <w:widowControl/>
        <w:bidi w:val="0"/>
        <w:spacing w:before="120"/>
        <w:jc w:val="both"/>
        <w:rPr>
          <w:rFonts w:ascii="Times New Roman" w:hAnsi="Times New Roman"/>
          <w:b/>
        </w:rPr>
      </w:pPr>
      <w:r w:rsidRPr="008C6097">
        <w:rPr>
          <w:rFonts w:ascii="Times New Roman" w:hAnsi="Times New Roman"/>
          <w:b/>
        </w:rPr>
        <w:t xml:space="preserve">K bodu </w:t>
      </w:r>
      <w:r w:rsidR="001D67BD">
        <w:rPr>
          <w:rFonts w:ascii="Times New Roman" w:hAnsi="Times New Roman"/>
          <w:b/>
        </w:rPr>
        <w:t>7</w:t>
      </w:r>
      <w:r w:rsidRPr="008C6097">
        <w:rPr>
          <w:rFonts w:ascii="Times New Roman" w:hAnsi="Times New Roman"/>
          <w:b/>
        </w:rPr>
        <w:t>:</w:t>
      </w:r>
    </w:p>
    <w:p w:rsidR="00B746D3" w:rsidRPr="008C6097" w:rsidP="003D1EE1">
      <w:pPr>
        <w:widowControl/>
        <w:bidi w:val="0"/>
        <w:spacing w:before="120"/>
        <w:ind w:firstLine="720"/>
        <w:jc w:val="both"/>
        <w:rPr>
          <w:rFonts w:ascii="Times New Roman" w:hAnsi="Times New Roman"/>
          <w:b/>
        </w:rPr>
      </w:pPr>
      <w:r w:rsidRPr="008C6097" w:rsidR="00E53863">
        <w:rPr>
          <w:rFonts w:ascii="Times New Roman" w:hAnsi="Times New Roman"/>
        </w:rPr>
        <w:t>Legislatívno-technická</w:t>
      </w:r>
      <w:r w:rsidRPr="008C6097" w:rsidR="00862B8F">
        <w:rPr>
          <w:rFonts w:ascii="Times New Roman" w:hAnsi="Times New Roman"/>
        </w:rPr>
        <w:t xml:space="preserve"> úprav</w:t>
      </w:r>
      <w:r w:rsidRPr="008C6097" w:rsidR="00E53863">
        <w:rPr>
          <w:rFonts w:ascii="Times New Roman" w:hAnsi="Times New Roman"/>
        </w:rPr>
        <w:t>a</w:t>
      </w:r>
      <w:r w:rsidRPr="008C6097" w:rsidR="00862B8F">
        <w:rPr>
          <w:rFonts w:ascii="Times New Roman" w:hAnsi="Times New Roman"/>
        </w:rPr>
        <w:t>.</w:t>
      </w:r>
      <w:r w:rsidRPr="008C6097" w:rsidR="00862B8F">
        <w:rPr>
          <w:rFonts w:ascii="Times New Roman" w:hAnsi="Times New Roman"/>
          <w:b/>
        </w:rPr>
        <w:t xml:space="preserve"> </w:t>
      </w:r>
    </w:p>
    <w:p w:rsidR="00FC1CB7" w:rsidRPr="008C6097" w:rsidP="003D1EE1">
      <w:pPr>
        <w:widowControl/>
        <w:bidi w:val="0"/>
        <w:spacing w:before="120"/>
        <w:jc w:val="both"/>
        <w:rPr>
          <w:rFonts w:ascii="Times New Roman" w:hAnsi="Times New Roman"/>
          <w:b/>
        </w:rPr>
      </w:pPr>
      <w:r w:rsidRPr="008C6097" w:rsidR="002B5A1A">
        <w:rPr>
          <w:rFonts w:ascii="Times New Roman" w:hAnsi="Times New Roman"/>
          <w:b/>
        </w:rPr>
        <w:t xml:space="preserve">K bodu </w:t>
      </w:r>
      <w:r w:rsidR="001D67BD">
        <w:rPr>
          <w:rFonts w:ascii="Times New Roman" w:hAnsi="Times New Roman"/>
          <w:b/>
        </w:rPr>
        <w:t>8</w:t>
      </w:r>
      <w:r w:rsidRPr="008C6097">
        <w:rPr>
          <w:rFonts w:ascii="Times New Roman" w:hAnsi="Times New Roman"/>
          <w:b/>
        </w:rPr>
        <w:t xml:space="preserve">: </w:t>
      </w:r>
    </w:p>
    <w:p w:rsidR="00793A95" w:rsidRPr="008C6097" w:rsidP="003D1EE1">
      <w:pPr>
        <w:pStyle w:val="BodyText"/>
        <w:tabs>
          <w:tab w:val="left" w:pos="360"/>
        </w:tabs>
        <w:bidi w:val="0"/>
        <w:spacing w:before="120" w:after="0" w:line="240" w:lineRule="auto"/>
        <w:ind w:firstLine="709"/>
        <w:jc w:val="both"/>
        <w:rPr>
          <w:rFonts w:ascii="Times New Roman" w:hAnsi="Times New Roman"/>
          <w:bCs/>
          <w:sz w:val="24"/>
          <w:szCs w:val="24"/>
        </w:rPr>
      </w:pPr>
      <w:r w:rsidRPr="008C6097" w:rsidR="00E53863">
        <w:rPr>
          <w:rFonts w:ascii="Times New Roman" w:hAnsi="Times New Roman"/>
          <w:sz w:val="24"/>
          <w:szCs w:val="24"/>
        </w:rPr>
        <w:t xml:space="preserve">Legislatívno-technická </w:t>
      </w:r>
      <w:r w:rsidRPr="008C6097">
        <w:rPr>
          <w:rFonts w:ascii="Times New Roman" w:hAnsi="Times New Roman"/>
          <w:bCs/>
          <w:sz w:val="24"/>
          <w:szCs w:val="24"/>
        </w:rPr>
        <w:t>úprav</w:t>
      </w:r>
      <w:r w:rsidRPr="008C6097" w:rsidR="00E53863">
        <w:rPr>
          <w:rFonts w:ascii="Times New Roman" w:hAnsi="Times New Roman"/>
          <w:bCs/>
          <w:sz w:val="24"/>
          <w:szCs w:val="24"/>
        </w:rPr>
        <w:t>a</w:t>
      </w:r>
      <w:r w:rsidRPr="008C6097">
        <w:rPr>
          <w:rFonts w:ascii="Times New Roman" w:hAnsi="Times New Roman"/>
          <w:bCs/>
          <w:sz w:val="24"/>
          <w:szCs w:val="24"/>
        </w:rPr>
        <w:t xml:space="preserve"> nadväzujúcu na doplnenie nového účelu, na ktorý možno poskytnúť dotáciu</w:t>
      </w:r>
      <w:r w:rsidRPr="008C6097" w:rsidR="000F523D">
        <w:rPr>
          <w:rFonts w:ascii="Times New Roman" w:hAnsi="Times New Roman"/>
          <w:bCs/>
          <w:sz w:val="24"/>
          <w:szCs w:val="24"/>
        </w:rPr>
        <w:t xml:space="preserve"> uvedeného v bode 4</w:t>
      </w:r>
      <w:r w:rsidRPr="008C6097">
        <w:rPr>
          <w:rFonts w:ascii="Times New Roman" w:hAnsi="Times New Roman"/>
          <w:bCs/>
          <w:sz w:val="24"/>
          <w:szCs w:val="24"/>
        </w:rPr>
        <w:t xml:space="preserve">. </w:t>
      </w:r>
    </w:p>
    <w:p w:rsidR="004C5954" w:rsidRPr="008C6097" w:rsidP="006B06B7">
      <w:pPr>
        <w:widowControl/>
        <w:bidi w:val="0"/>
        <w:spacing w:before="120"/>
        <w:jc w:val="both"/>
        <w:rPr>
          <w:rFonts w:ascii="Times New Roman" w:hAnsi="Times New Roman"/>
          <w:b/>
        </w:rPr>
      </w:pPr>
      <w:r w:rsidR="001D67BD">
        <w:rPr>
          <w:rFonts w:ascii="Times New Roman" w:hAnsi="Times New Roman"/>
          <w:b/>
        </w:rPr>
        <w:t>K bodu 9</w:t>
      </w:r>
      <w:r w:rsidRPr="008C6097">
        <w:rPr>
          <w:rFonts w:ascii="Times New Roman" w:hAnsi="Times New Roman"/>
          <w:b/>
        </w:rPr>
        <w:t xml:space="preserve">: </w:t>
      </w:r>
    </w:p>
    <w:p w:rsidR="00447828" w:rsidRPr="008C6097" w:rsidP="00933266">
      <w:pPr>
        <w:widowControl/>
        <w:bidi w:val="0"/>
        <w:spacing w:before="120"/>
        <w:ind w:firstLine="720"/>
        <w:jc w:val="both"/>
        <w:rPr>
          <w:rFonts w:ascii="Times New Roman" w:hAnsi="Times New Roman"/>
        </w:rPr>
      </w:pPr>
      <w:r w:rsidRPr="008C6097">
        <w:rPr>
          <w:rFonts w:ascii="Times New Roman" w:hAnsi="Times New Roman"/>
        </w:rPr>
        <w:t>Legislatívno-technická úprava.</w:t>
      </w:r>
    </w:p>
    <w:p w:rsidR="00447828" w:rsidRPr="008C6097" w:rsidP="00447828">
      <w:pPr>
        <w:widowControl/>
        <w:bidi w:val="0"/>
        <w:spacing w:before="120"/>
        <w:jc w:val="both"/>
        <w:rPr>
          <w:rFonts w:ascii="Times New Roman" w:hAnsi="Times New Roman"/>
          <w:b/>
        </w:rPr>
      </w:pPr>
      <w:r w:rsidRPr="008C6097">
        <w:rPr>
          <w:rFonts w:ascii="Times New Roman" w:hAnsi="Times New Roman"/>
          <w:b/>
        </w:rPr>
        <w:t>K bodu 1</w:t>
      </w:r>
      <w:r w:rsidR="001D67BD">
        <w:rPr>
          <w:rFonts w:ascii="Times New Roman" w:hAnsi="Times New Roman"/>
          <w:b/>
        </w:rPr>
        <w:t>0</w:t>
      </w:r>
      <w:r w:rsidRPr="008C6097">
        <w:rPr>
          <w:rFonts w:ascii="Times New Roman" w:hAnsi="Times New Roman"/>
          <w:b/>
        </w:rPr>
        <w:t>:</w:t>
      </w:r>
    </w:p>
    <w:p w:rsidR="003339E4" w:rsidRPr="00AE39BF" w:rsidP="00AE39BF">
      <w:pPr>
        <w:widowControl/>
        <w:bidi w:val="0"/>
        <w:spacing w:before="120"/>
        <w:ind w:firstLine="720"/>
        <w:jc w:val="both"/>
        <w:rPr>
          <w:rFonts w:ascii="Times New Roman" w:hAnsi="Times New Roman"/>
        </w:rPr>
      </w:pPr>
      <w:r w:rsidRPr="008C6097" w:rsidR="00B746D3">
        <w:rPr>
          <w:rFonts w:ascii="Times New Roman" w:hAnsi="Times New Roman"/>
        </w:rPr>
        <w:t xml:space="preserve">Ide o legislatívno-technickú úpravu nadväzujúcu na zákon </w:t>
      </w:r>
      <w:r w:rsidRPr="008C6097" w:rsidR="002F5C9D">
        <w:rPr>
          <w:rFonts w:ascii="Times New Roman" w:hAnsi="Times New Roman"/>
        </w:rPr>
        <w:t>č.</w:t>
      </w:r>
      <w:r w:rsidRPr="008C6097" w:rsidR="00B746D3">
        <w:rPr>
          <w:rFonts w:ascii="Times New Roman" w:hAnsi="Times New Roman"/>
        </w:rPr>
        <w:t xml:space="preserve"> 150/2013 Z. z. o Štátnom fonde rozvoja bývania, ktorým bol zrušený  zákon č. 607/2003 Z. z. o </w:t>
      </w:r>
      <w:r w:rsidRPr="008C6097" w:rsidR="002F5C9D">
        <w:rPr>
          <w:rFonts w:ascii="Times New Roman" w:hAnsi="Times New Roman"/>
        </w:rPr>
        <w:t>Š</w:t>
      </w:r>
      <w:r w:rsidRPr="008C6097" w:rsidR="00B746D3">
        <w:rPr>
          <w:rFonts w:ascii="Times New Roman" w:hAnsi="Times New Roman"/>
        </w:rPr>
        <w:t>tátnom fonde rozvoja bývania v znení neskorších predpisov.</w:t>
      </w:r>
    </w:p>
    <w:p w:rsidR="00933266" w:rsidRPr="008C6097" w:rsidP="00933266">
      <w:pPr>
        <w:widowControl/>
        <w:bidi w:val="0"/>
        <w:spacing w:before="120"/>
        <w:jc w:val="both"/>
        <w:rPr>
          <w:rFonts w:ascii="Times New Roman" w:hAnsi="Times New Roman"/>
          <w:b/>
        </w:rPr>
      </w:pPr>
      <w:r w:rsidRPr="008C6097" w:rsidR="00447828">
        <w:rPr>
          <w:rFonts w:ascii="Times New Roman" w:hAnsi="Times New Roman"/>
          <w:b/>
        </w:rPr>
        <w:t>K bodu 1</w:t>
      </w:r>
      <w:r w:rsidR="006C36C9">
        <w:rPr>
          <w:rFonts w:ascii="Times New Roman" w:hAnsi="Times New Roman"/>
          <w:b/>
        </w:rPr>
        <w:t>1</w:t>
      </w:r>
      <w:r w:rsidRPr="008C6097" w:rsidR="00450722">
        <w:rPr>
          <w:rFonts w:ascii="Times New Roman" w:hAnsi="Times New Roman"/>
          <w:b/>
        </w:rPr>
        <w:t>:</w:t>
      </w:r>
    </w:p>
    <w:p w:rsidR="00BE4739" w:rsidRPr="008C6097" w:rsidP="00AD5573">
      <w:pPr>
        <w:widowControl/>
        <w:bidi w:val="0"/>
        <w:spacing w:before="120"/>
        <w:ind w:firstLine="720"/>
        <w:jc w:val="both"/>
        <w:rPr>
          <w:rFonts w:ascii="Times New Roman" w:hAnsi="Times New Roman"/>
        </w:rPr>
      </w:pPr>
      <w:r w:rsidRPr="008C6097" w:rsidR="00B101D4">
        <w:rPr>
          <w:rFonts w:ascii="Times New Roman" w:hAnsi="Times New Roman"/>
        </w:rPr>
        <w:t xml:space="preserve">Ustanovenie </w:t>
      </w:r>
      <w:r w:rsidRPr="008C6097" w:rsidR="00963395">
        <w:rPr>
          <w:rFonts w:ascii="Times New Roman" w:hAnsi="Times New Roman"/>
        </w:rPr>
        <w:t xml:space="preserve">stanovuje </w:t>
      </w:r>
      <w:r w:rsidRPr="008C6097" w:rsidR="00EF6DBD">
        <w:rPr>
          <w:rFonts w:ascii="Times New Roman" w:hAnsi="Times New Roman"/>
        </w:rPr>
        <w:t xml:space="preserve">podmienku </w:t>
      </w:r>
      <w:r w:rsidRPr="008C6097" w:rsidR="00074033">
        <w:rPr>
          <w:rFonts w:ascii="Times New Roman" w:hAnsi="Times New Roman"/>
        </w:rPr>
        <w:t>poskytnuti</w:t>
      </w:r>
      <w:r w:rsidRPr="008C6097" w:rsidR="00EF6DBD">
        <w:rPr>
          <w:rFonts w:ascii="Times New Roman" w:hAnsi="Times New Roman"/>
        </w:rPr>
        <w:t>a</w:t>
      </w:r>
      <w:r w:rsidRPr="008C6097" w:rsidR="00074033">
        <w:rPr>
          <w:rFonts w:ascii="Times New Roman" w:hAnsi="Times New Roman"/>
        </w:rPr>
        <w:t xml:space="preserve"> dotácie žiadateľovi</w:t>
      </w:r>
      <w:r w:rsidRPr="008C6097" w:rsidR="004745CE">
        <w:rPr>
          <w:rFonts w:ascii="Times New Roman" w:hAnsi="Times New Roman"/>
        </w:rPr>
        <w:t xml:space="preserve"> po preukázaní</w:t>
      </w:r>
      <w:r w:rsidRPr="008C6097" w:rsidR="00AB3F72">
        <w:rPr>
          <w:rFonts w:ascii="Times New Roman" w:hAnsi="Times New Roman"/>
        </w:rPr>
        <w:t>, že nájomné byty, ktoré kupuje od predávajúceho, ktorý tieto byty získal stavebnými úpravami ostatných budov alebo stavebnými úpravami nebytového priestoru</w:t>
      </w:r>
      <w:r w:rsidRPr="008C6097" w:rsidR="004D2570">
        <w:rPr>
          <w:rFonts w:ascii="Times New Roman" w:hAnsi="Times New Roman"/>
        </w:rPr>
        <w:t>,</w:t>
      </w:r>
      <w:r w:rsidRPr="008C6097" w:rsidR="006A306E">
        <w:rPr>
          <w:rFonts w:ascii="Times New Roman" w:hAnsi="Times New Roman"/>
        </w:rPr>
        <w:t xml:space="preserve"> </w:t>
      </w:r>
      <w:r w:rsidRPr="008C6097" w:rsidR="00AB3F72">
        <w:rPr>
          <w:rFonts w:ascii="Times New Roman" w:hAnsi="Times New Roman"/>
        </w:rPr>
        <w:t>spĺňajú</w:t>
      </w:r>
      <w:r w:rsidRPr="008C6097" w:rsidR="00A60A8D">
        <w:rPr>
          <w:rFonts w:ascii="Times New Roman" w:hAnsi="Times New Roman"/>
        </w:rPr>
        <w:t xml:space="preserve"> minimáln</w:t>
      </w:r>
      <w:r w:rsidRPr="008C6097" w:rsidR="00AB3F72">
        <w:rPr>
          <w:rFonts w:ascii="Times New Roman" w:hAnsi="Times New Roman"/>
        </w:rPr>
        <w:t>e</w:t>
      </w:r>
      <w:r w:rsidRPr="008C6097" w:rsidR="00A60A8D">
        <w:rPr>
          <w:rFonts w:ascii="Times New Roman" w:hAnsi="Times New Roman"/>
        </w:rPr>
        <w:t xml:space="preserve"> požiadav</w:t>
      </w:r>
      <w:r w:rsidRPr="008C6097" w:rsidR="00AB3F72">
        <w:rPr>
          <w:rFonts w:ascii="Times New Roman" w:hAnsi="Times New Roman"/>
        </w:rPr>
        <w:t>ky</w:t>
      </w:r>
      <w:r w:rsidRPr="008C6097" w:rsidR="00A60A8D">
        <w:rPr>
          <w:rFonts w:ascii="Times New Roman" w:hAnsi="Times New Roman"/>
        </w:rPr>
        <w:t xml:space="preserve"> na energetickú hospodárnosť budov pre novú budovu</w:t>
      </w:r>
      <w:r w:rsidRPr="008C6097" w:rsidR="00AB3F72">
        <w:rPr>
          <w:rFonts w:ascii="Times New Roman" w:hAnsi="Times New Roman"/>
        </w:rPr>
        <w:t>.</w:t>
      </w:r>
      <w:r w:rsidRPr="008C6097" w:rsidR="00074033">
        <w:rPr>
          <w:rFonts w:ascii="Times New Roman" w:hAnsi="Times New Roman"/>
        </w:rPr>
        <w:t xml:space="preserve">  </w:t>
      </w:r>
    </w:p>
    <w:p w:rsidR="00074033" w:rsidRPr="008C6097" w:rsidP="00AD5573">
      <w:pPr>
        <w:widowControl/>
        <w:bidi w:val="0"/>
        <w:spacing w:before="120"/>
        <w:ind w:firstLine="720"/>
        <w:jc w:val="both"/>
        <w:rPr>
          <w:rFonts w:ascii="Times New Roman" w:hAnsi="Times New Roman"/>
        </w:rPr>
      </w:pPr>
      <w:r w:rsidRPr="008C6097" w:rsidR="00327F10">
        <w:rPr>
          <w:rFonts w:ascii="Times New Roman" w:hAnsi="Times New Roman"/>
        </w:rPr>
        <w:t xml:space="preserve">Obdobne sa </w:t>
      </w:r>
      <w:r w:rsidRPr="008C6097" w:rsidR="00F90B70">
        <w:rPr>
          <w:rFonts w:ascii="Times New Roman" w:hAnsi="Times New Roman"/>
        </w:rPr>
        <w:t>stanovuje podmienka poskytnutia dotácie žiadateľovi</w:t>
      </w:r>
      <w:r w:rsidRPr="008C6097" w:rsidR="00C665F6">
        <w:rPr>
          <w:rFonts w:ascii="Times New Roman" w:hAnsi="Times New Roman"/>
        </w:rPr>
        <w:t xml:space="preserve"> po preukázaní</w:t>
      </w:r>
      <w:r w:rsidRPr="008C6097" w:rsidR="00F90B70">
        <w:rPr>
          <w:rFonts w:ascii="Times New Roman" w:hAnsi="Times New Roman"/>
        </w:rPr>
        <w:t xml:space="preserve"> </w:t>
      </w:r>
      <w:r w:rsidRPr="008C6097" w:rsidR="00327F10">
        <w:rPr>
          <w:rFonts w:ascii="Times New Roman" w:hAnsi="Times New Roman"/>
        </w:rPr>
        <w:t>splneni</w:t>
      </w:r>
      <w:r w:rsidRPr="008C6097" w:rsidR="00C665F6">
        <w:rPr>
          <w:rFonts w:ascii="Times New Roman" w:hAnsi="Times New Roman"/>
        </w:rPr>
        <w:t>a</w:t>
      </w:r>
      <w:r w:rsidRPr="008C6097" w:rsidR="00327F10">
        <w:rPr>
          <w:rFonts w:ascii="Times New Roman" w:hAnsi="Times New Roman"/>
        </w:rPr>
        <w:t xml:space="preserve"> minimálnych požiadaviek na energetickú hospodárnosť budov pre </w:t>
      </w:r>
      <w:r w:rsidRPr="008C6097" w:rsidR="00F90B70">
        <w:rPr>
          <w:rFonts w:ascii="Times New Roman" w:hAnsi="Times New Roman"/>
        </w:rPr>
        <w:t>novú budovu v</w:t>
      </w:r>
      <w:r w:rsidRPr="008C6097" w:rsidR="004745CE">
        <w:rPr>
          <w:rFonts w:ascii="Times New Roman" w:hAnsi="Times New Roman"/>
        </w:rPr>
        <w:t> </w:t>
      </w:r>
      <w:r w:rsidRPr="008C6097" w:rsidR="00F90B70">
        <w:rPr>
          <w:rFonts w:ascii="Times New Roman" w:hAnsi="Times New Roman"/>
        </w:rPr>
        <w:t>prípade</w:t>
      </w:r>
      <w:r w:rsidRPr="008C6097" w:rsidR="004745CE">
        <w:rPr>
          <w:rFonts w:ascii="Times New Roman" w:hAnsi="Times New Roman"/>
        </w:rPr>
        <w:t xml:space="preserve"> obstarávania </w:t>
      </w:r>
      <w:r w:rsidRPr="008C6097" w:rsidR="00F90B70">
        <w:rPr>
          <w:rFonts w:ascii="Times New Roman" w:hAnsi="Times New Roman"/>
        </w:rPr>
        <w:t>nájomn</w:t>
      </w:r>
      <w:r w:rsidRPr="008C6097" w:rsidR="004745CE">
        <w:rPr>
          <w:rFonts w:ascii="Times New Roman" w:hAnsi="Times New Roman"/>
        </w:rPr>
        <w:t>ých</w:t>
      </w:r>
      <w:r w:rsidRPr="008C6097" w:rsidR="00F90B70">
        <w:rPr>
          <w:rFonts w:ascii="Times New Roman" w:hAnsi="Times New Roman"/>
        </w:rPr>
        <w:t xml:space="preserve"> byt</w:t>
      </w:r>
      <w:r w:rsidRPr="008C6097" w:rsidR="004745CE">
        <w:rPr>
          <w:rFonts w:ascii="Times New Roman" w:hAnsi="Times New Roman"/>
        </w:rPr>
        <w:t>ov</w:t>
      </w:r>
      <w:r w:rsidRPr="008C6097" w:rsidR="00F90B70">
        <w:rPr>
          <w:rFonts w:ascii="Times New Roman" w:hAnsi="Times New Roman"/>
        </w:rPr>
        <w:t xml:space="preserve"> </w:t>
      </w:r>
      <w:r w:rsidRPr="008C6097" w:rsidR="00327F10">
        <w:rPr>
          <w:rFonts w:ascii="Times New Roman" w:hAnsi="Times New Roman"/>
        </w:rPr>
        <w:t>stavebnými úpravami bytov</w:t>
      </w:r>
      <w:r w:rsidRPr="008C6097" w:rsidR="002A204F">
        <w:rPr>
          <w:rFonts w:ascii="Times New Roman" w:hAnsi="Times New Roman"/>
        </w:rPr>
        <w:t xml:space="preserve">, </w:t>
      </w:r>
      <w:r w:rsidRPr="008C6097" w:rsidR="00F90B70">
        <w:rPr>
          <w:rFonts w:ascii="Times New Roman" w:hAnsi="Times New Roman"/>
        </w:rPr>
        <w:t xml:space="preserve">ktoré slúžili ozbrojeným silám Slovenskej republiky. </w:t>
      </w:r>
    </w:p>
    <w:p w:rsidR="006F3FFC" w:rsidRPr="008C6097" w:rsidP="00AD5573">
      <w:pPr>
        <w:widowControl/>
        <w:bidi w:val="0"/>
        <w:spacing w:before="120"/>
        <w:ind w:firstLine="720"/>
        <w:jc w:val="both"/>
        <w:rPr>
          <w:rFonts w:ascii="Times New Roman" w:hAnsi="Times New Roman"/>
        </w:rPr>
      </w:pPr>
      <w:r w:rsidRPr="008C6097">
        <w:rPr>
          <w:rFonts w:ascii="Times New Roman" w:hAnsi="Times New Roman"/>
        </w:rPr>
        <w:t>Cieľom je, aby náklady na služby spojené s bývaním neboli pre cieľovú skupinu neprimerané vysoké.</w:t>
      </w:r>
    </w:p>
    <w:p w:rsidR="00340815" w:rsidP="000C542C">
      <w:pPr>
        <w:widowControl/>
        <w:bidi w:val="0"/>
        <w:spacing w:before="120"/>
        <w:jc w:val="both"/>
        <w:rPr>
          <w:rFonts w:ascii="Times New Roman" w:hAnsi="Times New Roman"/>
          <w:b/>
        </w:rPr>
      </w:pPr>
    </w:p>
    <w:p w:rsidR="000C542C" w:rsidRPr="008C6097" w:rsidP="000C542C">
      <w:pPr>
        <w:widowControl/>
        <w:bidi w:val="0"/>
        <w:spacing w:before="120"/>
        <w:jc w:val="both"/>
        <w:rPr>
          <w:rFonts w:ascii="Times New Roman" w:hAnsi="Times New Roman"/>
          <w:b/>
        </w:rPr>
      </w:pPr>
      <w:r w:rsidR="006C36C9">
        <w:rPr>
          <w:rFonts w:ascii="Times New Roman" w:hAnsi="Times New Roman"/>
          <w:b/>
        </w:rPr>
        <w:t>K bodu 12</w:t>
      </w:r>
      <w:r w:rsidRPr="008C6097">
        <w:rPr>
          <w:rFonts w:ascii="Times New Roman" w:hAnsi="Times New Roman"/>
          <w:b/>
        </w:rPr>
        <w:t>:</w:t>
      </w:r>
    </w:p>
    <w:p w:rsidR="008C6097" w:rsidRPr="008C6097" w:rsidP="00327F10">
      <w:pPr>
        <w:widowControl/>
        <w:bidi w:val="0"/>
        <w:spacing w:before="120"/>
        <w:jc w:val="both"/>
        <w:rPr>
          <w:rStyle w:val="PlaceholderText"/>
          <w:color w:val="auto"/>
        </w:rPr>
      </w:pPr>
      <w:r w:rsidRPr="008C6097" w:rsidR="006B72D8">
        <w:rPr>
          <w:rFonts w:ascii="Times New Roman" w:hAnsi="Times New Roman"/>
          <w:b/>
        </w:rPr>
        <w:t xml:space="preserve"> </w:t>
        <w:tab/>
      </w:r>
      <w:r w:rsidRPr="008C6097">
        <w:rPr>
          <w:rFonts w:ascii="Times New Roman" w:hAnsi="Times New Roman"/>
        </w:rPr>
        <w:t>Dotácia sa poskytuje</w:t>
      </w:r>
      <w:r w:rsidRPr="008C6097">
        <w:rPr>
          <w:rFonts w:ascii="Times New Roman" w:hAnsi="Times New Roman"/>
          <w:b/>
        </w:rPr>
        <w:t xml:space="preserve"> </w:t>
      </w:r>
      <w:r w:rsidRPr="008C6097">
        <w:rPr>
          <w:rStyle w:val="PlaceholderText"/>
          <w:color w:val="auto"/>
        </w:rPr>
        <w:t xml:space="preserve">za zákonom vymedzených podmienok. Jednou z nich záväzok žiadateľa zachovať nájomný charakter bytov počas celej lehoty zákonom definovanej lehoty. Na základe požiadavky ZMOS, ako aj ZSPS sa navrhuje skrátenie tejto lehoty  </w:t>
      </w:r>
      <w:r w:rsidR="00CA0B51">
        <w:rPr>
          <w:rStyle w:val="PlaceholderText"/>
          <w:color w:val="auto"/>
        </w:rPr>
        <w:t>n</w:t>
      </w:r>
      <w:r w:rsidRPr="008C6097">
        <w:rPr>
          <w:rStyle w:val="PlaceholderText"/>
          <w:color w:val="auto"/>
        </w:rPr>
        <w:t>a minimálne 20 rokov pri dotáciách poskytnutých po účinnosti tohto zákona.</w:t>
      </w:r>
    </w:p>
    <w:p w:rsidR="00327F10" w:rsidRPr="008C6097" w:rsidP="00327F10">
      <w:pPr>
        <w:widowControl/>
        <w:bidi w:val="0"/>
        <w:spacing w:before="120"/>
        <w:jc w:val="both"/>
        <w:rPr>
          <w:rFonts w:ascii="Times New Roman" w:hAnsi="Times New Roman"/>
          <w:b/>
        </w:rPr>
      </w:pPr>
      <w:r w:rsidRPr="008C6097" w:rsidR="00447828">
        <w:rPr>
          <w:rFonts w:ascii="Times New Roman" w:hAnsi="Times New Roman"/>
          <w:b/>
        </w:rPr>
        <w:t>K bodu 1</w:t>
      </w:r>
      <w:r w:rsidR="006C36C9">
        <w:rPr>
          <w:rFonts w:ascii="Times New Roman" w:hAnsi="Times New Roman"/>
          <w:b/>
        </w:rPr>
        <w:t>3</w:t>
      </w:r>
      <w:r w:rsidRPr="008C6097">
        <w:rPr>
          <w:rFonts w:ascii="Times New Roman" w:hAnsi="Times New Roman"/>
          <w:b/>
        </w:rPr>
        <w:t xml:space="preserve">: </w:t>
      </w:r>
    </w:p>
    <w:p w:rsidR="00530A83" w:rsidRPr="008C6097" w:rsidP="00475B2C">
      <w:pPr>
        <w:widowControl/>
        <w:bidi w:val="0"/>
        <w:spacing w:before="120"/>
        <w:ind w:firstLine="720"/>
        <w:jc w:val="both"/>
        <w:rPr>
          <w:rFonts w:ascii="Times New Roman" w:hAnsi="Times New Roman"/>
        </w:rPr>
      </w:pPr>
      <w:r w:rsidRPr="008C6097" w:rsidR="008831E2">
        <w:rPr>
          <w:rFonts w:ascii="Times New Roman" w:hAnsi="Times New Roman"/>
        </w:rPr>
        <w:t>L</w:t>
      </w:r>
      <w:r w:rsidRPr="008C6097" w:rsidR="00327F10">
        <w:rPr>
          <w:rFonts w:ascii="Times New Roman" w:hAnsi="Times New Roman"/>
        </w:rPr>
        <w:t>egislatívno-technick</w:t>
      </w:r>
      <w:r w:rsidRPr="008C6097" w:rsidR="008831E2">
        <w:rPr>
          <w:rFonts w:ascii="Times New Roman" w:hAnsi="Times New Roman"/>
        </w:rPr>
        <w:t>á úprava</w:t>
      </w:r>
      <w:r w:rsidR="006C36C9">
        <w:rPr>
          <w:rFonts w:ascii="Times New Roman" w:hAnsi="Times New Roman"/>
        </w:rPr>
        <w:t>, kde sa navrhuje, aby sa podmienka priemernej podlahovej plochy nevzťahovala na nájomné byty získavané stavebnými úpravami v bytových budovách, ktoré sú národnou kultúrnou pamiatkou alebo sú zapísané v Zozname svetového dedičstva. V týchto prípadoch nie je vždy technicky možné zabezpečiť splnenie tejto podmienky</w:t>
      </w:r>
      <w:r w:rsidRPr="008C6097" w:rsidR="00644C5C">
        <w:rPr>
          <w:rFonts w:ascii="Times New Roman" w:hAnsi="Times New Roman"/>
        </w:rPr>
        <w:t>.</w:t>
      </w:r>
    </w:p>
    <w:p w:rsidR="00CC719A" w:rsidRPr="008C6097" w:rsidP="00CC719A">
      <w:pPr>
        <w:widowControl/>
        <w:bidi w:val="0"/>
        <w:spacing w:before="120"/>
        <w:jc w:val="both"/>
        <w:rPr>
          <w:rFonts w:ascii="Times New Roman" w:hAnsi="Times New Roman"/>
          <w:b/>
        </w:rPr>
      </w:pPr>
      <w:r w:rsidRPr="008C6097">
        <w:rPr>
          <w:rFonts w:ascii="Times New Roman" w:hAnsi="Times New Roman"/>
          <w:b/>
        </w:rPr>
        <w:t>K bodu 1</w:t>
      </w:r>
      <w:r w:rsidR="006C36C9">
        <w:rPr>
          <w:rFonts w:ascii="Times New Roman" w:hAnsi="Times New Roman"/>
          <w:b/>
        </w:rPr>
        <w:t>4</w:t>
      </w:r>
      <w:r w:rsidRPr="008C6097">
        <w:rPr>
          <w:rFonts w:ascii="Times New Roman" w:hAnsi="Times New Roman"/>
          <w:b/>
        </w:rPr>
        <w:t>:</w:t>
      </w:r>
    </w:p>
    <w:p w:rsidR="00A8105C" w:rsidRPr="008C6097" w:rsidP="00243B74">
      <w:pPr>
        <w:widowControl/>
        <w:bidi w:val="0"/>
        <w:spacing w:before="120"/>
        <w:ind w:firstLine="720"/>
        <w:jc w:val="both"/>
        <w:rPr>
          <w:rFonts w:ascii="Times New Roman" w:hAnsi="Times New Roman"/>
        </w:rPr>
      </w:pPr>
      <w:r w:rsidRPr="008C6097" w:rsidR="00243B74">
        <w:rPr>
          <w:rFonts w:ascii="Times New Roman" w:hAnsi="Times New Roman"/>
        </w:rPr>
        <w:t xml:space="preserve">Ide o legislatívno-technickú úpravu </w:t>
      </w:r>
      <w:r w:rsidRPr="008C6097" w:rsidR="00EB2574">
        <w:rPr>
          <w:rFonts w:ascii="Times New Roman" w:hAnsi="Times New Roman"/>
        </w:rPr>
        <w:t>v </w:t>
      </w:r>
      <w:r w:rsidRPr="008C6097" w:rsidR="00ED3F6C">
        <w:rPr>
          <w:rFonts w:ascii="Times New Roman" w:hAnsi="Times New Roman"/>
        </w:rPr>
        <w:t xml:space="preserve"> </w:t>
      </w:r>
      <w:r w:rsidRPr="008C6097" w:rsidR="00EB2574">
        <w:rPr>
          <w:rFonts w:ascii="Times New Roman" w:hAnsi="Times New Roman"/>
        </w:rPr>
        <w:t xml:space="preserve">nadväznosti na </w:t>
      </w:r>
      <w:r w:rsidRPr="008C6097" w:rsidR="00243B74">
        <w:rPr>
          <w:rFonts w:ascii="Times New Roman" w:hAnsi="Times New Roman"/>
        </w:rPr>
        <w:t>určovan</w:t>
      </w:r>
      <w:r w:rsidRPr="008C6097" w:rsidR="00EB2574">
        <w:rPr>
          <w:rFonts w:ascii="Times New Roman" w:hAnsi="Times New Roman"/>
        </w:rPr>
        <w:t>ie</w:t>
      </w:r>
      <w:r w:rsidRPr="008C6097" w:rsidR="00243B74">
        <w:rPr>
          <w:rFonts w:ascii="Times New Roman" w:hAnsi="Times New Roman"/>
        </w:rPr>
        <w:t xml:space="preserve"> súm dotácií a výšky oprávnených nákladov.</w:t>
      </w:r>
      <w:r w:rsidRPr="008C6097" w:rsidR="00ED3F6C">
        <w:rPr>
          <w:rFonts w:ascii="Times New Roman" w:hAnsi="Times New Roman"/>
        </w:rPr>
        <w:t xml:space="preserve"> </w:t>
      </w:r>
    </w:p>
    <w:p w:rsidR="00243B74" w:rsidRPr="008C6097" w:rsidP="00243B74">
      <w:pPr>
        <w:widowControl/>
        <w:bidi w:val="0"/>
        <w:spacing w:before="120"/>
        <w:ind w:firstLine="720"/>
        <w:jc w:val="both"/>
        <w:rPr>
          <w:rFonts w:ascii="Times New Roman" w:hAnsi="Times New Roman"/>
        </w:rPr>
      </w:pPr>
      <w:r w:rsidRPr="008C6097" w:rsidR="00ED3F6C">
        <w:rPr>
          <w:rFonts w:ascii="Times New Roman" w:hAnsi="Times New Roman"/>
        </w:rPr>
        <w:t>V platnom znení zákona je</w:t>
      </w:r>
      <w:r w:rsidRPr="008C6097" w:rsidR="008306C7">
        <w:rPr>
          <w:rFonts w:ascii="Times New Roman" w:hAnsi="Times New Roman"/>
        </w:rPr>
        <w:t xml:space="preserve"> </w:t>
      </w:r>
      <w:r w:rsidRPr="008C6097" w:rsidR="00A8105C">
        <w:rPr>
          <w:rFonts w:ascii="Times New Roman" w:hAnsi="Times New Roman"/>
        </w:rPr>
        <w:t>stanoven</w:t>
      </w:r>
      <w:r w:rsidRPr="008C6097" w:rsidR="001F1AEA">
        <w:rPr>
          <w:rFonts w:ascii="Times New Roman" w:hAnsi="Times New Roman"/>
        </w:rPr>
        <w:t>á úprava</w:t>
      </w:r>
      <w:r w:rsidRPr="008C6097" w:rsidR="00ED3F6C">
        <w:rPr>
          <w:rFonts w:ascii="Times New Roman" w:hAnsi="Times New Roman"/>
        </w:rPr>
        <w:t xml:space="preserve"> </w:t>
      </w:r>
      <w:r w:rsidRPr="008C6097" w:rsidR="008306C7">
        <w:rPr>
          <w:rFonts w:ascii="Times New Roman" w:hAnsi="Times New Roman"/>
        </w:rPr>
        <w:t>s</w:t>
      </w:r>
      <w:r w:rsidRPr="008C6097" w:rsidR="001F1AEA">
        <w:rPr>
          <w:rFonts w:ascii="Times New Roman" w:hAnsi="Times New Roman"/>
        </w:rPr>
        <w:t>ú</w:t>
      </w:r>
      <w:r w:rsidRPr="008C6097" w:rsidR="008306C7">
        <w:rPr>
          <w:rFonts w:ascii="Times New Roman" w:hAnsi="Times New Roman"/>
        </w:rPr>
        <w:t>m dotácií a výšky oprávnených nákladov nariaden</w:t>
      </w:r>
      <w:r w:rsidRPr="008C6097" w:rsidR="001F1AEA">
        <w:rPr>
          <w:rFonts w:ascii="Times New Roman" w:hAnsi="Times New Roman"/>
        </w:rPr>
        <w:t>ím</w:t>
      </w:r>
      <w:r w:rsidRPr="008C6097" w:rsidR="008306C7">
        <w:rPr>
          <w:rFonts w:ascii="Times New Roman" w:hAnsi="Times New Roman"/>
        </w:rPr>
        <w:t xml:space="preserve"> vlády Slovenskej republiky. </w:t>
      </w:r>
      <w:r w:rsidRPr="008C6097" w:rsidR="00A8105C">
        <w:rPr>
          <w:rFonts w:ascii="Times New Roman" w:hAnsi="Times New Roman"/>
        </w:rPr>
        <w:t>Výšk</w:t>
      </w:r>
      <w:r w:rsidRPr="008C6097" w:rsidR="00C222D2">
        <w:rPr>
          <w:rFonts w:ascii="Times New Roman" w:hAnsi="Times New Roman"/>
        </w:rPr>
        <w:t>a</w:t>
      </w:r>
      <w:r w:rsidRPr="008C6097" w:rsidR="00A8105C">
        <w:rPr>
          <w:rFonts w:ascii="Times New Roman" w:hAnsi="Times New Roman"/>
        </w:rPr>
        <w:t xml:space="preserve"> dotácií a výšky oprávnených nákladov sa </w:t>
      </w:r>
      <w:r w:rsidRPr="008C6097" w:rsidR="00651522">
        <w:rPr>
          <w:rFonts w:ascii="Times New Roman" w:hAnsi="Times New Roman"/>
        </w:rPr>
        <w:t>upravujú</w:t>
      </w:r>
      <w:r w:rsidRPr="008C6097" w:rsidR="00A8105C">
        <w:rPr>
          <w:rFonts w:ascii="Times New Roman" w:hAnsi="Times New Roman"/>
        </w:rPr>
        <w:t xml:space="preserve">  </w:t>
      </w:r>
      <w:r w:rsidRPr="008C6097" w:rsidR="00115696">
        <w:rPr>
          <w:rFonts w:ascii="Times New Roman" w:hAnsi="Times New Roman"/>
        </w:rPr>
        <w:t>na základe</w:t>
      </w:r>
      <w:r w:rsidRPr="008C6097" w:rsidR="00A8105C">
        <w:rPr>
          <w:rFonts w:ascii="Times New Roman" w:hAnsi="Times New Roman"/>
        </w:rPr>
        <w:t xml:space="preserve"> vývoja cien stavebných prác zistených Štatistickým úradom Slovenskej republiky. </w:t>
      </w:r>
      <w:r w:rsidRPr="008C6097" w:rsidR="00964715">
        <w:rPr>
          <w:rFonts w:ascii="Times New Roman" w:hAnsi="Times New Roman"/>
        </w:rPr>
        <w:t xml:space="preserve"> </w:t>
      </w:r>
      <w:r w:rsidRPr="008C6097" w:rsidR="00063F29">
        <w:rPr>
          <w:rFonts w:ascii="Times New Roman" w:hAnsi="Times New Roman"/>
        </w:rPr>
        <w:t>Vzhľadom na uvedené ú</w:t>
      </w:r>
      <w:r w:rsidRPr="008C6097" w:rsidR="0068602F">
        <w:rPr>
          <w:rFonts w:ascii="Times New Roman" w:hAnsi="Times New Roman"/>
        </w:rPr>
        <w:t>pravu</w:t>
      </w:r>
      <w:r w:rsidRPr="008C6097" w:rsidR="00D846BC">
        <w:rPr>
          <w:rFonts w:ascii="Times New Roman" w:hAnsi="Times New Roman"/>
        </w:rPr>
        <w:t xml:space="preserve"> výšky dotácie a výšky oprávnených nákladov</w:t>
      </w:r>
      <w:r w:rsidRPr="008C6097" w:rsidR="0068602F">
        <w:rPr>
          <w:rFonts w:ascii="Times New Roman" w:hAnsi="Times New Roman"/>
        </w:rPr>
        <w:t xml:space="preserve"> v nadväznosti na vývoj cien stavebných výrobkov sa navrhuje riešiť </w:t>
      </w:r>
      <w:r w:rsidRPr="008C6097" w:rsidR="00964715">
        <w:rPr>
          <w:rFonts w:ascii="Times New Roman" w:hAnsi="Times New Roman"/>
        </w:rPr>
        <w:t>vykonávacím predpisom</w:t>
      </w:r>
      <w:r w:rsidRPr="008C6097" w:rsidR="00A8105C">
        <w:rPr>
          <w:rFonts w:ascii="Times New Roman" w:hAnsi="Times New Roman"/>
        </w:rPr>
        <w:t xml:space="preserve"> vydaným </w:t>
      </w:r>
      <w:r w:rsidRPr="008C6097" w:rsidR="00AB6A3C">
        <w:rPr>
          <w:rFonts w:ascii="Times New Roman" w:hAnsi="Times New Roman"/>
        </w:rPr>
        <w:t>M</w:t>
      </w:r>
      <w:r w:rsidRPr="008C6097" w:rsidR="00A8105C">
        <w:rPr>
          <w:rFonts w:ascii="Times New Roman" w:hAnsi="Times New Roman"/>
        </w:rPr>
        <w:t>inisterstvom</w:t>
      </w:r>
      <w:r w:rsidRPr="008C6097" w:rsidR="00AB6A3C">
        <w:rPr>
          <w:rFonts w:ascii="Times New Roman" w:hAnsi="Times New Roman"/>
        </w:rPr>
        <w:t xml:space="preserve"> dopravy, výstavby a regionálneho rozvoja Slovenskej republiky (ďalej len „ministerstvo“)</w:t>
      </w:r>
      <w:r w:rsidRPr="008C6097" w:rsidR="00A8105C">
        <w:rPr>
          <w:rFonts w:ascii="Times New Roman" w:hAnsi="Times New Roman"/>
        </w:rPr>
        <w:t xml:space="preserve">. </w:t>
      </w:r>
      <w:r w:rsidRPr="008C6097" w:rsidR="00964715">
        <w:rPr>
          <w:rFonts w:ascii="Times New Roman" w:hAnsi="Times New Roman"/>
        </w:rPr>
        <w:t xml:space="preserve"> </w:t>
      </w:r>
    </w:p>
    <w:p w:rsidR="004710DE" w:rsidRPr="008C6097" w:rsidP="004710DE">
      <w:pPr>
        <w:widowControl/>
        <w:bidi w:val="0"/>
        <w:spacing w:before="120"/>
        <w:jc w:val="both"/>
        <w:rPr>
          <w:rFonts w:ascii="Times New Roman" w:hAnsi="Times New Roman"/>
          <w:b/>
        </w:rPr>
      </w:pPr>
      <w:r w:rsidRPr="008C6097">
        <w:rPr>
          <w:rFonts w:ascii="Times New Roman" w:hAnsi="Times New Roman"/>
          <w:b/>
        </w:rPr>
        <w:t>K bodu 1</w:t>
      </w:r>
      <w:r w:rsidR="00D00120">
        <w:rPr>
          <w:rFonts w:ascii="Times New Roman" w:hAnsi="Times New Roman"/>
          <w:b/>
        </w:rPr>
        <w:t>5</w:t>
      </w:r>
      <w:r w:rsidRPr="008C6097">
        <w:rPr>
          <w:rFonts w:ascii="Times New Roman" w:hAnsi="Times New Roman"/>
          <w:b/>
        </w:rPr>
        <w:t xml:space="preserve">:  </w:t>
      </w:r>
    </w:p>
    <w:p w:rsidR="004710DE" w:rsidRPr="008C6097" w:rsidP="004710DE">
      <w:pPr>
        <w:widowControl/>
        <w:bidi w:val="0"/>
        <w:spacing w:before="120"/>
        <w:jc w:val="both"/>
        <w:rPr>
          <w:rFonts w:ascii="Times New Roman" w:hAnsi="Times New Roman"/>
        </w:rPr>
      </w:pPr>
      <w:r w:rsidRPr="008C6097">
        <w:rPr>
          <w:rFonts w:ascii="Times New Roman" w:hAnsi="Times New Roman"/>
          <w:b/>
        </w:rPr>
        <w:tab/>
      </w:r>
      <w:r w:rsidRPr="008C6097" w:rsidR="008831E2">
        <w:rPr>
          <w:rFonts w:ascii="Times New Roman" w:hAnsi="Times New Roman"/>
        </w:rPr>
        <w:t xml:space="preserve">Mestá a obce v súvislosti s poskytovaním nájomného bývania môžu požadovať od nájomníka finančnú zábezpeku, ktorá slúži na zabezpečenie platenia dohodnutého nájomného, úhrad spojených s užívaním nájomného bytu a úhrad za prípadne poškodenie užívaného nájomného bytu. Prax ukazuje, že je potrebné, aby sa v nájomnej </w:t>
      </w:r>
      <w:r w:rsidRPr="008C6097">
        <w:rPr>
          <w:rFonts w:ascii="Times New Roman" w:hAnsi="Times New Roman"/>
        </w:rPr>
        <w:t>zmluve upravi</w:t>
      </w:r>
      <w:r w:rsidRPr="008C6097" w:rsidR="0023076A">
        <w:rPr>
          <w:rFonts w:ascii="Times New Roman" w:hAnsi="Times New Roman"/>
        </w:rPr>
        <w:t>l</w:t>
      </w:r>
      <w:r w:rsidRPr="008C6097">
        <w:rPr>
          <w:rFonts w:ascii="Times New Roman" w:hAnsi="Times New Roman"/>
        </w:rPr>
        <w:t xml:space="preserve"> aj spôsob a</w:t>
      </w:r>
      <w:r w:rsidRPr="008C6097" w:rsidR="007E3705">
        <w:rPr>
          <w:rFonts w:ascii="Times New Roman" w:hAnsi="Times New Roman"/>
        </w:rPr>
        <w:t> </w:t>
      </w:r>
      <w:r w:rsidRPr="008C6097">
        <w:rPr>
          <w:rFonts w:ascii="Times New Roman" w:hAnsi="Times New Roman"/>
        </w:rPr>
        <w:t>lehot</w:t>
      </w:r>
      <w:r w:rsidRPr="008C6097" w:rsidR="007E3705">
        <w:rPr>
          <w:rFonts w:ascii="Times New Roman" w:hAnsi="Times New Roman"/>
        </w:rPr>
        <w:t xml:space="preserve">a </w:t>
      </w:r>
      <w:r w:rsidRPr="008C6097">
        <w:rPr>
          <w:rFonts w:ascii="Times New Roman" w:hAnsi="Times New Roman"/>
        </w:rPr>
        <w:t xml:space="preserve">vysporiadania finančnej zábezpeky, ak nájomná zmluva obsahuje </w:t>
      </w:r>
      <w:r w:rsidR="00D00120">
        <w:rPr>
          <w:rFonts w:ascii="Times New Roman" w:hAnsi="Times New Roman"/>
        </w:rPr>
        <w:t>dohodu o finančnej zábezpeke.</w:t>
      </w:r>
    </w:p>
    <w:p w:rsidR="004710DE" w:rsidRPr="008C6097" w:rsidP="004710DE">
      <w:pPr>
        <w:widowControl/>
        <w:bidi w:val="0"/>
        <w:spacing w:before="120"/>
        <w:jc w:val="both"/>
        <w:rPr>
          <w:rFonts w:ascii="Times New Roman" w:hAnsi="Times New Roman"/>
          <w:b/>
        </w:rPr>
      </w:pPr>
      <w:r w:rsidRPr="008C6097" w:rsidR="00447828">
        <w:rPr>
          <w:rFonts w:ascii="Times New Roman" w:hAnsi="Times New Roman"/>
          <w:b/>
        </w:rPr>
        <w:t xml:space="preserve">K bodu </w:t>
      </w:r>
      <w:r w:rsidRPr="008C6097" w:rsidR="00B07AC2">
        <w:rPr>
          <w:rFonts w:ascii="Times New Roman" w:hAnsi="Times New Roman"/>
          <w:b/>
        </w:rPr>
        <w:t>1</w:t>
      </w:r>
      <w:r w:rsidR="00D00120">
        <w:rPr>
          <w:rFonts w:ascii="Times New Roman" w:hAnsi="Times New Roman"/>
          <w:b/>
        </w:rPr>
        <w:t>6</w:t>
      </w:r>
      <w:r w:rsidRPr="008C6097">
        <w:rPr>
          <w:rFonts w:ascii="Times New Roman" w:hAnsi="Times New Roman"/>
          <w:b/>
        </w:rPr>
        <w:t xml:space="preserve">:  </w:t>
      </w:r>
    </w:p>
    <w:p w:rsidR="004710DE" w:rsidRPr="008C6097" w:rsidP="004710DE">
      <w:pPr>
        <w:widowControl/>
        <w:bidi w:val="0"/>
        <w:spacing w:before="120"/>
        <w:jc w:val="both"/>
        <w:rPr>
          <w:rFonts w:ascii="Times New Roman" w:hAnsi="Times New Roman"/>
        </w:rPr>
      </w:pPr>
      <w:r w:rsidRPr="008C6097">
        <w:rPr>
          <w:rFonts w:ascii="Times New Roman" w:hAnsi="Times New Roman"/>
        </w:rPr>
        <w:tab/>
      </w:r>
      <w:r w:rsidRPr="008C6097" w:rsidR="008831E2">
        <w:rPr>
          <w:rFonts w:ascii="Times New Roman" w:hAnsi="Times New Roman"/>
        </w:rPr>
        <w:t>Maximálna výška nájomného pri bytoch obstaraných z verejných prostriedkov je upravená vo vykonávacom predpise vydanom k zákonu č. 18/1996 Z</w:t>
      </w:r>
      <w:r w:rsidRPr="008C6097" w:rsidR="007E3705">
        <w:rPr>
          <w:rFonts w:ascii="Times New Roman" w:hAnsi="Times New Roman"/>
        </w:rPr>
        <w:t>. z</w:t>
      </w:r>
      <w:r w:rsidRPr="008C6097" w:rsidR="008831E2">
        <w:rPr>
          <w:rFonts w:ascii="Times New Roman" w:hAnsi="Times New Roman"/>
        </w:rPr>
        <w:t xml:space="preserve">. Navrhuje sa doplniť do zákona odkaz na tento predpis, z dôvodu jednoznačnosti pri určovaní </w:t>
      </w:r>
      <w:r w:rsidRPr="008C6097" w:rsidR="00727634">
        <w:rPr>
          <w:rFonts w:ascii="Times New Roman" w:hAnsi="Times New Roman"/>
        </w:rPr>
        <w:t>maximálnej výšky finančnej zábezpeky.</w:t>
      </w:r>
      <w:r w:rsidRPr="008C6097">
        <w:rPr>
          <w:rFonts w:ascii="Times New Roman" w:hAnsi="Times New Roman"/>
        </w:rPr>
        <w:tab/>
      </w:r>
    </w:p>
    <w:p w:rsidR="004710DE" w:rsidRPr="008C6097" w:rsidP="004710DE">
      <w:pPr>
        <w:widowControl/>
        <w:bidi w:val="0"/>
        <w:spacing w:before="120"/>
        <w:jc w:val="both"/>
        <w:rPr>
          <w:rFonts w:ascii="Times New Roman" w:hAnsi="Times New Roman"/>
          <w:b/>
        </w:rPr>
      </w:pPr>
      <w:r w:rsidRPr="008C6097">
        <w:rPr>
          <w:rFonts w:ascii="Times New Roman" w:hAnsi="Times New Roman"/>
          <w:b/>
        </w:rPr>
        <w:t xml:space="preserve">K bodu </w:t>
      </w:r>
      <w:r w:rsidRPr="008C6097" w:rsidR="00B07AC2">
        <w:rPr>
          <w:rFonts w:ascii="Times New Roman" w:hAnsi="Times New Roman"/>
          <w:b/>
        </w:rPr>
        <w:t>1</w:t>
      </w:r>
      <w:r w:rsidR="00D00120">
        <w:rPr>
          <w:rFonts w:ascii="Times New Roman" w:hAnsi="Times New Roman"/>
          <w:b/>
        </w:rPr>
        <w:t>7</w:t>
      </w:r>
      <w:r w:rsidRPr="008C6097" w:rsidR="005602EF">
        <w:rPr>
          <w:rFonts w:ascii="Times New Roman" w:hAnsi="Times New Roman"/>
          <w:b/>
        </w:rPr>
        <w:t xml:space="preserve"> a</w:t>
      </w:r>
      <w:r w:rsidRPr="008C6097" w:rsidR="008831E2">
        <w:rPr>
          <w:rFonts w:ascii="Times New Roman" w:hAnsi="Times New Roman"/>
          <w:b/>
        </w:rPr>
        <w:t>ž</w:t>
      </w:r>
      <w:r w:rsidR="00D00120">
        <w:rPr>
          <w:rFonts w:ascii="Times New Roman" w:hAnsi="Times New Roman"/>
          <w:b/>
        </w:rPr>
        <w:t xml:space="preserve"> 19</w:t>
      </w:r>
      <w:r w:rsidRPr="008C6097">
        <w:rPr>
          <w:rFonts w:ascii="Times New Roman" w:hAnsi="Times New Roman"/>
          <w:b/>
        </w:rPr>
        <w:t xml:space="preserve">:  </w:t>
      </w:r>
    </w:p>
    <w:p w:rsidR="00AE39BF" w:rsidRPr="00AE39BF" w:rsidP="004710DE">
      <w:pPr>
        <w:widowControl/>
        <w:bidi w:val="0"/>
        <w:spacing w:before="120"/>
        <w:jc w:val="both"/>
        <w:rPr>
          <w:rFonts w:ascii="Times New Roman" w:hAnsi="Times New Roman"/>
        </w:rPr>
      </w:pPr>
      <w:r w:rsidRPr="008C6097" w:rsidR="004710DE">
        <w:rPr>
          <w:rFonts w:ascii="Times New Roman" w:hAnsi="Times New Roman"/>
        </w:rPr>
        <w:tab/>
      </w:r>
      <w:r w:rsidRPr="008C6097" w:rsidR="005602EF">
        <w:rPr>
          <w:rFonts w:ascii="Times New Roman" w:hAnsi="Times New Roman"/>
        </w:rPr>
        <w:t xml:space="preserve">Ide o legislatívno-technickú úpravu. </w:t>
      </w:r>
    </w:p>
    <w:p w:rsidR="00F30B25" w:rsidRPr="008C6097" w:rsidP="004710DE">
      <w:pPr>
        <w:widowControl/>
        <w:bidi w:val="0"/>
        <w:spacing w:before="120"/>
        <w:jc w:val="both"/>
        <w:rPr>
          <w:rFonts w:ascii="Times New Roman" w:hAnsi="Times New Roman"/>
          <w:b/>
        </w:rPr>
      </w:pPr>
      <w:r w:rsidRPr="008C6097">
        <w:rPr>
          <w:rFonts w:ascii="Times New Roman" w:hAnsi="Times New Roman"/>
          <w:b/>
        </w:rPr>
        <w:t>K bodu 2</w:t>
      </w:r>
      <w:r w:rsidR="000068CA">
        <w:rPr>
          <w:rFonts w:ascii="Times New Roman" w:hAnsi="Times New Roman"/>
          <w:b/>
        </w:rPr>
        <w:t>0</w:t>
      </w:r>
      <w:r w:rsidRPr="008C6097">
        <w:rPr>
          <w:rFonts w:ascii="Times New Roman" w:hAnsi="Times New Roman"/>
          <w:b/>
        </w:rPr>
        <w:t>:</w:t>
      </w:r>
    </w:p>
    <w:p w:rsidR="00DC6E86" w:rsidRPr="008C6097" w:rsidP="00664BAE">
      <w:pPr>
        <w:widowControl/>
        <w:bidi w:val="0"/>
        <w:spacing w:before="120"/>
        <w:ind w:firstLine="720"/>
        <w:jc w:val="both"/>
        <w:rPr>
          <w:rFonts w:ascii="Times New Roman" w:hAnsi="Times New Roman"/>
        </w:rPr>
      </w:pPr>
      <w:r w:rsidRPr="008C6097" w:rsidR="006254DE">
        <w:rPr>
          <w:rFonts w:ascii="Times New Roman" w:hAnsi="Times New Roman"/>
        </w:rPr>
        <w:t>Ide o</w:t>
      </w:r>
      <w:r w:rsidRPr="008C6097" w:rsidR="008C6097">
        <w:rPr>
          <w:rFonts w:ascii="Times New Roman" w:hAnsi="Times New Roman"/>
        </w:rPr>
        <w:t> spresnenie procesných</w:t>
      </w:r>
      <w:r w:rsidRPr="008C6097" w:rsidR="006254DE">
        <w:rPr>
          <w:rFonts w:ascii="Times New Roman" w:hAnsi="Times New Roman"/>
        </w:rPr>
        <w:t xml:space="preserve"> </w:t>
      </w:r>
      <w:r w:rsidRPr="008C6097" w:rsidR="008C6097">
        <w:rPr>
          <w:rFonts w:ascii="Times New Roman" w:hAnsi="Times New Roman"/>
        </w:rPr>
        <w:t>postupov</w:t>
      </w:r>
      <w:r w:rsidRPr="008C6097" w:rsidR="00664BAE">
        <w:rPr>
          <w:rFonts w:ascii="Times New Roman" w:hAnsi="Times New Roman"/>
        </w:rPr>
        <w:t>, ak žiadateľ podá pod</w:t>
      </w:r>
      <w:r w:rsidRPr="008C6097" w:rsidR="00734D82">
        <w:rPr>
          <w:rFonts w:ascii="Times New Roman" w:hAnsi="Times New Roman"/>
        </w:rPr>
        <w:t>net na preskúmanie postupu okresného úradu v s</w:t>
      </w:r>
      <w:r w:rsidR="000068CA">
        <w:rPr>
          <w:rFonts w:ascii="Times New Roman" w:hAnsi="Times New Roman"/>
        </w:rPr>
        <w:t xml:space="preserve">ídle kraja (ďalej len „úrad“). </w:t>
      </w:r>
      <w:r w:rsidRPr="008C6097" w:rsidR="00734D82">
        <w:rPr>
          <w:rFonts w:ascii="Times New Roman" w:hAnsi="Times New Roman"/>
        </w:rPr>
        <w:t xml:space="preserve">Žiadosť, ktorá bola predložená na úrad a nesplnila podmienky pre poskytnutie dotácie, je úradom vrátená žiadateľovi. </w:t>
      </w:r>
      <w:r w:rsidRPr="008C6097" w:rsidR="00F3329B">
        <w:rPr>
          <w:rFonts w:ascii="Times New Roman" w:hAnsi="Times New Roman"/>
        </w:rPr>
        <w:t xml:space="preserve">V prípade podania </w:t>
      </w:r>
      <w:r w:rsidRPr="008C6097" w:rsidR="00734D82">
        <w:rPr>
          <w:rFonts w:ascii="Times New Roman" w:hAnsi="Times New Roman"/>
        </w:rPr>
        <w:t>podnet</w:t>
      </w:r>
      <w:r w:rsidRPr="008C6097" w:rsidR="00F3329B">
        <w:rPr>
          <w:rFonts w:ascii="Times New Roman" w:hAnsi="Times New Roman"/>
        </w:rPr>
        <w:t>u</w:t>
      </w:r>
      <w:r w:rsidRPr="008C6097" w:rsidR="00734D82">
        <w:rPr>
          <w:rFonts w:ascii="Times New Roman" w:hAnsi="Times New Roman"/>
        </w:rPr>
        <w:t xml:space="preserve"> na preskúmanie postupu úradu</w:t>
      </w:r>
      <w:r w:rsidRPr="008C6097" w:rsidR="00916D9F">
        <w:rPr>
          <w:rFonts w:ascii="Times New Roman" w:hAnsi="Times New Roman"/>
        </w:rPr>
        <w:t>,</w:t>
      </w:r>
      <w:r w:rsidRPr="008C6097" w:rsidR="00734D82">
        <w:rPr>
          <w:rFonts w:ascii="Times New Roman" w:hAnsi="Times New Roman"/>
        </w:rPr>
        <w:t xml:space="preserve"> je potrebné</w:t>
      </w:r>
      <w:r w:rsidRPr="008C6097" w:rsidR="001A1776">
        <w:rPr>
          <w:rFonts w:ascii="Times New Roman" w:hAnsi="Times New Roman"/>
        </w:rPr>
        <w:t xml:space="preserve"> v záujme objektívneho posúdenia podnetu, aby bola </w:t>
      </w:r>
      <w:r w:rsidRPr="008C6097" w:rsidR="00734D82">
        <w:rPr>
          <w:rFonts w:ascii="Times New Roman" w:hAnsi="Times New Roman"/>
        </w:rPr>
        <w:t>predložen</w:t>
      </w:r>
      <w:r w:rsidRPr="008C6097" w:rsidR="001A1776">
        <w:rPr>
          <w:rFonts w:ascii="Times New Roman" w:hAnsi="Times New Roman"/>
        </w:rPr>
        <w:t>á</w:t>
      </w:r>
      <w:r w:rsidRPr="008C6097" w:rsidR="00734D82">
        <w:rPr>
          <w:rFonts w:ascii="Times New Roman" w:hAnsi="Times New Roman"/>
        </w:rPr>
        <w:t xml:space="preserve"> žiados</w:t>
      </w:r>
      <w:r w:rsidRPr="008C6097" w:rsidR="001A1776">
        <w:rPr>
          <w:rFonts w:ascii="Times New Roman" w:hAnsi="Times New Roman"/>
        </w:rPr>
        <w:t>ť, ktorá bola predmetom posudzovania úradu</w:t>
      </w:r>
      <w:r w:rsidRPr="008C6097" w:rsidR="008C6097">
        <w:rPr>
          <w:rFonts w:ascii="Times New Roman" w:hAnsi="Times New Roman"/>
        </w:rPr>
        <w:t>, čo uvedie vo svojom stanovisku úrad.</w:t>
      </w:r>
      <w:r w:rsidRPr="008C6097" w:rsidR="00734D82">
        <w:rPr>
          <w:rFonts w:ascii="Times New Roman" w:hAnsi="Times New Roman"/>
        </w:rPr>
        <w:t xml:space="preserve"> </w:t>
      </w:r>
    </w:p>
    <w:p w:rsidR="00F30B25" w:rsidRPr="008C6097" w:rsidP="00F30B25">
      <w:pPr>
        <w:widowControl/>
        <w:bidi w:val="0"/>
        <w:spacing w:before="120"/>
        <w:jc w:val="both"/>
        <w:rPr>
          <w:rFonts w:ascii="Times New Roman" w:hAnsi="Times New Roman"/>
          <w:b/>
        </w:rPr>
      </w:pPr>
      <w:r w:rsidRPr="008C6097">
        <w:rPr>
          <w:rFonts w:ascii="Times New Roman" w:hAnsi="Times New Roman"/>
          <w:b/>
        </w:rPr>
        <w:t>K bodu 2</w:t>
      </w:r>
      <w:r w:rsidR="000068CA">
        <w:rPr>
          <w:rFonts w:ascii="Times New Roman" w:hAnsi="Times New Roman"/>
          <w:b/>
        </w:rPr>
        <w:t>1</w:t>
      </w:r>
      <w:r w:rsidRPr="008C6097">
        <w:rPr>
          <w:rFonts w:ascii="Times New Roman" w:hAnsi="Times New Roman"/>
          <w:b/>
        </w:rPr>
        <w:t>:</w:t>
      </w:r>
    </w:p>
    <w:p w:rsidR="00F30B25" w:rsidRPr="008C6097" w:rsidP="003040E6">
      <w:pPr>
        <w:widowControl/>
        <w:bidi w:val="0"/>
        <w:spacing w:before="120"/>
        <w:ind w:firstLine="720"/>
        <w:jc w:val="both"/>
        <w:rPr>
          <w:rFonts w:ascii="Times New Roman" w:hAnsi="Times New Roman"/>
        </w:rPr>
      </w:pPr>
      <w:r w:rsidRPr="008C6097">
        <w:rPr>
          <w:rFonts w:ascii="Times New Roman" w:hAnsi="Times New Roman"/>
        </w:rPr>
        <w:t xml:space="preserve">Ide o legislatívno-technickú úpravu. </w:t>
      </w:r>
    </w:p>
    <w:p w:rsidR="00340815" w:rsidP="00F30B25">
      <w:pPr>
        <w:widowControl/>
        <w:bidi w:val="0"/>
        <w:spacing w:before="120"/>
        <w:jc w:val="both"/>
        <w:rPr>
          <w:rFonts w:ascii="Times New Roman" w:hAnsi="Times New Roman"/>
          <w:b/>
        </w:rPr>
      </w:pPr>
    </w:p>
    <w:p w:rsidR="00F30B25" w:rsidRPr="008C6097" w:rsidP="00F30B25">
      <w:pPr>
        <w:widowControl/>
        <w:bidi w:val="0"/>
        <w:spacing w:before="120"/>
        <w:jc w:val="both"/>
        <w:rPr>
          <w:rFonts w:ascii="Times New Roman" w:hAnsi="Times New Roman"/>
          <w:b/>
        </w:rPr>
      </w:pPr>
      <w:r w:rsidRPr="008C6097">
        <w:rPr>
          <w:rFonts w:ascii="Times New Roman" w:hAnsi="Times New Roman"/>
          <w:b/>
        </w:rPr>
        <w:t>K bodu 2</w:t>
      </w:r>
      <w:r w:rsidR="000068CA">
        <w:rPr>
          <w:rFonts w:ascii="Times New Roman" w:hAnsi="Times New Roman"/>
          <w:b/>
        </w:rPr>
        <w:t>2</w:t>
      </w:r>
      <w:r w:rsidRPr="008C6097">
        <w:rPr>
          <w:rFonts w:ascii="Times New Roman" w:hAnsi="Times New Roman"/>
          <w:b/>
        </w:rPr>
        <w:t xml:space="preserve">:  </w:t>
      </w:r>
    </w:p>
    <w:p w:rsidR="00F30B25" w:rsidRPr="008C6097" w:rsidP="00F30B25">
      <w:pPr>
        <w:widowControl/>
        <w:bidi w:val="0"/>
        <w:spacing w:before="120"/>
        <w:ind w:firstLine="720"/>
        <w:jc w:val="both"/>
        <w:rPr>
          <w:rFonts w:ascii="Times New Roman" w:hAnsi="Times New Roman"/>
        </w:rPr>
      </w:pPr>
      <w:r w:rsidRPr="008C6097">
        <w:rPr>
          <w:rFonts w:ascii="Times New Roman" w:hAnsi="Times New Roman"/>
        </w:rPr>
        <w:t xml:space="preserve">Ide o legislatívno-technickú úpravu v nadväznosti na zrušenie zákona č. 607/2003 Z. z. o Štátnom fonde rozvoja bývania v znení neskorších predpisov zákonom č. 150//2013 o Štátnom fonde rozvoja bývania. </w:t>
      </w:r>
    </w:p>
    <w:p w:rsidR="00C070E2" w:rsidRPr="008C6097" w:rsidP="00C070E2">
      <w:pPr>
        <w:widowControl/>
        <w:bidi w:val="0"/>
        <w:spacing w:before="120"/>
        <w:jc w:val="both"/>
        <w:rPr>
          <w:rFonts w:ascii="Times New Roman" w:hAnsi="Times New Roman"/>
          <w:b/>
        </w:rPr>
      </w:pPr>
      <w:r w:rsidRPr="008C6097">
        <w:rPr>
          <w:rFonts w:ascii="Times New Roman" w:hAnsi="Times New Roman"/>
          <w:b/>
        </w:rPr>
        <w:t>K bodu 2</w:t>
      </w:r>
      <w:r w:rsidR="00777298">
        <w:rPr>
          <w:rFonts w:ascii="Times New Roman" w:hAnsi="Times New Roman"/>
          <w:b/>
        </w:rPr>
        <w:t>3</w:t>
      </w:r>
      <w:r w:rsidRPr="008C6097">
        <w:rPr>
          <w:rFonts w:ascii="Times New Roman" w:hAnsi="Times New Roman"/>
          <w:b/>
        </w:rPr>
        <w:t xml:space="preserve">:  </w:t>
      </w:r>
    </w:p>
    <w:p w:rsidR="00C974C3" w:rsidRPr="008C6097" w:rsidP="00665AEE">
      <w:pPr>
        <w:pStyle w:val="BodyText2"/>
        <w:bidi w:val="0"/>
        <w:spacing w:line="240" w:lineRule="auto"/>
        <w:ind w:firstLine="708"/>
        <w:rPr>
          <w:rFonts w:ascii="Times New Roman" w:hAnsi="Times New Roman"/>
          <w:bCs/>
          <w:iCs/>
        </w:rPr>
      </w:pPr>
      <w:r w:rsidRPr="008C6097" w:rsidR="00727634">
        <w:rPr>
          <w:rFonts w:ascii="Times New Roman" w:hAnsi="Times New Roman"/>
        </w:rPr>
        <w:t>N</w:t>
      </w:r>
      <w:r w:rsidRPr="008C6097" w:rsidR="00214325">
        <w:rPr>
          <w:rFonts w:ascii="Times New Roman" w:hAnsi="Times New Roman"/>
        </w:rPr>
        <w:t xml:space="preserve">avrhuje </w:t>
      </w:r>
      <w:r w:rsidRPr="008C6097" w:rsidR="00727634">
        <w:rPr>
          <w:rFonts w:ascii="Times New Roman" w:hAnsi="Times New Roman"/>
        </w:rPr>
        <w:t xml:space="preserve">sa </w:t>
      </w:r>
      <w:r w:rsidRPr="008C6097" w:rsidR="005731AD">
        <w:rPr>
          <w:rFonts w:ascii="Times New Roman" w:hAnsi="Times New Roman"/>
        </w:rPr>
        <w:t xml:space="preserve">možnosť </w:t>
      </w:r>
      <w:r w:rsidRPr="008C6097" w:rsidR="00214325">
        <w:rPr>
          <w:rFonts w:ascii="Times New Roman" w:hAnsi="Times New Roman"/>
        </w:rPr>
        <w:t xml:space="preserve">zvýšenie podlahovej plochy bytu  najviac </w:t>
      </w:r>
      <w:r w:rsidRPr="008C6097" w:rsidR="00882686">
        <w:rPr>
          <w:rFonts w:ascii="Times New Roman" w:hAnsi="Times New Roman"/>
        </w:rPr>
        <w:t xml:space="preserve">o </w:t>
      </w:r>
      <w:r w:rsidRPr="008C6097" w:rsidR="00214325">
        <w:rPr>
          <w:rFonts w:ascii="Times New Roman" w:hAnsi="Times New Roman"/>
        </w:rPr>
        <w:t>10 %, ak ide o</w:t>
      </w:r>
      <w:r w:rsidRPr="008C6097" w:rsidR="00B16A57">
        <w:rPr>
          <w:rFonts w:ascii="Times New Roman" w:hAnsi="Times New Roman"/>
        </w:rPr>
        <w:t xml:space="preserve"> stavebné úpravy existujúceho </w:t>
      </w:r>
      <w:r w:rsidRPr="008C6097" w:rsidR="00214325">
        <w:rPr>
          <w:rFonts w:ascii="Times New Roman" w:hAnsi="Times New Roman"/>
        </w:rPr>
        <w:t>byt</w:t>
      </w:r>
      <w:r w:rsidRPr="008C6097" w:rsidR="00B16A57">
        <w:rPr>
          <w:rFonts w:ascii="Times New Roman" w:hAnsi="Times New Roman"/>
        </w:rPr>
        <w:t>u</w:t>
      </w:r>
      <w:r w:rsidRPr="008C6097" w:rsidR="00214325">
        <w:rPr>
          <w:rFonts w:ascii="Times New Roman" w:hAnsi="Times New Roman"/>
        </w:rPr>
        <w:t xml:space="preserve">, ktorý je národnou kultúrnou pamiatkou a nachádza sa v lokalitách zapísaných v Zozname svetového dedičstva. </w:t>
      </w:r>
      <w:r w:rsidRPr="008C6097" w:rsidR="00727634">
        <w:rPr>
          <w:rFonts w:ascii="Times New Roman" w:hAnsi="Times New Roman"/>
        </w:rPr>
        <w:t>Niektoré technické riešenia neumožňujú, v prípade týchto chránených stavieb, dodržať maximálny limit podlahovej plochy bytu. N</w:t>
      </w:r>
      <w:r w:rsidRPr="008C6097" w:rsidR="00E01C87">
        <w:rPr>
          <w:rFonts w:ascii="Times New Roman" w:hAnsi="Times New Roman"/>
        </w:rPr>
        <w:t>avrhuje</w:t>
      </w:r>
      <w:r w:rsidRPr="008C6097" w:rsidR="00727634">
        <w:rPr>
          <w:rFonts w:ascii="Times New Roman" w:hAnsi="Times New Roman"/>
        </w:rPr>
        <w:t xml:space="preserve"> sa možnosť určitej tolerancie, ktorá však nesmie presiahnuť 10% z </w:t>
      </w:r>
      <w:r w:rsidRPr="008C6097" w:rsidR="00214325">
        <w:rPr>
          <w:rFonts w:ascii="Times New Roman" w:hAnsi="Times New Roman"/>
        </w:rPr>
        <w:t xml:space="preserve">maximálnej </w:t>
      </w:r>
      <w:r w:rsidRPr="008C6097" w:rsidR="00466ABD">
        <w:rPr>
          <w:rFonts w:ascii="Times New Roman" w:hAnsi="Times New Roman"/>
        </w:rPr>
        <w:t xml:space="preserve">podlahovej </w:t>
      </w:r>
      <w:r w:rsidRPr="008C6097" w:rsidR="00214325">
        <w:rPr>
          <w:rFonts w:ascii="Times New Roman" w:hAnsi="Times New Roman"/>
        </w:rPr>
        <w:t>plochy bytu</w:t>
      </w:r>
      <w:r w:rsidRPr="008C6097" w:rsidR="005731AD">
        <w:rPr>
          <w:rFonts w:ascii="Times New Roman" w:hAnsi="Times New Roman"/>
        </w:rPr>
        <w:t>.</w:t>
      </w:r>
      <w:r w:rsidRPr="008C6097" w:rsidR="00214325">
        <w:rPr>
          <w:rFonts w:ascii="Times New Roman" w:hAnsi="Times New Roman"/>
        </w:rPr>
        <w:t xml:space="preserve"> </w:t>
      </w:r>
    </w:p>
    <w:p w:rsidR="00C070E2" w:rsidRPr="008C6097" w:rsidP="00C070E2">
      <w:pPr>
        <w:widowControl/>
        <w:bidi w:val="0"/>
        <w:spacing w:before="120"/>
        <w:jc w:val="both"/>
        <w:rPr>
          <w:rFonts w:ascii="Times New Roman" w:hAnsi="Times New Roman"/>
          <w:b/>
        </w:rPr>
      </w:pPr>
      <w:r w:rsidRPr="008C6097">
        <w:rPr>
          <w:rFonts w:ascii="Times New Roman" w:hAnsi="Times New Roman"/>
          <w:b/>
        </w:rPr>
        <w:t xml:space="preserve">K bodu </w:t>
      </w:r>
      <w:r w:rsidRPr="008C6097" w:rsidR="00447828">
        <w:rPr>
          <w:rFonts w:ascii="Times New Roman" w:hAnsi="Times New Roman"/>
          <w:b/>
        </w:rPr>
        <w:t>2</w:t>
      </w:r>
      <w:r w:rsidR="00777298">
        <w:rPr>
          <w:rFonts w:ascii="Times New Roman" w:hAnsi="Times New Roman"/>
          <w:b/>
        </w:rPr>
        <w:t>4</w:t>
      </w:r>
      <w:r w:rsidRPr="008C6097">
        <w:rPr>
          <w:rFonts w:ascii="Times New Roman" w:hAnsi="Times New Roman"/>
          <w:b/>
        </w:rPr>
        <w:t xml:space="preserve">: </w:t>
      </w:r>
    </w:p>
    <w:p w:rsidR="00F30B25" w:rsidRPr="008C6097" w:rsidP="00F30B25">
      <w:pPr>
        <w:widowControl/>
        <w:bidi w:val="0"/>
        <w:spacing w:before="120"/>
        <w:ind w:firstLine="720"/>
        <w:jc w:val="both"/>
        <w:rPr>
          <w:rFonts w:ascii="Times New Roman" w:hAnsi="Times New Roman"/>
        </w:rPr>
      </w:pPr>
      <w:r w:rsidRPr="008C6097">
        <w:rPr>
          <w:rFonts w:ascii="Times New Roman" w:hAnsi="Times New Roman"/>
        </w:rPr>
        <w:t>Ide o legislatívno-technickú úpravu v nadväz</w:t>
      </w:r>
      <w:r w:rsidR="006E018F">
        <w:rPr>
          <w:rFonts w:ascii="Times New Roman" w:hAnsi="Times New Roman"/>
        </w:rPr>
        <w:t xml:space="preserve">nosti na zmenu </w:t>
      </w:r>
      <w:r w:rsidR="00777298">
        <w:rPr>
          <w:rFonts w:ascii="Times New Roman" w:hAnsi="Times New Roman"/>
        </w:rPr>
        <w:t>uvedenú v bode 14</w:t>
      </w:r>
      <w:r w:rsidRPr="008C6097">
        <w:rPr>
          <w:rFonts w:ascii="Times New Roman" w:hAnsi="Times New Roman"/>
        </w:rPr>
        <w:t xml:space="preserve">.  Navrhuje sa upraviť podrobnosti o výškach dotácií a limitoch oprávnených nákladov  všeobecne záväzným právnym predpisom (vyhláškou), ktorý vydá ministerstvo.  </w:t>
      </w:r>
    </w:p>
    <w:p w:rsidR="00CC719A" w:rsidRPr="008C6097" w:rsidP="00CC719A">
      <w:pPr>
        <w:widowControl/>
        <w:bidi w:val="0"/>
        <w:spacing w:before="120"/>
        <w:jc w:val="both"/>
        <w:rPr>
          <w:rFonts w:ascii="Times New Roman" w:hAnsi="Times New Roman"/>
          <w:b/>
        </w:rPr>
      </w:pPr>
      <w:r w:rsidRPr="008C6097" w:rsidR="00447828">
        <w:rPr>
          <w:rFonts w:ascii="Times New Roman" w:hAnsi="Times New Roman"/>
          <w:b/>
        </w:rPr>
        <w:t>K bodu 2</w:t>
      </w:r>
      <w:r w:rsidR="00777298">
        <w:rPr>
          <w:rFonts w:ascii="Times New Roman" w:hAnsi="Times New Roman"/>
          <w:b/>
        </w:rPr>
        <w:t>5</w:t>
      </w:r>
      <w:r w:rsidRPr="008C6097">
        <w:rPr>
          <w:rFonts w:ascii="Times New Roman" w:hAnsi="Times New Roman"/>
          <w:b/>
        </w:rPr>
        <w:t>:</w:t>
      </w:r>
    </w:p>
    <w:p w:rsidR="00777298" w:rsidP="00777298">
      <w:pPr>
        <w:widowControl/>
        <w:bidi w:val="0"/>
        <w:spacing w:before="120"/>
        <w:ind w:firstLine="720"/>
        <w:jc w:val="both"/>
        <w:rPr>
          <w:rStyle w:val="PlaceholderText"/>
          <w:color w:val="auto"/>
        </w:rPr>
      </w:pPr>
      <w:r w:rsidRPr="008C6097">
        <w:rPr>
          <w:rFonts w:ascii="Times New Roman" w:hAnsi="Times New Roman"/>
        </w:rPr>
        <w:t>Ide o legislatívno-technickú úpravu v nadväznosti na navrhované zmeny uvedené v bodoch 1</w:t>
      </w:r>
      <w:r>
        <w:rPr>
          <w:rFonts w:ascii="Times New Roman" w:hAnsi="Times New Roman"/>
        </w:rPr>
        <w:t>4</w:t>
      </w:r>
      <w:r w:rsidRPr="008C6097">
        <w:rPr>
          <w:rFonts w:ascii="Times New Roman" w:hAnsi="Times New Roman"/>
        </w:rPr>
        <w:t xml:space="preserve"> a 2</w:t>
      </w:r>
      <w:r>
        <w:rPr>
          <w:rFonts w:ascii="Times New Roman" w:hAnsi="Times New Roman"/>
        </w:rPr>
        <w:t>4</w:t>
      </w:r>
      <w:r w:rsidRPr="008C6097">
        <w:rPr>
          <w:rFonts w:ascii="Times New Roman" w:hAnsi="Times New Roman"/>
        </w:rPr>
        <w:t xml:space="preserve">.  </w:t>
      </w:r>
    </w:p>
    <w:p w:rsidR="00CC719A" w:rsidRPr="008C6097" w:rsidP="00CC719A">
      <w:pPr>
        <w:widowControl/>
        <w:bidi w:val="0"/>
        <w:spacing w:before="120"/>
        <w:jc w:val="both"/>
        <w:rPr>
          <w:rFonts w:ascii="Times New Roman" w:hAnsi="Times New Roman"/>
          <w:b/>
        </w:rPr>
      </w:pPr>
      <w:r w:rsidRPr="008C6097" w:rsidR="00447828">
        <w:rPr>
          <w:rFonts w:ascii="Times New Roman" w:hAnsi="Times New Roman"/>
          <w:b/>
        </w:rPr>
        <w:t xml:space="preserve">K bodu </w:t>
      </w:r>
      <w:r w:rsidRPr="008C6097" w:rsidR="00665AEE">
        <w:rPr>
          <w:rFonts w:ascii="Times New Roman" w:hAnsi="Times New Roman"/>
          <w:b/>
        </w:rPr>
        <w:t>2</w:t>
      </w:r>
      <w:r w:rsidR="00777298">
        <w:rPr>
          <w:rFonts w:ascii="Times New Roman" w:hAnsi="Times New Roman"/>
          <w:b/>
        </w:rPr>
        <w:t>6</w:t>
      </w:r>
      <w:r w:rsidRPr="008C6097">
        <w:rPr>
          <w:rFonts w:ascii="Times New Roman" w:hAnsi="Times New Roman"/>
          <w:b/>
        </w:rPr>
        <w:t>:</w:t>
      </w:r>
      <w:r w:rsidRPr="008C6097" w:rsidR="00C61D2B">
        <w:rPr>
          <w:rFonts w:ascii="Times New Roman" w:hAnsi="Times New Roman"/>
          <w:b/>
        </w:rPr>
        <w:t xml:space="preserve"> </w:t>
      </w:r>
    </w:p>
    <w:p w:rsidR="00777298" w:rsidRPr="008C6097" w:rsidP="00777298">
      <w:pPr>
        <w:widowControl/>
        <w:bidi w:val="0"/>
        <w:spacing w:before="120"/>
        <w:ind w:firstLine="720"/>
        <w:jc w:val="both"/>
        <w:rPr>
          <w:rFonts w:ascii="Times New Roman" w:hAnsi="Times New Roman"/>
        </w:rPr>
      </w:pPr>
      <w:r w:rsidRPr="008C6097">
        <w:rPr>
          <w:rFonts w:ascii="Times New Roman" w:hAnsi="Times New Roman"/>
        </w:rPr>
        <w:t xml:space="preserve">Ide o legislatívno-technickú úpravu. </w:t>
      </w:r>
    </w:p>
    <w:p w:rsidR="00AE39BF" w:rsidRPr="00AE39BF" w:rsidP="00AE39BF">
      <w:pPr>
        <w:widowControl/>
        <w:bidi w:val="0"/>
        <w:spacing w:before="120"/>
        <w:ind w:firstLine="720"/>
        <w:jc w:val="both"/>
        <w:rPr>
          <w:rStyle w:val="PlaceholderText"/>
          <w:color w:val="auto"/>
        </w:rPr>
      </w:pPr>
    </w:p>
    <w:p w:rsidR="00CD4B98" w:rsidRPr="008C6097" w:rsidP="006B06B7">
      <w:pPr>
        <w:widowControl/>
        <w:bidi w:val="0"/>
        <w:spacing w:before="120"/>
        <w:jc w:val="both"/>
        <w:rPr>
          <w:rStyle w:val="PlaceholderText"/>
          <w:color w:val="auto"/>
        </w:rPr>
      </w:pPr>
      <w:r w:rsidRPr="008C6097">
        <w:rPr>
          <w:rStyle w:val="PlaceholderText"/>
          <w:b/>
          <w:color w:val="auto"/>
        </w:rPr>
        <w:t>K</w:t>
      </w:r>
      <w:r w:rsidRPr="008C6097" w:rsidR="004C5954">
        <w:rPr>
          <w:rStyle w:val="PlaceholderText"/>
          <w:b/>
          <w:color w:val="auto"/>
        </w:rPr>
        <w:t> čl. II</w:t>
      </w:r>
      <w:r w:rsidRPr="008C6097">
        <w:rPr>
          <w:rStyle w:val="PlaceholderText"/>
          <w:b/>
          <w:color w:val="auto"/>
        </w:rPr>
        <w:t>:</w:t>
      </w:r>
    </w:p>
    <w:p w:rsidR="001D40B9" w:rsidP="00063F29">
      <w:pPr>
        <w:widowControl/>
        <w:bidi w:val="0"/>
        <w:spacing w:before="120"/>
        <w:ind w:firstLine="720"/>
        <w:jc w:val="both"/>
        <w:rPr>
          <w:rStyle w:val="PlaceholderText"/>
          <w:color w:val="auto"/>
        </w:rPr>
      </w:pPr>
      <w:r w:rsidRPr="00765CA8" w:rsidR="00CD4B98">
        <w:rPr>
          <w:rStyle w:val="PlaceholderText"/>
          <w:color w:val="auto"/>
        </w:rPr>
        <w:t xml:space="preserve">Ustanovuje účinnosť </w:t>
      </w:r>
      <w:r w:rsidRPr="00765CA8" w:rsidR="0062654F">
        <w:rPr>
          <w:rStyle w:val="PlaceholderText"/>
          <w:color w:val="auto"/>
        </w:rPr>
        <w:t>zákona</w:t>
      </w:r>
      <w:r w:rsidRPr="00765CA8" w:rsidR="003919F2">
        <w:rPr>
          <w:rStyle w:val="PlaceholderText"/>
          <w:color w:val="auto"/>
        </w:rPr>
        <w:t xml:space="preserve">, pričom delená účinnosť sa navrhuje z dôvodu, že aj pri obstarávaní nájomných bytov, ktoré predávajúci získal prestavbou sa vyžadujú </w:t>
      </w:r>
      <w:r w:rsidRPr="00765CA8" w:rsidR="003919F2">
        <w:rPr>
          <w:rFonts w:ascii="Times New Roman" w:hAnsi="Times New Roman"/>
          <w:bCs/>
        </w:rPr>
        <w:t>minimálne požiadavky na energetickú hospodárnosť budov ako pre novú budovu</w:t>
      </w:r>
      <w:r w:rsidRPr="00765CA8" w:rsidR="003919F2">
        <w:rPr>
          <w:rStyle w:val="PlaceholderText"/>
          <w:color w:val="auto"/>
        </w:rPr>
        <w:t xml:space="preserve">. Vzhľadom na už rozpracované projekty by v niektorých prípadoch nebolo možné dodržať túto podmienku. Preto sa </w:t>
      </w:r>
      <w:r w:rsidR="00FC5560">
        <w:rPr>
          <w:rStyle w:val="PlaceholderText"/>
          <w:color w:val="auto"/>
        </w:rPr>
        <w:t>navrhuje vytvoriť</w:t>
      </w:r>
      <w:r w:rsidRPr="00765CA8" w:rsidR="003919F2">
        <w:rPr>
          <w:rStyle w:val="PlaceholderText"/>
          <w:color w:val="auto"/>
        </w:rPr>
        <w:t xml:space="preserve"> priestor na prípravu a realizáciu </w:t>
      </w:r>
      <w:r w:rsidR="00FC5560">
        <w:rPr>
          <w:rStyle w:val="PlaceholderText"/>
          <w:color w:val="auto"/>
        </w:rPr>
        <w:t>stavieb s dodržaním navrhovaných podmienok</w:t>
      </w:r>
      <w:r w:rsidRPr="00765CA8" w:rsidR="003919F2">
        <w:rPr>
          <w:rStyle w:val="PlaceholderText"/>
          <w:color w:val="auto"/>
        </w:rPr>
        <w:t>.</w:t>
      </w:r>
    </w:p>
    <w:p w:rsidR="00262BC4" w:rsidP="005E5D3B">
      <w:pPr>
        <w:widowControl/>
        <w:bidi w:val="0"/>
        <w:spacing w:before="120"/>
        <w:jc w:val="both"/>
        <w:rPr>
          <w:rStyle w:val="PlaceholderText"/>
          <w:color w:val="auto"/>
        </w:rPr>
      </w:pPr>
    </w:p>
    <w:p w:rsidR="005E5D3B" w:rsidP="005E5D3B">
      <w:pPr>
        <w:bidi w:val="0"/>
        <w:rPr>
          <w:rFonts w:ascii="Times New Roman" w:hAnsi="Times New Roman"/>
        </w:rPr>
      </w:pPr>
      <w:r>
        <w:rPr>
          <w:rFonts w:ascii="Times New Roman" w:hAnsi="Times New Roman"/>
        </w:rPr>
        <w:t>Bratislava 27. máj</w:t>
      </w:r>
      <w:r w:rsidR="00262BC4">
        <w:rPr>
          <w:rFonts w:ascii="Times New Roman" w:hAnsi="Times New Roman"/>
        </w:rPr>
        <w:t>a</w:t>
      </w:r>
      <w:r>
        <w:rPr>
          <w:rFonts w:ascii="Times New Roman" w:hAnsi="Times New Roman"/>
        </w:rPr>
        <w:t xml:space="preserve"> 2015</w:t>
      </w:r>
    </w:p>
    <w:p w:rsidR="005E5D3B" w:rsidP="005E5D3B">
      <w:pPr>
        <w:bidi w:val="0"/>
        <w:jc w:val="center"/>
        <w:rPr>
          <w:rFonts w:ascii="Times New Roman" w:hAnsi="Times New Roman"/>
        </w:rPr>
      </w:pPr>
    </w:p>
    <w:p w:rsidR="0040540E" w:rsidP="005E5D3B">
      <w:pPr>
        <w:bidi w:val="0"/>
        <w:jc w:val="center"/>
        <w:rPr>
          <w:rFonts w:ascii="Times New Roman" w:hAnsi="Times New Roman"/>
        </w:rPr>
      </w:pPr>
    </w:p>
    <w:p w:rsidR="005E5D3B" w:rsidP="005E5D3B">
      <w:pPr>
        <w:bidi w:val="0"/>
        <w:jc w:val="center"/>
        <w:rPr>
          <w:rFonts w:ascii="Times New Roman" w:hAnsi="Times New Roman"/>
        </w:rPr>
      </w:pPr>
    </w:p>
    <w:p w:rsidR="005E5D3B" w:rsidP="005E5D3B">
      <w:pPr>
        <w:bidi w:val="0"/>
        <w:jc w:val="center"/>
        <w:rPr>
          <w:rFonts w:ascii="Times New Roman" w:hAnsi="Times New Roman"/>
        </w:rPr>
      </w:pPr>
    </w:p>
    <w:p w:rsidR="005E5D3B" w:rsidP="005E5D3B">
      <w:pPr>
        <w:pStyle w:val="ListParagraph"/>
        <w:bidi w:val="0"/>
        <w:ind w:left="0" w:right="-284"/>
        <w:rPr>
          <w:rFonts w:ascii="Times New Roman" w:hAnsi="Times New Roman"/>
        </w:rPr>
      </w:pPr>
    </w:p>
    <w:p w:rsidR="005E5D3B" w:rsidP="005E5D3B">
      <w:pPr>
        <w:pStyle w:val="ListParagraph"/>
        <w:bidi w:val="0"/>
        <w:ind w:left="0" w:right="-284"/>
        <w:jc w:val="center"/>
        <w:rPr>
          <w:rFonts w:ascii="Times New Roman" w:hAnsi="Times New Roman"/>
          <w:b/>
        </w:rPr>
      </w:pPr>
      <w:r>
        <w:rPr>
          <w:rFonts w:ascii="Times New Roman" w:hAnsi="Times New Roman"/>
          <w:b/>
        </w:rPr>
        <w:t>Robert Fico, v. r.</w:t>
      </w:r>
    </w:p>
    <w:p w:rsidR="005E5D3B" w:rsidP="005E5D3B">
      <w:pPr>
        <w:pStyle w:val="ListParagraph"/>
        <w:bidi w:val="0"/>
        <w:ind w:left="0" w:right="-284"/>
        <w:jc w:val="center"/>
        <w:rPr>
          <w:rFonts w:ascii="Times New Roman" w:hAnsi="Times New Roman"/>
        </w:rPr>
      </w:pPr>
      <w:r>
        <w:rPr>
          <w:rFonts w:ascii="Times New Roman" w:hAnsi="Times New Roman"/>
        </w:rPr>
        <w:t>predseda vlády Slovenskej republiky</w:t>
      </w:r>
    </w:p>
    <w:p w:rsidR="005E5D3B" w:rsidP="005E5D3B">
      <w:pPr>
        <w:pStyle w:val="ListParagraph"/>
        <w:bidi w:val="0"/>
        <w:ind w:left="0" w:right="-284"/>
        <w:jc w:val="center"/>
        <w:rPr>
          <w:rFonts w:ascii="Times New Roman" w:hAnsi="Times New Roman"/>
        </w:rPr>
      </w:pPr>
    </w:p>
    <w:p w:rsidR="005E5D3B" w:rsidP="005E5D3B">
      <w:pPr>
        <w:pStyle w:val="ListParagraph"/>
        <w:bidi w:val="0"/>
        <w:ind w:left="0" w:right="-284"/>
        <w:jc w:val="center"/>
        <w:rPr>
          <w:rFonts w:ascii="Times New Roman" w:hAnsi="Times New Roman"/>
        </w:rPr>
      </w:pPr>
    </w:p>
    <w:p w:rsidR="005E5D3B" w:rsidP="005E5D3B">
      <w:pPr>
        <w:pStyle w:val="ListParagraph"/>
        <w:bidi w:val="0"/>
        <w:ind w:left="0" w:right="-284"/>
        <w:jc w:val="center"/>
        <w:rPr>
          <w:rFonts w:ascii="Times New Roman" w:hAnsi="Times New Roman"/>
        </w:rPr>
      </w:pPr>
    </w:p>
    <w:p w:rsidR="005E5D3B" w:rsidP="005E5D3B">
      <w:pPr>
        <w:pStyle w:val="ListParagraph"/>
        <w:bidi w:val="0"/>
        <w:ind w:left="0" w:right="-284"/>
        <w:jc w:val="center"/>
        <w:rPr>
          <w:rFonts w:ascii="Times New Roman" w:hAnsi="Times New Roman"/>
        </w:rPr>
      </w:pPr>
    </w:p>
    <w:p w:rsidR="005E5D3B" w:rsidP="005E5D3B">
      <w:pPr>
        <w:pStyle w:val="ListParagraph"/>
        <w:bidi w:val="0"/>
        <w:ind w:left="0" w:right="-284"/>
        <w:jc w:val="center"/>
        <w:rPr>
          <w:rFonts w:ascii="Times New Roman" w:hAnsi="Times New Roman"/>
          <w:b/>
        </w:rPr>
      </w:pPr>
      <w:r>
        <w:rPr>
          <w:rFonts w:ascii="Times New Roman" w:hAnsi="Times New Roman"/>
          <w:b/>
        </w:rPr>
        <w:t>Ján Počiatek, v. r.</w:t>
      </w:r>
    </w:p>
    <w:p w:rsidR="005E5D3B" w:rsidP="005E5D3B">
      <w:pPr>
        <w:pStyle w:val="ListParagraph"/>
        <w:bidi w:val="0"/>
        <w:ind w:left="0" w:right="-284"/>
        <w:jc w:val="center"/>
        <w:rPr>
          <w:rFonts w:ascii="Times New Roman" w:hAnsi="Times New Roman"/>
        </w:rPr>
      </w:pPr>
      <w:r>
        <w:rPr>
          <w:rFonts w:ascii="Times New Roman" w:hAnsi="Times New Roman"/>
        </w:rPr>
        <w:t xml:space="preserve">minister dopravy, výstavby </w:t>
      </w:r>
    </w:p>
    <w:p w:rsidR="005E5D3B" w:rsidP="005E5D3B">
      <w:pPr>
        <w:pStyle w:val="ListParagraph"/>
        <w:bidi w:val="0"/>
        <w:ind w:left="0" w:right="-284"/>
        <w:jc w:val="center"/>
        <w:rPr>
          <w:rFonts w:ascii="Times New Roman" w:hAnsi="Times New Roman"/>
        </w:rPr>
      </w:pPr>
      <w:r>
        <w:rPr>
          <w:rFonts w:ascii="Times New Roman" w:hAnsi="Times New Roman"/>
        </w:rPr>
        <w:t>a regionálneho rozvoja Slovenskej republiky</w:t>
      </w:r>
    </w:p>
    <w:sectPr w:rsidSect="000068CA">
      <w:footerReference w:type="default" r:id="rId4"/>
      <w:pgSz w:w="12240" w:h="15840"/>
      <w:pgMar w:top="1276" w:right="1183" w:bottom="1134"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76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228A1">
      <w:rPr>
        <w:rFonts w:ascii="Times New Roman" w:hAnsi="Times New Roman"/>
        <w:noProof/>
      </w:rPr>
      <w:t>1</w:t>
    </w:r>
    <w:r>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358C"/>
    <w:multiLevelType w:val="hybridMultilevel"/>
    <w:tmpl w:val="5DDAF12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EFF3513"/>
    <w:multiLevelType w:val="hybridMultilevel"/>
    <w:tmpl w:val="59A0E88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rsids>
    <w:rsidRoot w:val="00044D59"/>
    <w:rsid w:val="00005A34"/>
    <w:rsid w:val="000068CA"/>
    <w:rsid w:val="00024745"/>
    <w:rsid w:val="00024F61"/>
    <w:rsid w:val="00031E1F"/>
    <w:rsid w:val="0003414F"/>
    <w:rsid w:val="00041D0B"/>
    <w:rsid w:val="00044D59"/>
    <w:rsid w:val="00045CB4"/>
    <w:rsid w:val="00062FFA"/>
    <w:rsid w:val="00063F29"/>
    <w:rsid w:val="00074033"/>
    <w:rsid w:val="00096216"/>
    <w:rsid w:val="000A5EC5"/>
    <w:rsid w:val="000C062E"/>
    <w:rsid w:val="000C542C"/>
    <w:rsid w:val="000E01F0"/>
    <w:rsid w:val="000E05B6"/>
    <w:rsid w:val="000E1E92"/>
    <w:rsid w:val="000E516E"/>
    <w:rsid w:val="000E5C40"/>
    <w:rsid w:val="000F3EBE"/>
    <w:rsid w:val="000F523D"/>
    <w:rsid w:val="00106984"/>
    <w:rsid w:val="00114A57"/>
    <w:rsid w:val="00115696"/>
    <w:rsid w:val="00125F01"/>
    <w:rsid w:val="00127F43"/>
    <w:rsid w:val="001316BD"/>
    <w:rsid w:val="00141B39"/>
    <w:rsid w:val="0015214C"/>
    <w:rsid w:val="00153BB6"/>
    <w:rsid w:val="00165270"/>
    <w:rsid w:val="00171D62"/>
    <w:rsid w:val="00191E9B"/>
    <w:rsid w:val="00192144"/>
    <w:rsid w:val="00194BC0"/>
    <w:rsid w:val="001A1776"/>
    <w:rsid w:val="001C79AB"/>
    <w:rsid w:val="001C7A32"/>
    <w:rsid w:val="001D40B9"/>
    <w:rsid w:val="001D67BD"/>
    <w:rsid w:val="001E4E17"/>
    <w:rsid w:val="001F1AEA"/>
    <w:rsid w:val="001F3074"/>
    <w:rsid w:val="001F55C4"/>
    <w:rsid w:val="002116BA"/>
    <w:rsid w:val="00214325"/>
    <w:rsid w:val="002202FB"/>
    <w:rsid w:val="0022088B"/>
    <w:rsid w:val="00227FED"/>
    <w:rsid w:val="0023076A"/>
    <w:rsid w:val="00243B74"/>
    <w:rsid w:val="00246088"/>
    <w:rsid w:val="0024667B"/>
    <w:rsid w:val="002513E0"/>
    <w:rsid w:val="002610AD"/>
    <w:rsid w:val="00262BC4"/>
    <w:rsid w:val="00263FA6"/>
    <w:rsid w:val="0027743E"/>
    <w:rsid w:val="002A1469"/>
    <w:rsid w:val="002A204F"/>
    <w:rsid w:val="002B5A1A"/>
    <w:rsid w:val="002D2521"/>
    <w:rsid w:val="002F4E6E"/>
    <w:rsid w:val="002F5C9D"/>
    <w:rsid w:val="002F6B90"/>
    <w:rsid w:val="003040E6"/>
    <w:rsid w:val="003044EE"/>
    <w:rsid w:val="0031394B"/>
    <w:rsid w:val="00327F10"/>
    <w:rsid w:val="003339E4"/>
    <w:rsid w:val="00334BBF"/>
    <w:rsid w:val="00340815"/>
    <w:rsid w:val="00343352"/>
    <w:rsid w:val="003460E4"/>
    <w:rsid w:val="00347769"/>
    <w:rsid w:val="003602D7"/>
    <w:rsid w:val="00367F7E"/>
    <w:rsid w:val="003770DB"/>
    <w:rsid w:val="00381CBB"/>
    <w:rsid w:val="00386465"/>
    <w:rsid w:val="00387B0E"/>
    <w:rsid w:val="003919F2"/>
    <w:rsid w:val="00397E6F"/>
    <w:rsid w:val="003A0C31"/>
    <w:rsid w:val="003A3E24"/>
    <w:rsid w:val="003A5B5D"/>
    <w:rsid w:val="003B3ED5"/>
    <w:rsid w:val="003D1EE1"/>
    <w:rsid w:val="003E2AF5"/>
    <w:rsid w:val="003E6765"/>
    <w:rsid w:val="003E6DBE"/>
    <w:rsid w:val="003F42B6"/>
    <w:rsid w:val="00401ED4"/>
    <w:rsid w:val="0040316C"/>
    <w:rsid w:val="0040540E"/>
    <w:rsid w:val="004072C5"/>
    <w:rsid w:val="004161A1"/>
    <w:rsid w:val="004169BA"/>
    <w:rsid w:val="00427E12"/>
    <w:rsid w:val="00436C47"/>
    <w:rsid w:val="00445701"/>
    <w:rsid w:val="00447828"/>
    <w:rsid w:val="00450722"/>
    <w:rsid w:val="0045072B"/>
    <w:rsid w:val="00457751"/>
    <w:rsid w:val="004600A7"/>
    <w:rsid w:val="004619EB"/>
    <w:rsid w:val="00466ABD"/>
    <w:rsid w:val="0046728A"/>
    <w:rsid w:val="004710DE"/>
    <w:rsid w:val="004745CE"/>
    <w:rsid w:val="00475B2C"/>
    <w:rsid w:val="00490F2F"/>
    <w:rsid w:val="004913C5"/>
    <w:rsid w:val="004A1DE0"/>
    <w:rsid w:val="004C5954"/>
    <w:rsid w:val="004D2570"/>
    <w:rsid w:val="004F1B4F"/>
    <w:rsid w:val="004F48BD"/>
    <w:rsid w:val="0050228D"/>
    <w:rsid w:val="00507CB8"/>
    <w:rsid w:val="00512F43"/>
    <w:rsid w:val="0051631B"/>
    <w:rsid w:val="005166D5"/>
    <w:rsid w:val="00516945"/>
    <w:rsid w:val="00530A83"/>
    <w:rsid w:val="00531BAA"/>
    <w:rsid w:val="00535E0A"/>
    <w:rsid w:val="00546464"/>
    <w:rsid w:val="005602EF"/>
    <w:rsid w:val="00561707"/>
    <w:rsid w:val="00570AAD"/>
    <w:rsid w:val="005731AD"/>
    <w:rsid w:val="005956F3"/>
    <w:rsid w:val="005A23E2"/>
    <w:rsid w:val="005B27BF"/>
    <w:rsid w:val="005C0D23"/>
    <w:rsid w:val="005C1B75"/>
    <w:rsid w:val="005C7823"/>
    <w:rsid w:val="005D1E13"/>
    <w:rsid w:val="005D7DD5"/>
    <w:rsid w:val="005E5D3B"/>
    <w:rsid w:val="005F0997"/>
    <w:rsid w:val="005F28CE"/>
    <w:rsid w:val="00603302"/>
    <w:rsid w:val="0061742D"/>
    <w:rsid w:val="006254DE"/>
    <w:rsid w:val="0062654F"/>
    <w:rsid w:val="006405F5"/>
    <w:rsid w:val="0064242C"/>
    <w:rsid w:val="00644C5C"/>
    <w:rsid w:val="00651522"/>
    <w:rsid w:val="00654068"/>
    <w:rsid w:val="00664BAE"/>
    <w:rsid w:val="00665AEE"/>
    <w:rsid w:val="006814A8"/>
    <w:rsid w:val="00682CA2"/>
    <w:rsid w:val="0068602F"/>
    <w:rsid w:val="00691DBA"/>
    <w:rsid w:val="00694492"/>
    <w:rsid w:val="006A11B5"/>
    <w:rsid w:val="006A306E"/>
    <w:rsid w:val="006A60BC"/>
    <w:rsid w:val="006A735F"/>
    <w:rsid w:val="006B06B7"/>
    <w:rsid w:val="006B72D8"/>
    <w:rsid w:val="006C121A"/>
    <w:rsid w:val="006C36C9"/>
    <w:rsid w:val="006C3929"/>
    <w:rsid w:val="006E018F"/>
    <w:rsid w:val="006E1038"/>
    <w:rsid w:val="006E1258"/>
    <w:rsid w:val="006E43DD"/>
    <w:rsid w:val="006E7308"/>
    <w:rsid w:val="006F3164"/>
    <w:rsid w:val="006F3FFC"/>
    <w:rsid w:val="006F6D4E"/>
    <w:rsid w:val="006F6E44"/>
    <w:rsid w:val="00705D4A"/>
    <w:rsid w:val="00714F5E"/>
    <w:rsid w:val="007228A1"/>
    <w:rsid w:val="00727634"/>
    <w:rsid w:val="00734D82"/>
    <w:rsid w:val="00742971"/>
    <w:rsid w:val="00743306"/>
    <w:rsid w:val="00751A1D"/>
    <w:rsid w:val="00751E25"/>
    <w:rsid w:val="00752D77"/>
    <w:rsid w:val="00754F09"/>
    <w:rsid w:val="0075522A"/>
    <w:rsid w:val="007616CC"/>
    <w:rsid w:val="00762DAC"/>
    <w:rsid w:val="00765CA8"/>
    <w:rsid w:val="00777298"/>
    <w:rsid w:val="00780246"/>
    <w:rsid w:val="0078537E"/>
    <w:rsid w:val="00793A95"/>
    <w:rsid w:val="007C0FBF"/>
    <w:rsid w:val="007D0BF7"/>
    <w:rsid w:val="007D3297"/>
    <w:rsid w:val="007D7556"/>
    <w:rsid w:val="007E0622"/>
    <w:rsid w:val="007E3705"/>
    <w:rsid w:val="007E5410"/>
    <w:rsid w:val="007F1E54"/>
    <w:rsid w:val="00802687"/>
    <w:rsid w:val="0080735E"/>
    <w:rsid w:val="0081004C"/>
    <w:rsid w:val="00814A5E"/>
    <w:rsid w:val="00821759"/>
    <w:rsid w:val="008306C7"/>
    <w:rsid w:val="008356A0"/>
    <w:rsid w:val="00854835"/>
    <w:rsid w:val="00854F3B"/>
    <w:rsid w:val="00862B8F"/>
    <w:rsid w:val="00863D8B"/>
    <w:rsid w:val="00864860"/>
    <w:rsid w:val="008824C6"/>
    <w:rsid w:val="00882686"/>
    <w:rsid w:val="008831E2"/>
    <w:rsid w:val="008860D5"/>
    <w:rsid w:val="008B25A6"/>
    <w:rsid w:val="008B69B3"/>
    <w:rsid w:val="008C5828"/>
    <w:rsid w:val="008C6097"/>
    <w:rsid w:val="008D062F"/>
    <w:rsid w:val="008D6A5F"/>
    <w:rsid w:val="008E6CA2"/>
    <w:rsid w:val="008F0BBD"/>
    <w:rsid w:val="008F442C"/>
    <w:rsid w:val="008F72E7"/>
    <w:rsid w:val="008F78FD"/>
    <w:rsid w:val="00900061"/>
    <w:rsid w:val="00916D9F"/>
    <w:rsid w:val="00923BB3"/>
    <w:rsid w:val="00926D45"/>
    <w:rsid w:val="00933266"/>
    <w:rsid w:val="00934313"/>
    <w:rsid w:val="009409BA"/>
    <w:rsid w:val="00947D09"/>
    <w:rsid w:val="00963395"/>
    <w:rsid w:val="00964715"/>
    <w:rsid w:val="00982366"/>
    <w:rsid w:val="00983079"/>
    <w:rsid w:val="009A14D8"/>
    <w:rsid w:val="009A5460"/>
    <w:rsid w:val="009B0590"/>
    <w:rsid w:val="009B39DA"/>
    <w:rsid w:val="009B6689"/>
    <w:rsid w:val="009B730B"/>
    <w:rsid w:val="009D41F5"/>
    <w:rsid w:val="009D611E"/>
    <w:rsid w:val="009E1803"/>
    <w:rsid w:val="009E2D02"/>
    <w:rsid w:val="009F11CB"/>
    <w:rsid w:val="00A16ECA"/>
    <w:rsid w:val="00A25363"/>
    <w:rsid w:val="00A27C61"/>
    <w:rsid w:val="00A42FE8"/>
    <w:rsid w:val="00A52332"/>
    <w:rsid w:val="00A60A8D"/>
    <w:rsid w:val="00A615E5"/>
    <w:rsid w:val="00A64D2D"/>
    <w:rsid w:val="00A66F48"/>
    <w:rsid w:val="00A74B4E"/>
    <w:rsid w:val="00A76573"/>
    <w:rsid w:val="00A77CC3"/>
    <w:rsid w:val="00A8105C"/>
    <w:rsid w:val="00A93DC0"/>
    <w:rsid w:val="00AB3F72"/>
    <w:rsid w:val="00AB6A3C"/>
    <w:rsid w:val="00AB6B99"/>
    <w:rsid w:val="00AC079A"/>
    <w:rsid w:val="00AC4261"/>
    <w:rsid w:val="00AC6433"/>
    <w:rsid w:val="00AD0825"/>
    <w:rsid w:val="00AD5573"/>
    <w:rsid w:val="00AD5CF8"/>
    <w:rsid w:val="00AE39BF"/>
    <w:rsid w:val="00AE44C2"/>
    <w:rsid w:val="00B07AC2"/>
    <w:rsid w:val="00B07DA5"/>
    <w:rsid w:val="00B101D4"/>
    <w:rsid w:val="00B16A57"/>
    <w:rsid w:val="00B236F9"/>
    <w:rsid w:val="00B2642B"/>
    <w:rsid w:val="00B33B07"/>
    <w:rsid w:val="00B340B7"/>
    <w:rsid w:val="00B3425D"/>
    <w:rsid w:val="00B54D1B"/>
    <w:rsid w:val="00B572FE"/>
    <w:rsid w:val="00B66D6D"/>
    <w:rsid w:val="00B746D3"/>
    <w:rsid w:val="00B819E3"/>
    <w:rsid w:val="00B93C85"/>
    <w:rsid w:val="00BB3106"/>
    <w:rsid w:val="00BC0004"/>
    <w:rsid w:val="00BC7275"/>
    <w:rsid w:val="00BC7294"/>
    <w:rsid w:val="00BC78B4"/>
    <w:rsid w:val="00BE4739"/>
    <w:rsid w:val="00BF7E34"/>
    <w:rsid w:val="00C070E2"/>
    <w:rsid w:val="00C13EFF"/>
    <w:rsid w:val="00C17EDD"/>
    <w:rsid w:val="00C211EC"/>
    <w:rsid w:val="00C222D2"/>
    <w:rsid w:val="00C36425"/>
    <w:rsid w:val="00C44DE0"/>
    <w:rsid w:val="00C46CB5"/>
    <w:rsid w:val="00C47CFF"/>
    <w:rsid w:val="00C532EB"/>
    <w:rsid w:val="00C61D2B"/>
    <w:rsid w:val="00C665F6"/>
    <w:rsid w:val="00C766F0"/>
    <w:rsid w:val="00C818EF"/>
    <w:rsid w:val="00C974C3"/>
    <w:rsid w:val="00C9764E"/>
    <w:rsid w:val="00CA04D2"/>
    <w:rsid w:val="00CA0B51"/>
    <w:rsid w:val="00CA289B"/>
    <w:rsid w:val="00CA5026"/>
    <w:rsid w:val="00CA6A07"/>
    <w:rsid w:val="00CC719A"/>
    <w:rsid w:val="00CD4B98"/>
    <w:rsid w:val="00CF09E5"/>
    <w:rsid w:val="00CF1422"/>
    <w:rsid w:val="00CF4FAE"/>
    <w:rsid w:val="00CF501F"/>
    <w:rsid w:val="00CF5038"/>
    <w:rsid w:val="00D00120"/>
    <w:rsid w:val="00D1524C"/>
    <w:rsid w:val="00D172F5"/>
    <w:rsid w:val="00D31CFD"/>
    <w:rsid w:val="00D374CC"/>
    <w:rsid w:val="00D64252"/>
    <w:rsid w:val="00D80F56"/>
    <w:rsid w:val="00D846BC"/>
    <w:rsid w:val="00D85BB9"/>
    <w:rsid w:val="00DA5B63"/>
    <w:rsid w:val="00DC6E86"/>
    <w:rsid w:val="00DD447F"/>
    <w:rsid w:val="00DD4BCF"/>
    <w:rsid w:val="00DE01D8"/>
    <w:rsid w:val="00DE154A"/>
    <w:rsid w:val="00DE7A8C"/>
    <w:rsid w:val="00DF3AF3"/>
    <w:rsid w:val="00E01C87"/>
    <w:rsid w:val="00E15D9B"/>
    <w:rsid w:val="00E1612B"/>
    <w:rsid w:val="00E21969"/>
    <w:rsid w:val="00E225E9"/>
    <w:rsid w:val="00E227AA"/>
    <w:rsid w:val="00E23B3D"/>
    <w:rsid w:val="00E2490B"/>
    <w:rsid w:val="00E42C4F"/>
    <w:rsid w:val="00E44E5B"/>
    <w:rsid w:val="00E5383F"/>
    <w:rsid w:val="00E53863"/>
    <w:rsid w:val="00E55923"/>
    <w:rsid w:val="00E71489"/>
    <w:rsid w:val="00E73F6C"/>
    <w:rsid w:val="00E75C3A"/>
    <w:rsid w:val="00E87942"/>
    <w:rsid w:val="00EB2574"/>
    <w:rsid w:val="00EC07D1"/>
    <w:rsid w:val="00ED3F6C"/>
    <w:rsid w:val="00EE6FC6"/>
    <w:rsid w:val="00EF2A12"/>
    <w:rsid w:val="00EF3FF6"/>
    <w:rsid w:val="00EF6DBD"/>
    <w:rsid w:val="00F04A9C"/>
    <w:rsid w:val="00F30B25"/>
    <w:rsid w:val="00F3329B"/>
    <w:rsid w:val="00F41381"/>
    <w:rsid w:val="00F43972"/>
    <w:rsid w:val="00F47879"/>
    <w:rsid w:val="00F67B13"/>
    <w:rsid w:val="00F72C2E"/>
    <w:rsid w:val="00F84536"/>
    <w:rsid w:val="00F84F2C"/>
    <w:rsid w:val="00F90B70"/>
    <w:rsid w:val="00F931F2"/>
    <w:rsid w:val="00FB584A"/>
    <w:rsid w:val="00FC1C9B"/>
    <w:rsid w:val="00FC1CB7"/>
    <w:rsid w:val="00FC4B95"/>
    <w:rsid w:val="00FC4E61"/>
    <w:rsid w:val="00FC5560"/>
    <w:rsid w:val="00FD0268"/>
    <w:rsid w:val="00FD1FB6"/>
    <w:rsid w:val="00FF741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uiPriority w:val="99"/>
    <w:semiHidden/>
    <w:rsid w:val="008B25A6"/>
    <w:rPr>
      <w:rFonts w:ascii="Times New Roman" w:hAnsi="Times New Roman" w:cs="Times New Roman"/>
      <w:color w:val="808080"/>
    </w:rPr>
  </w:style>
  <w:style w:type="paragraph" w:styleId="BalloonText">
    <w:name w:val="Balloon Text"/>
    <w:basedOn w:val="Normal"/>
    <w:link w:val="BalloonTextChar"/>
    <w:uiPriority w:val="99"/>
    <w:semiHidden/>
    <w:unhideWhenUsed/>
    <w:rsid w:val="008B25A6"/>
    <w:pPr>
      <w:jc w:val="left"/>
    </w:pPr>
    <w:rPr>
      <w:rFonts w:ascii="Tahoma" w:hAnsi="Tahoma"/>
      <w:sz w:val="16"/>
      <w:szCs w:val="16"/>
    </w:rPr>
  </w:style>
  <w:style w:type="character" w:customStyle="1" w:styleId="BalloonTextChar">
    <w:name w:val="Balloon Text Char"/>
    <w:link w:val="BalloonText"/>
    <w:uiPriority w:val="99"/>
    <w:semiHidden/>
    <w:locked/>
    <w:rsid w:val="008B25A6"/>
    <w:rPr>
      <w:rFonts w:ascii="Tahoma" w:hAnsi="Tahoma" w:cs="Tahoma"/>
      <w:sz w:val="16"/>
      <w:lang w:val="sk-SK" w:eastAsia="sk-SK"/>
    </w:rPr>
  </w:style>
  <w:style w:type="paragraph" w:styleId="BodyText">
    <w:name w:val="Body Text"/>
    <w:basedOn w:val="Normal"/>
    <w:link w:val="BodyTextChar"/>
    <w:uiPriority w:val="99"/>
    <w:unhideWhenUsed/>
    <w:rsid w:val="00CD4B98"/>
    <w:pPr>
      <w:widowControl/>
      <w:adjustRightInd/>
      <w:spacing w:after="120" w:line="276" w:lineRule="auto"/>
      <w:jc w:val="left"/>
    </w:pPr>
    <w:rPr>
      <w:rFonts w:ascii="Calibri" w:hAnsi="Calibri"/>
      <w:sz w:val="22"/>
      <w:szCs w:val="22"/>
      <w:lang w:eastAsia="en-US"/>
    </w:rPr>
  </w:style>
  <w:style w:type="character" w:customStyle="1" w:styleId="BodyTextChar">
    <w:name w:val="Body Text Char"/>
    <w:link w:val="BodyText"/>
    <w:uiPriority w:val="99"/>
    <w:locked/>
    <w:rsid w:val="00CD4B98"/>
    <w:rPr>
      <w:sz w:val="22"/>
      <w:lang w:val="x-none" w:eastAsia="en-US"/>
    </w:rPr>
  </w:style>
  <w:style w:type="paragraph" w:styleId="Header">
    <w:name w:val="header"/>
    <w:basedOn w:val="Normal"/>
    <w:link w:val="HeaderChar"/>
    <w:uiPriority w:val="99"/>
    <w:unhideWhenUsed/>
    <w:rsid w:val="00347769"/>
    <w:pPr>
      <w:tabs>
        <w:tab w:val="center" w:pos="4536"/>
        <w:tab w:val="right" w:pos="9072"/>
      </w:tabs>
      <w:jc w:val="left"/>
    </w:pPr>
  </w:style>
  <w:style w:type="character" w:customStyle="1" w:styleId="HeaderChar">
    <w:name w:val="Header Char"/>
    <w:link w:val="Header"/>
    <w:uiPriority w:val="99"/>
    <w:locked/>
    <w:rsid w:val="00347769"/>
    <w:rPr>
      <w:rFonts w:ascii="Times New Roman" w:hAnsi="Times New Roman" w:cs="Times New Roman"/>
      <w:sz w:val="24"/>
    </w:rPr>
  </w:style>
  <w:style w:type="paragraph" w:styleId="Footer">
    <w:name w:val="footer"/>
    <w:basedOn w:val="Normal"/>
    <w:link w:val="FooterChar"/>
    <w:uiPriority w:val="99"/>
    <w:unhideWhenUsed/>
    <w:rsid w:val="00347769"/>
    <w:pPr>
      <w:tabs>
        <w:tab w:val="center" w:pos="4536"/>
        <w:tab w:val="right" w:pos="9072"/>
      </w:tabs>
      <w:jc w:val="left"/>
    </w:pPr>
  </w:style>
  <w:style w:type="character" w:customStyle="1" w:styleId="FooterChar">
    <w:name w:val="Footer Char"/>
    <w:link w:val="Footer"/>
    <w:uiPriority w:val="99"/>
    <w:locked/>
    <w:rsid w:val="00347769"/>
    <w:rPr>
      <w:rFonts w:ascii="Times New Roman" w:hAnsi="Times New Roman" w:cs="Times New Roman"/>
      <w:sz w:val="24"/>
    </w:rPr>
  </w:style>
  <w:style w:type="paragraph" w:styleId="BodyText2">
    <w:name w:val="Body Text 2"/>
    <w:basedOn w:val="Normal"/>
    <w:link w:val="BodyText2Char"/>
    <w:uiPriority w:val="99"/>
    <w:rsid w:val="00F931F2"/>
    <w:pPr>
      <w:widowControl/>
      <w:adjustRightInd/>
      <w:spacing w:before="120" w:after="120" w:line="480" w:lineRule="auto"/>
      <w:jc w:val="both"/>
    </w:pPr>
    <w:rPr>
      <w:lang w:eastAsia="cs-CZ"/>
    </w:rPr>
  </w:style>
  <w:style w:type="character" w:customStyle="1" w:styleId="BodyText2Char">
    <w:name w:val="Body Text 2 Char"/>
    <w:basedOn w:val="DefaultParagraphFont"/>
    <w:link w:val="BodyText2"/>
    <w:uiPriority w:val="99"/>
    <w:locked/>
    <w:rsid w:val="00F931F2"/>
    <w:rPr>
      <w:rFonts w:ascii="Times New Roman" w:hAnsi="Times New Roman" w:cs="Times New Roman"/>
      <w:sz w:val="24"/>
      <w:szCs w:val="24"/>
      <w:rtl w:val="0"/>
      <w:cs w:val="0"/>
      <w:lang w:val="x-none" w:eastAsia="cs-CZ"/>
    </w:rPr>
  </w:style>
  <w:style w:type="paragraph" w:styleId="ListParagraph">
    <w:name w:val="List Paragraph"/>
    <w:basedOn w:val="Normal"/>
    <w:uiPriority w:val="34"/>
    <w:qFormat/>
    <w:locked/>
    <w:rsid w:val="000E01F0"/>
    <w:pPr>
      <w:ind w:left="720"/>
      <w:contextualSpacing/>
      <w:jc w:val="left"/>
    </w:pPr>
  </w:style>
  <w:style w:type="character" w:styleId="PageNumber">
    <w:name w:val="page number"/>
    <w:basedOn w:val="DefaultParagraphFont"/>
    <w:rsid w:val="00E5383F"/>
    <w:rPr>
      <w:rFonts w:cs="Times New Roman"/>
      <w:rtl w:val="0"/>
      <w:cs w:val="0"/>
    </w:rPr>
  </w:style>
  <w:style w:type="paragraph" w:styleId="BodyTextIndent">
    <w:name w:val="Body Text Indent"/>
    <w:basedOn w:val="Normal"/>
    <w:link w:val="BodyTextIndentChar"/>
    <w:uiPriority w:val="99"/>
    <w:semiHidden/>
    <w:unhideWhenUsed/>
    <w:rsid w:val="00427E12"/>
    <w:pPr>
      <w:spacing w:after="120"/>
      <w:ind w:left="283"/>
      <w:jc w:val="left"/>
    </w:pPr>
  </w:style>
  <w:style w:type="character" w:customStyle="1" w:styleId="BodyTextIndentChar">
    <w:name w:val="Body Text Indent Char"/>
    <w:basedOn w:val="DefaultParagraphFont"/>
    <w:link w:val="BodyTextIndent"/>
    <w:uiPriority w:val="99"/>
    <w:semiHidden/>
    <w:locked/>
    <w:rsid w:val="00427E12"/>
    <w:rPr>
      <w:rFonts w:ascii="Times New Roman" w:hAnsi="Times New Roman" w:cs="Times New Roman"/>
      <w:sz w:val="24"/>
      <w:szCs w:val="24"/>
      <w:rtl w:val="0"/>
      <w:cs w:val="0"/>
    </w:rPr>
  </w:style>
  <w:style w:type="paragraph" w:styleId="NormalWeb">
    <w:name w:val="Normal (Web)"/>
    <w:basedOn w:val="Normal"/>
    <w:uiPriority w:val="99"/>
    <w:rsid w:val="005166D5"/>
    <w:pPr>
      <w:widowControl/>
      <w:adjustRightInd/>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2575</Words>
  <Characters>14682</Characters>
  <Application>Microsoft Office Word</Application>
  <DocSecurity>0</DocSecurity>
  <Lines>0</Lines>
  <Paragraphs>0</Paragraphs>
  <ScaleCrop>false</ScaleCrop>
  <Company>Abyss</Company>
  <LinksUpToDate>false</LinksUpToDate>
  <CharactersWithSpaces>17223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Gašparíková, Jarmila</cp:lastModifiedBy>
  <cp:revision>2</cp:revision>
  <cp:lastPrinted>2015-05-20T16:50:00Z</cp:lastPrinted>
  <dcterms:created xsi:type="dcterms:W3CDTF">2015-05-28T15:22:00Z</dcterms:created>
  <dcterms:modified xsi:type="dcterms:W3CDTF">2015-05-28T15:22:00Z</dcterms:modified>
</cp:coreProperties>
</file>