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D0E" w:rsidRPr="000F32B4" w:rsidP="00E70D0E">
      <w:pPr>
        <w:pStyle w:val="Title"/>
        <w:bidi w:val="0"/>
        <w:spacing w:line="264" w:lineRule="auto"/>
        <w:rPr>
          <w:rFonts w:hint="default"/>
          <w:color w:val="000000"/>
        </w:rPr>
      </w:pPr>
      <w:r w:rsidRPr="000F32B4">
        <w:rPr>
          <w:rFonts w:hint="default"/>
          <w:color w:val="000000"/>
        </w:rPr>
        <w:t>NÁ</w:t>
      </w:r>
      <w:r w:rsidRPr="000F32B4">
        <w:rPr>
          <w:rFonts w:hint="default"/>
          <w:color w:val="000000"/>
        </w:rPr>
        <w:t>RODNÁ</w:t>
      </w:r>
      <w:r w:rsidRPr="000F32B4">
        <w:rPr>
          <w:rFonts w:hint="default"/>
          <w:color w:val="000000"/>
        </w:rPr>
        <w:t xml:space="preserve"> RADA SLOVENSKEJ REPUBLIKY</w:t>
      </w:r>
    </w:p>
    <w:p w:rsidR="00E70D0E" w:rsidRPr="000F32B4" w:rsidP="00E70D0E">
      <w:pPr>
        <w:pStyle w:val="Title"/>
        <w:bidi w:val="0"/>
        <w:spacing w:line="264" w:lineRule="auto"/>
        <w:rPr>
          <w:rFonts w:hint="default"/>
          <w:color w:val="000000"/>
        </w:rPr>
      </w:pPr>
      <w:r w:rsidRPr="000F32B4">
        <w:rPr>
          <w:rFonts w:hint="default"/>
          <w:color w:val="000000"/>
        </w:rPr>
        <w:t>VI</w:t>
      </w:r>
      <w:r w:rsidRPr="000F32B4">
        <w:t>.</w:t>
      </w:r>
      <w:r w:rsidRPr="000F32B4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0F32B4">
        <w:rPr>
          <w:rFonts w:hint="default"/>
          <w:color w:val="000000"/>
        </w:rPr>
        <w:t>volebné</w:t>
      </w:r>
      <w:r w:rsidRPr="000F32B4">
        <w:rPr>
          <w:rFonts w:hint="default"/>
          <w:color w:val="000000"/>
        </w:rPr>
        <w:t xml:space="preserve"> obdobie</w:t>
      </w:r>
    </w:p>
    <w:p w:rsidR="00E70D0E" w:rsidRPr="000F32B4" w:rsidP="00E70D0E">
      <w:pPr>
        <w:pStyle w:val="Title"/>
        <w:bidi w:val="0"/>
        <w:spacing w:line="264" w:lineRule="auto"/>
        <w:rPr>
          <w:rFonts w:hint="default"/>
          <w:color w:val="000000"/>
        </w:rPr>
      </w:pPr>
      <w:r w:rsidRPr="000F32B4">
        <w:rPr>
          <w:rFonts w:hint="default"/>
          <w:color w:val="000000"/>
        </w:rPr>
        <w:t>________________________________________________________________</w:t>
      </w:r>
    </w:p>
    <w:p w:rsidR="00E70D0E" w:rsidRPr="000F32B4" w:rsidP="00E70D0E">
      <w:pPr>
        <w:pStyle w:val="Title"/>
        <w:bidi w:val="0"/>
        <w:spacing w:line="264" w:lineRule="auto"/>
        <w:rPr>
          <w:b w:val="0"/>
          <w:bCs w:val="0"/>
          <w:color w:val="000000"/>
        </w:rPr>
      </w:pPr>
    </w:p>
    <w:p w:rsidR="00E70D0E" w:rsidP="00E70D0E">
      <w:pPr>
        <w:pStyle w:val="Title"/>
        <w:bidi w:val="0"/>
        <w:spacing w:line="264" w:lineRule="auto"/>
        <w:rPr>
          <w:bCs w:val="0"/>
        </w:rPr>
      </w:pPr>
    </w:p>
    <w:p w:rsidR="00E70D0E" w:rsidRPr="000F32B4" w:rsidP="00E70D0E">
      <w:pPr>
        <w:pStyle w:val="Title"/>
        <w:bidi w:val="0"/>
        <w:spacing w:line="264" w:lineRule="auto"/>
        <w:rPr>
          <w:bCs w:val="0"/>
        </w:rPr>
      </w:pPr>
      <w:r w:rsidR="00497748">
        <w:rPr>
          <w:bCs w:val="0"/>
        </w:rPr>
        <w:t>1567</w:t>
      </w:r>
    </w:p>
    <w:p w:rsidR="00E70D0E" w:rsidRPr="000F32B4" w:rsidP="00E70D0E">
      <w:pPr>
        <w:pStyle w:val="Title"/>
        <w:bidi w:val="0"/>
        <w:spacing w:line="264" w:lineRule="auto"/>
        <w:rPr>
          <w:b w:val="0"/>
          <w:bCs w:val="0"/>
          <w:color w:val="000000"/>
        </w:rPr>
      </w:pPr>
    </w:p>
    <w:p w:rsidR="00E70D0E" w:rsidRPr="000F32B4" w:rsidP="00E70D0E">
      <w:pPr>
        <w:pStyle w:val="Title"/>
        <w:bidi w:val="0"/>
        <w:spacing w:line="264" w:lineRule="auto"/>
        <w:rPr>
          <w:b w:val="0"/>
          <w:bCs w:val="0"/>
          <w:color w:val="000000"/>
        </w:rPr>
      </w:pPr>
    </w:p>
    <w:p w:rsidR="00E70D0E" w:rsidRPr="000F32B4" w:rsidP="00E70D0E">
      <w:pPr>
        <w:bidi w:val="0"/>
        <w:spacing w:line="264" w:lineRule="auto"/>
        <w:jc w:val="center"/>
        <w:rPr>
          <w:rFonts w:hint="default"/>
          <w:b/>
          <w:bCs/>
        </w:rPr>
      </w:pPr>
      <w:r w:rsidRPr="000F32B4">
        <w:rPr>
          <w:rFonts w:hint="default"/>
          <w:b/>
          <w:bCs/>
        </w:rPr>
        <w:t>VLÁ</w:t>
      </w:r>
      <w:r w:rsidRPr="000F32B4">
        <w:rPr>
          <w:rFonts w:hint="default"/>
          <w:b/>
          <w:bCs/>
        </w:rPr>
        <w:t>DNY NÁ</w:t>
      </w:r>
      <w:r w:rsidRPr="000F32B4">
        <w:rPr>
          <w:rFonts w:hint="default"/>
          <w:b/>
          <w:bCs/>
        </w:rPr>
        <w:t xml:space="preserve">VRH </w:t>
      </w:r>
    </w:p>
    <w:p w:rsidR="00E70D0E" w:rsidRPr="00182EF0" w:rsidP="00E70D0E">
      <w:pPr>
        <w:bidi w:val="0"/>
        <w:jc w:val="both"/>
        <w:rPr>
          <w:b/>
          <w:bCs/>
        </w:rPr>
      </w:pPr>
    </w:p>
    <w:p w:rsidR="00E70D0E" w:rsidRPr="00182EF0" w:rsidP="00E70D0E">
      <w:pPr>
        <w:bidi w:val="0"/>
        <w:jc w:val="center"/>
        <w:rPr>
          <w:b/>
          <w:bCs/>
        </w:rPr>
      </w:pPr>
      <w:r w:rsidRPr="00182EF0">
        <w:rPr>
          <w:b/>
          <w:bCs/>
        </w:rPr>
        <w:t>Z</w:t>
      </w:r>
      <w:r>
        <w:rPr>
          <w:rFonts w:hint="default"/>
          <w:b/>
          <w:bCs/>
        </w:rPr>
        <w:t>Á</w:t>
      </w:r>
      <w:r>
        <w:rPr>
          <w:rFonts w:hint="default"/>
          <w:b/>
          <w:bCs/>
        </w:rPr>
        <w:t>KON</w:t>
      </w:r>
    </w:p>
    <w:p w:rsidR="00E70D0E" w:rsidRPr="00182EF0" w:rsidP="00E70D0E">
      <w:pPr>
        <w:bidi w:val="0"/>
        <w:jc w:val="both"/>
        <w:rPr>
          <w:b/>
          <w:bCs/>
        </w:rPr>
      </w:pPr>
    </w:p>
    <w:p w:rsidR="00E70D0E" w:rsidRPr="001D7C88" w:rsidP="00E70D0E">
      <w:pPr>
        <w:bidi w:val="0"/>
        <w:jc w:val="center"/>
        <w:rPr>
          <w:b/>
          <w:bCs/>
        </w:rPr>
      </w:pPr>
      <w:r w:rsidRPr="001D7C88">
        <w:rPr>
          <w:b/>
          <w:bCs/>
        </w:rPr>
        <w:t>z ... 2015,</w:t>
      </w:r>
    </w:p>
    <w:p w:rsidR="00E70D0E" w:rsidRPr="001D7C88" w:rsidP="00E70D0E">
      <w:pPr>
        <w:bidi w:val="0"/>
        <w:jc w:val="center"/>
      </w:pPr>
    </w:p>
    <w:p w:rsidR="00E70D0E" w:rsidRPr="00182EF0" w:rsidP="00E70D0E">
      <w:pPr>
        <w:bidi w:val="0"/>
        <w:jc w:val="center"/>
        <w:rPr>
          <w:b/>
          <w:bCs/>
        </w:rPr>
      </w:pPr>
      <w:r w:rsidRPr="001D7C88">
        <w:rPr>
          <w:rFonts w:hint="default"/>
          <w:b/>
          <w:bCs/>
        </w:rPr>
        <w:t>ktorý</w:t>
      </w:r>
      <w:r w:rsidRPr="001D7C88">
        <w:rPr>
          <w:rFonts w:hint="default"/>
          <w:b/>
          <w:bCs/>
        </w:rPr>
        <w:t>m sa mení</w:t>
      </w:r>
      <w:r w:rsidRPr="001D7C88">
        <w:rPr>
          <w:rFonts w:hint="default"/>
          <w:b/>
          <w:bCs/>
        </w:rPr>
        <w:t xml:space="preserve"> a </w:t>
      </w:r>
      <w:r w:rsidRPr="001D7C88">
        <w:rPr>
          <w:rFonts w:hint="default"/>
          <w:b/>
          <w:bCs/>
        </w:rPr>
        <w:t>dopĺň</w:t>
      </w:r>
      <w:r w:rsidRPr="001D7C88">
        <w:rPr>
          <w:rFonts w:hint="default"/>
          <w:b/>
          <w:bCs/>
        </w:rPr>
        <w:t>a zá</w:t>
      </w:r>
      <w:r w:rsidRPr="001D7C88">
        <w:rPr>
          <w:rFonts w:hint="default"/>
          <w:b/>
          <w:bCs/>
        </w:rPr>
        <w:t>kon Ná</w:t>
      </w:r>
      <w:r w:rsidRPr="001D7C88">
        <w:rPr>
          <w:rFonts w:hint="default"/>
          <w:b/>
          <w:bCs/>
        </w:rPr>
        <w:t>rodnej rady Slovenskej republiky č</w:t>
      </w:r>
      <w:r w:rsidRPr="001D7C88">
        <w:rPr>
          <w:rFonts w:hint="default"/>
          <w:b/>
          <w:bCs/>
        </w:rPr>
        <w:t>. 118/1996 Z. z. o ochrane vkladov a o zmene a doplnení</w:t>
      </w:r>
      <w:r w:rsidRPr="001D7C88">
        <w:rPr>
          <w:rFonts w:hint="default"/>
          <w:b/>
          <w:bCs/>
        </w:rPr>
        <w:t xml:space="preserve"> niektorý</w:t>
      </w:r>
      <w:r w:rsidRPr="001D7C88">
        <w:rPr>
          <w:rFonts w:hint="default"/>
          <w:b/>
          <w:bCs/>
        </w:rPr>
        <w:t>ch zá</w:t>
      </w:r>
      <w:r w:rsidRPr="001D7C88">
        <w:rPr>
          <w:rFonts w:hint="default"/>
          <w:b/>
          <w:bCs/>
        </w:rPr>
        <w:t>konov v znení</w:t>
      </w:r>
      <w:r w:rsidRPr="001D7C88">
        <w:rPr>
          <w:rFonts w:hint="default"/>
          <w:b/>
          <w:bCs/>
        </w:rPr>
        <w:t xml:space="preserve"> neskorší</w:t>
      </w:r>
      <w:r w:rsidRPr="001D7C88">
        <w:rPr>
          <w:rFonts w:hint="default"/>
          <w:b/>
          <w:bCs/>
        </w:rPr>
        <w:t>ch predpisov a </w:t>
      </w:r>
      <w:r w:rsidRPr="001D7C88">
        <w:rPr>
          <w:rFonts w:hint="default"/>
          <w:b/>
          <w:bCs/>
        </w:rPr>
        <w:t>ktorý</w:t>
      </w:r>
      <w:r w:rsidRPr="001D7C88">
        <w:rPr>
          <w:rFonts w:hint="default"/>
          <w:b/>
          <w:bCs/>
        </w:rPr>
        <w:t>m sa menia a dopĺň</w:t>
      </w:r>
      <w:r w:rsidRPr="001D7C88">
        <w:rPr>
          <w:rFonts w:hint="default"/>
          <w:b/>
          <w:bCs/>
        </w:rPr>
        <w:t>ajú</w:t>
      </w:r>
      <w:r w:rsidRPr="001D7C88">
        <w:rPr>
          <w:rFonts w:hint="default"/>
          <w:b/>
          <w:bCs/>
        </w:rPr>
        <w:t xml:space="preserve"> niektoré</w:t>
      </w:r>
      <w:r w:rsidRPr="001D7C88">
        <w:rPr>
          <w:rFonts w:hint="default"/>
          <w:b/>
          <w:bCs/>
        </w:rPr>
        <w:t xml:space="preserve"> zá</w:t>
      </w:r>
      <w:r w:rsidRPr="001D7C88">
        <w:rPr>
          <w:rFonts w:hint="default"/>
          <w:b/>
          <w:bCs/>
        </w:rPr>
        <w:t>kony</w:t>
      </w:r>
    </w:p>
    <w:p w:rsidR="00E70D0E" w:rsidRPr="00182EF0" w:rsidP="00E70D0E">
      <w:pPr>
        <w:bidi w:val="0"/>
        <w:jc w:val="both"/>
      </w:pPr>
    </w:p>
    <w:p w:rsidR="00E70D0E" w:rsidRPr="00182EF0" w:rsidP="00E70D0E">
      <w:pPr>
        <w:pStyle w:val="NormalCentered"/>
        <w:bidi w:val="0"/>
        <w:spacing w:before="0" w:after="0"/>
        <w:ind w:firstLine="708"/>
        <w:jc w:val="both"/>
        <w:rPr>
          <w:b/>
          <w:bCs/>
          <w:lang w:eastAsia="en-US"/>
        </w:rPr>
      </w:pPr>
      <w:r w:rsidRPr="00182EF0">
        <w:rPr>
          <w:rFonts w:hint="default"/>
          <w:b/>
        </w:rPr>
        <w:t>Ná</w:t>
      </w:r>
      <w:r w:rsidRPr="00182EF0">
        <w:rPr>
          <w:rFonts w:hint="default"/>
          <w:b/>
        </w:rPr>
        <w:t>rodná</w:t>
      </w:r>
      <w:r w:rsidRPr="00182EF0">
        <w:rPr>
          <w:rFonts w:hint="default"/>
          <w:b/>
        </w:rPr>
        <w:t xml:space="preserve"> rada Slovenskej republiky sa uzniesla na tomto zá</w:t>
      </w:r>
      <w:r w:rsidRPr="00182EF0">
        <w:rPr>
          <w:rFonts w:hint="default"/>
          <w:b/>
        </w:rPr>
        <w:t>kone:</w:t>
      </w:r>
    </w:p>
    <w:p w:rsidR="00E70D0E" w:rsidRPr="00182EF0" w:rsidP="00E70D0E">
      <w:pPr>
        <w:bidi w:val="0"/>
        <w:jc w:val="both"/>
        <w:rPr>
          <w:b/>
        </w:rPr>
      </w:pPr>
    </w:p>
    <w:p w:rsidR="005A0FB7" w:rsidRPr="001D7C88">
      <w:pPr>
        <w:bidi w:val="0"/>
        <w:jc w:val="center"/>
        <w:rPr>
          <w:b/>
          <w:bCs/>
        </w:rPr>
      </w:pPr>
    </w:p>
    <w:p w:rsidR="005A0FB7" w:rsidRPr="001D7C88">
      <w:pPr>
        <w:bidi w:val="0"/>
        <w:jc w:val="center"/>
        <w:rPr>
          <w:rFonts w:hint="default"/>
          <w:b/>
          <w:bCs/>
        </w:rPr>
      </w:pPr>
      <w:r w:rsidRPr="001D7C88">
        <w:rPr>
          <w:rFonts w:hint="default"/>
          <w:b/>
          <w:bCs/>
        </w:rPr>
        <w:t>Č</w:t>
      </w:r>
      <w:r w:rsidRPr="001D7C88">
        <w:rPr>
          <w:rFonts w:hint="default"/>
          <w:b/>
          <w:bCs/>
        </w:rPr>
        <w:t>l. I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567"/>
        <w:jc w:val="both"/>
        <w:rPr>
          <w:rFonts w:hint="default"/>
        </w:rPr>
      </w:pPr>
      <w:r w:rsidRPr="001D7C88">
        <w:rPr>
          <w:rFonts w:hint="default"/>
        </w:rPr>
        <w:t>Zá</w:t>
      </w:r>
      <w:r w:rsidRPr="001D7C88">
        <w:rPr>
          <w:rFonts w:hint="default"/>
        </w:rPr>
        <w:t>kon Ná</w:t>
      </w:r>
      <w:r w:rsidRPr="001D7C88">
        <w:rPr>
          <w:rFonts w:hint="default"/>
        </w:rPr>
        <w:t>rodnej rady Slovenskej republiky č. </w:t>
      </w:r>
      <w:r w:rsidRPr="001D7C88">
        <w:rPr>
          <w:rFonts w:hint="default"/>
        </w:rPr>
        <w:t>118/1996 Z. z. o ochrane vkladov a o </w:t>
      </w:r>
      <w:r w:rsidRPr="001D7C88">
        <w:rPr>
          <w:rFonts w:hint="default"/>
        </w:rPr>
        <w:t>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 v znení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154/1999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397/2001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492/2001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340/2003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186/2004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554/2004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650/2004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747/2004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578/2005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209/2007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659/2007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421/2008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552/2008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276/2009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492/2009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</w:t>
      </w:r>
      <w:r w:rsidRPr="001D7C88">
        <w:rPr>
          <w:rFonts w:hint="default"/>
        </w:rPr>
        <w:t>n</w:t>
      </w:r>
      <w:r w:rsidRPr="001D7C88">
        <w:rPr>
          <w:rFonts w:hint="default"/>
        </w:rPr>
        <w:t>a č. </w:t>
      </w:r>
      <w:r w:rsidRPr="001D7C88">
        <w:rPr>
          <w:rFonts w:hint="default"/>
        </w:rPr>
        <w:t>70/2010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505/2010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233/2012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352/2013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213/2014 Z. </w:t>
      </w:r>
      <w:r w:rsidRPr="001D7C88">
        <w:rPr>
          <w:rFonts w:hint="default"/>
        </w:rPr>
        <w:t>z. a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371/2014 Z. </w:t>
      </w:r>
      <w:r w:rsidRPr="001D7C88">
        <w:rPr>
          <w:rFonts w:hint="default"/>
        </w:rPr>
        <w:t>z. sa mení</w:t>
      </w:r>
      <w:r w:rsidRPr="001D7C88">
        <w:rPr>
          <w:rFonts w:hint="default"/>
        </w:rPr>
        <w:t xml:space="preserve"> a </w:t>
      </w:r>
      <w:r w:rsidRPr="001D7C88">
        <w:rPr>
          <w:rFonts w:hint="default"/>
        </w:rPr>
        <w:t>dopĺň</w:t>
      </w:r>
      <w:r w:rsidRPr="001D7C88">
        <w:rPr>
          <w:rFonts w:hint="default"/>
        </w:rPr>
        <w:t>a takto:</w:t>
      </w:r>
    </w:p>
    <w:p w:rsidR="005A0FB7" w:rsidRPr="001D7C88">
      <w:pPr>
        <w:widowControl/>
        <w:overflowPunct/>
        <w:autoSpaceDE w:val="0"/>
        <w:autoSpaceDN w:val="0"/>
        <w:bidi w:val="0"/>
        <w:jc w:val="both"/>
        <w:rPr>
          <w:kern w:val="0"/>
        </w:rPr>
      </w:pP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567"/>
        <w:jc w:val="both"/>
        <w:rPr>
          <w:rFonts w:hint="default"/>
        </w:rPr>
      </w:pPr>
      <w:r w:rsidRPr="001D7C88">
        <w:rPr>
          <w:rFonts w:hint="default"/>
        </w:rPr>
        <w:t>1. V §</w:t>
      </w:r>
      <w:r w:rsidRPr="001D7C88">
        <w:rPr>
          <w:rFonts w:hint="default"/>
        </w:rPr>
        <w:t xml:space="preserve"> 1 sa za slovo „ú</w:t>
      </w:r>
      <w:r w:rsidRPr="001D7C88">
        <w:rPr>
          <w:rFonts w:hint="default"/>
        </w:rPr>
        <w:t>prava“</w:t>
      </w:r>
      <w:r w:rsidRPr="001D7C88">
        <w:rPr>
          <w:rFonts w:hint="default"/>
        </w:rPr>
        <w:t xml:space="preserve"> vkladajú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zá</w:t>
      </w:r>
      <w:r w:rsidRPr="001D7C88">
        <w:rPr>
          <w:rFonts w:hint="default"/>
        </w:rPr>
        <w:t>konné</w:t>
      </w:r>
      <w:r w:rsidRPr="001D7C88">
        <w:rPr>
          <w:rFonts w:hint="default"/>
        </w:rPr>
        <w:t>ho systé</w:t>
      </w:r>
      <w:r w:rsidRPr="001D7C88">
        <w:rPr>
          <w:rFonts w:hint="default"/>
        </w:rPr>
        <w:t>mu“</w:t>
      </w:r>
      <w:r w:rsidRPr="001D7C88">
        <w:rPr>
          <w:rFonts w:hint="default"/>
        </w:rPr>
        <w:t xml:space="preserve"> a </w:t>
      </w:r>
      <w:r w:rsidRPr="001D7C88">
        <w:rPr>
          <w:rFonts w:hint="default"/>
        </w:rPr>
        <w:t>za slovom „</w:t>
      </w:r>
      <w:r w:rsidRPr="001D7C88">
        <w:rPr>
          <w:rFonts w:hint="default"/>
        </w:rPr>
        <w:t>bá</w:t>
      </w:r>
      <w:r w:rsidRPr="001D7C88">
        <w:rPr>
          <w:rFonts w:hint="default"/>
        </w:rPr>
        <w:t>nk</w:t>
      </w:r>
      <w:r w:rsidRPr="001D7C88">
        <w:rPr>
          <w:vertAlign w:val="superscript"/>
        </w:rPr>
        <w:t>1</w:t>
      </w:r>
      <w:r w:rsidRPr="001D7C88">
        <w:rPr>
          <w:rFonts w:hint="default"/>
        </w:rPr>
        <w:t>)“</w:t>
      </w:r>
      <w:r w:rsidRPr="001D7C88">
        <w:rPr>
          <w:rFonts w:hint="default"/>
        </w:rPr>
        <w:t xml:space="preserve"> sa slovo „</w:t>
      </w:r>
      <w:r w:rsidRPr="001D7C88">
        <w:rPr>
          <w:rFonts w:hint="default"/>
        </w:rPr>
        <w:t>a“</w:t>
      </w:r>
      <w:r w:rsidRPr="001D7C88">
        <w:rPr>
          <w:rFonts w:hint="default"/>
        </w:rPr>
        <w:t xml:space="preserve"> nahrá</w:t>
      </w:r>
      <w:r w:rsidRPr="001D7C88">
        <w:rPr>
          <w:rFonts w:hint="default"/>
        </w:rPr>
        <w:t>dza slovom „</w:t>
      </w:r>
      <w:r w:rsidRPr="001D7C88">
        <w:rPr>
          <w:rFonts w:hint="default"/>
        </w:rPr>
        <w:t>vrá</w:t>
      </w:r>
      <w:r w:rsidRPr="001D7C88">
        <w:rPr>
          <w:rFonts w:hint="default"/>
        </w:rPr>
        <w:t>tane“.</w:t>
      </w:r>
    </w:p>
    <w:p w:rsidR="005A0FB7" w:rsidRPr="001D7C88">
      <w:pPr>
        <w:bidi w:val="0"/>
        <w:jc w:val="both"/>
      </w:pPr>
    </w:p>
    <w:p w:rsidR="005A0FB7" w:rsidRPr="001D7C88">
      <w:pPr>
        <w:bidi w:val="0"/>
        <w:ind w:firstLine="567"/>
        <w:jc w:val="both"/>
        <w:rPr>
          <w:rFonts w:hint="default"/>
        </w:rPr>
      </w:pPr>
      <w:r w:rsidRPr="001D7C88">
        <w:rPr>
          <w:rFonts w:hint="default"/>
        </w:rPr>
        <w:t>2. Doterajší</w:t>
      </w:r>
      <w:r w:rsidRPr="001D7C88">
        <w:rPr>
          <w:rFonts w:hint="default"/>
        </w:rPr>
        <w:t xml:space="preserve"> text §</w:t>
      </w:r>
      <w:r w:rsidRPr="001D7C88">
        <w:rPr>
          <w:rFonts w:hint="default"/>
        </w:rPr>
        <w:t xml:space="preserve"> 1 sa označ</w:t>
      </w:r>
      <w:r w:rsidRPr="001D7C88">
        <w:rPr>
          <w:rFonts w:hint="default"/>
        </w:rPr>
        <w:t>uje ako odsek 1 a dopĺň</w:t>
      </w:r>
      <w:r w:rsidRPr="001D7C88">
        <w:rPr>
          <w:rFonts w:hint="default"/>
        </w:rPr>
        <w:t>a sa odsekmi 2 a 3, ktoré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(2) Tento zá</w:t>
      </w:r>
      <w:r w:rsidRPr="001D7C88">
        <w:rPr>
          <w:rFonts w:hint="default"/>
        </w:rPr>
        <w:t>kon sa nevzť</w:t>
      </w:r>
      <w:r w:rsidRPr="001D7C88">
        <w:rPr>
          <w:rFonts w:hint="default"/>
        </w:rPr>
        <w:t>ahuje, ak odsek 3 neustanovuje inak, na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a) zmluvný</w:t>
      </w:r>
      <w:r w:rsidRPr="001D7C88">
        <w:rPr>
          <w:rFonts w:hint="default"/>
        </w:rPr>
        <w:t xml:space="preserve"> systé</w:t>
      </w:r>
      <w:r w:rsidRPr="001D7C88">
        <w:rPr>
          <w:rFonts w:hint="default"/>
        </w:rPr>
        <w:t>m,</w:t>
      </w:r>
      <w:r w:rsidRPr="001D7C88">
        <w:rPr>
          <w:vertAlign w:val="superscript"/>
        </w:rPr>
        <w:t>1aa</w:t>
      </w:r>
      <w:r w:rsidRPr="001D7C88">
        <w:rPr>
          <w:rFonts w:hint="default"/>
        </w:rPr>
        <w:t>) ktorý</w:t>
      </w:r>
      <w:r w:rsidRPr="001D7C88">
        <w:rPr>
          <w:rFonts w:hint="default"/>
        </w:rPr>
        <w:t xml:space="preserve"> nie je systé</w:t>
      </w:r>
      <w:r w:rsidRPr="001D7C88">
        <w:rPr>
          <w:rFonts w:hint="default"/>
        </w:rPr>
        <w:t>mom ochrany vklad</w:t>
      </w:r>
      <w:r w:rsidRPr="001D7C88">
        <w:rPr>
          <w:rFonts w:hint="default"/>
        </w:rPr>
        <w:t>ov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kona, vrá</w:t>
      </w:r>
      <w:r w:rsidRPr="001D7C88">
        <w:rPr>
          <w:rFonts w:hint="default"/>
        </w:rPr>
        <w:t>tane systé</w:t>
      </w:r>
      <w:r w:rsidRPr="001D7C88">
        <w:rPr>
          <w:rFonts w:hint="default"/>
        </w:rPr>
        <w:t>mu, ktorý</w:t>
      </w:r>
      <w:r w:rsidRPr="001D7C88">
        <w:rPr>
          <w:rFonts w:hint="default"/>
        </w:rPr>
        <w:t xml:space="preserve"> </w:t>
      </w:r>
      <w:r w:rsidR="003D57B3">
        <w:rPr>
          <w:rFonts w:hint="default"/>
        </w:rPr>
        <w:t>zabezpeč</w:t>
      </w:r>
      <w:r w:rsidR="003D57B3">
        <w:rPr>
          <w:rFonts w:hint="default"/>
        </w:rPr>
        <w:t>uje</w:t>
      </w:r>
      <w:r w:rsidRPr="001D7C88">
        <w:rPr>
          <w:rFonts w:hint="default"/>
        </w:rPr>
        <w:t xml:space="preserve"> dodatoč</w:t>
      </w:r>
      <w:r w:rsidRPr="001D7C88">
        <w:rPr>
          <w:rFonts w:hint="default"/>
        </w:rPr>
        <w:t>nú</w:t>
      </w:r>
      <w:r w:rsidRPr="001D7C88">
        <w:rPr>
          <w:rFonts w:hint="default"/>
        </w:rPr>
        <w:t xml:space="preserve"> ochranu vkladov nad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9 ods. 2,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b) sché</w:t>
      </w:r>
      <w:r w:rsidRPr="001D7C88">
        <w:rPr>
          <w:rFonts w:hint="default"/>
        </w:rPr>
        <w:t>mu inš</w:t>
      </w:r>
      <w:r w:rsidRPr="001D7C88">
        <w:rPr>
          <w:rFonts w:hint="default"/>
        </w:rPr>
        <w:t>titucioná</w:t>
      </w:r>
      <w:r w:rsidRPr="001D7C88">
        <w:rPr>
          <w:rFonts w:hint="default"/>
        </w:rPr>
        <w:t>lneho zabezpeč</w:t>
      </w:r>
      <w:r w:rsidRPr="001D7C88">
        <w:rPr>
          <w:rFonts w:hint="default"/>
        </w:rPr>
        <w:t>enia,</w:t>
      </w:r>
      <w:r w:rsidRPr="001D7C88">
        <w:rPr>
          <w:vertAlign w:val="superscript"/>
        </w:rPr>
        <w:t>1ab</w:t>
      </w:r>
      <w:r w:rsidRPr="001D7C88">
        <w:rPr>
          <w:rFonts w:hint="default"/>
        </w:rPr>
        <w:t>) ktorá</w:t>
      </w:r>
      <w:r w:rsidRPr="001D7C88">
        <w:rPr>
          <w:rFonts w:hint="default"/>
        </w:rPr>
        <w:t xml:space="preserve"> nie je systé</w:t>
      </w:r>
      <w:r w:rsidRPr="001D7C88">
        <w:rPr>
          <w:rFonts w:hint="default"/>
        </w:rPr>
        <w:t>mom ochrany vkladov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(3) Zmluvný</w:t>
      </w:r>
      <w:r w:rsidRPr="001D7C88">
        <w:rPr>
          <w:rFonts w:hint="default"/>
        </w:rPr>
        <w:t xml:space="preserve"> systé</w:t>
      </w:r>
      <w:r w:rsidRPr="001D7C88">
        <w:rPr>
          <w:rFonts w:hint="default"/>
        </w:rPr>
        <w:t>m a sché</w:t>
      </w:r>
      <w:r w:rsidRPr="001D7C88">
        <w:rPr>
          <w:rFonts w:hint="default"/>
        </w:rPr>
        <w:t>ma inš</w:t>
      </w:r>
      <w:r w:rsidRPr="001D7C88">
        <w:rPr>
          <w:rFonts w:hint="default"/>
        </w:rPr>
        <w:t>tituci</w:t>
      </w:r>
      <w:r w:rsidRPr="001D7C88">
        <w:rPr>
          <w:rFonts w:hint="default"/>
        </w:rPr>
        <w:t>oná</w:t>
      </w:r>
      <w:r w:rsidRPr="001D7C88">
        <w:rPr>
          <w:rFonts w:hint="default"/>
        </w:rPr>
        <w:t>lneho zabezpeč</w:t>
      </w:r>
      <w:r w:rsidRPr="001D7C88">
        <w:rPr>
          <w:rFonts w:hint="default"/>
        </w:rPr>
        <w:t>enia podľ</w:t>
      </w:r>
      <w:r w:rsidRPr="001D7C88">
        <w:rPr>
          <w:rFonts w:hint="default"/>
        </w:rPr>
        <w:t>a odseku 2 sú</w:t>
      </w:r>
      <w:r w:rsidRPr="001D7C88">
        <w:rPr>
          <w:rFonts w:hint="default"/>
        </w:rPr>
        <w:t xml:space="preserve"> povinné</w:t>
      </w:r>
      <w:r w:rsidRPr="001D7C88">
        <w:rPr>
          <w:rFonts w:hint="default"/>
        </w:rPr>
        <w:t xml:space="preserve"> mať</w:t>
      </w:r>
      <w:r w:rsidRPr="001D7C88">
        <w:rPr>
          <w:rFonts w:hint="default"/>
        </w:rPr>
        <w:t xml:space="preserve"> k dispozí</w:t>
      </w:r>
      <w:r w:rsidRPr="001D7C88">
        <w:rPr>
          <w:rFonts w:hint="default"/>
        </w:rPr>
        <w:t>cii také</w:t>
      </w:r>
      <w:r w:rsidRPr="001D7C88">
        <w:rPr>
          <w:rFonts w:hint="default"/>
        </w:rPr>
        <w:t xml:space="preserve"> finanč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prostriedky alebo mechanizmy financovania, aby sa zabezpeč</w:t>
      </w:r>
      <w:r w:rsidRPr="001D7C88">
        <w:rPr>
          <w:rFonts w:hint="default"/>
        </w:rPr>
        <w:t>ilo plnenie ich povinností</w:t>
      </w:r>
      <w:r w:rsidRPr="001D7C88">
        <w:rPr>
          <w:rFonts w:hint="default"/>
        </w:rPr>
        <w:t>. Na zmluvný</w:t>
      </w:r>
      <w:r w:rsidRPr="001D7C88">
        <w:rPr>
          <w:rFonts w:hint="default"/>
        </w:rPr>
        <w:t xml:space="preserve"> systé</w:t>
      </w:r>
      <w:r w:rsidRPr="001D7C88">
        <w:rPr>
          <w:rFonts w:hint="default"/>
        </w:rPr>
        <w:t>m a </w:t>
      </w:r>
      <w:r w:rsidRPr="001D7C88">
        <w:rPr>
          <w:rFonts w:hint="default"/>
        </w:rPr>
        <w:t>sché</w:t>
      </w:r>
      <w:r w:rsidRPr="001D7C88">
        <w:rPr>
          <w:rFonts w:hint="default"/>
        </w:rPr>
        <w:t>mu inš</w:t>
      </w:r>
      <w:r w:rsidRPr="001D7C88">
        <w:rPr>
          <w:rFonts w:hint="default"/>
        </w:rPr>
        <w:t>titucioná</w:t>
      </w:r>
      <w:r w:rsidRPr="001D7C88">
        <w:rPr>
          <w:rFonts w:hint="default"/>
        </w:rPr>
        <w:t>lneho zabezpeč</w:t>
      </w:r>
      <w:r w:rsidRPr="001D7C88">
        <w:rPr>
          <w:rFonts w:hint="default"/>
        </w:rPr>
        <w:t>enia podľ</w:t>
      </w:r>
      <w:r w:rsidRPr="001D7C88">
        <w:rPr>
          <w:rFonts w:hint="default"/>
        </w:rPr>
        <w:t>a odseku 2 sa ustanovenia §</w:t>
      </w:r>
      <w:r w:rsidRPr="001D7C88">
        <w:rPr>
          <w:rFonts w:hint="default"/>
        </w:rPr>
        <w:t xml:space="preserve"> </w:t>
      </w:r>
      <w:r w:rsidRPr="001D7C88">
        <w:rPr>
          <w:rFonts w:hint="default"/>
        </w:rPr>
        <w:t>4</w:t>
      </w:r>
      <w:r w:rsidRPr="001D7C88">
        <w:rPr>
          <w:rFonts w:hint="default"/>
        </w:rPr>
        <w:t xml:space="preserve"> ods. 8 a §</w:t>
      </w:r>
      <w:r w:rsidRPr="001D7C88">
        <w:rPr>
          <w:rFonts w:hint="default"/>
        </w:rPr>
        <w:t xml:space="preserve"> 22d vzť</w:t>
      </w:r>
      <w:r w:rsidRPr="001D7C88">
        <w:rPr>
          <w:rFonts w:hint="default"/>
        </w:rPr>
        <w:t>ahujú</w:t>
      </w:r>
      <w:r w:rsidRPr="001D7C88">
        <w:rPr>
          <w:rFonts w:hint="default"/>
        </w:rPr>
        <w:t xml:space="preserve"> primerane.“</w:t>
      </w:r>
      <w:r w:rsidRPr="001D7C88">
        <w:rPr>
          <w:rFonts w:hint="default"/>
        </w:rPr>
        <w:t xml:space="preserve">.  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mky pod č</w:t>
      </w:r>
      <w:r w:rsidRPr="001D7C88">
        <w:rPr>
          <w:rFonts w:hint="default"/>
        </w:rPr>
        <w:t>iarou k odkazom 1aa a </w:t>
      </w:r>
      <w:r w:rsidRPr="001D7C88">
        <w:rPr>
          <w:rFonts w:hint="default"/>
        </w:rPr>
        <w:t>1ab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1aa</w:t>
      </w:r>
      <w:r w:rsidRPr="001D7C88">
        <w:rPr>
          <w:rFonts w:hint="default"/>
        </w:rPr>
        <w:t>) Naprí</w:t>
      </w:r>
      <w:r w:rsidRPr="001D7C88">
        <w:rPr>
          <w:rFonts w:hint="default"/>
        </w:rPr>
        <w:t>klad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8/2008 Z. z. o poisť</w:t>
      </w:r>
      <w:r w:rsidRPr="001D7C88">
        <w:rPr>
          <w:rFonts w:hint="default"/>
        </w:rPr>
        <w:t>ovní</w:t>
      </w:r>
      <w:r w:rsidRPr="001D7C88">
        <w:rPr>
          <w:rFonts w:hint="default"/>
        </w:rPr>
        <w:t>ctve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 v 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predpisov,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39/2015 Z. z. o poisť</w:t>
      </w:r>
      <w:r w:rsidRPr="001D7C88">
        <w:rPr>
          <w:rFonts w:hint="default"/>
        </w:rPr>
        <w:t>ovní</w:t>
      </w:r>
      <w:r w:rsidRPr="001D7C88">
        <w:rPr>
          <w:rFonts w:hint="default"/>
        </w:rPr>
        <w:t>ctve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1ab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l. 113 ods. 7 nariadenia Euró</w:t>
      </w:r>
      <w:r w:rsidRPr="001D7C88">
        <w:rPr>
          <w:rFonts w:hint="default"/>
        </w:rPr>
        <w:t>pskeho parlamentu a Rady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575/2013 z 26. jú</w:t>
      </w:r>
      <w:r w:rsidRPr="001D7C88">
        <w:rPr>
          <w:rFonts w:hint="default"/>
        </w:rPr>
        <w:t>na 2013 o prudenciá</w:t>
      </w:r>
      <w:r w:rsidRPr="001D7C88">
        <w:rPr>
          <w:rFonts w:hint="default"/>
        </w:rPr>
        <w:t>lnych pož</w:t>
      </w:r>
      <w:r w:rsidRPr="001D7C88">
        <w:rPr>
          <w:rFonts w:hint="default"/>
        </w:rPr>
        <w:t>iadavká</w:t>
      </w:r>
      <w:r w:rsidRPr="001D7C88">
        <w:rPr>
          <w:rFonts w:hint="default"/>
        </w:rPr>
        <w:t>ch na ú</w:t>
      </w:r>
      <w:r w:rsidRPr="001D7C88">
        <w:rPr>
          <w:rFonts w:hint="default"/>
        </w:rPr>
        <w:t>verové</w:t>
      </w:r>
      <w:r w:rsidRPr="001D7C88">
        <w:rPr>
          <w:rFonts w:hint="default"/>
        </w:rPr>
        <w:t xml:space="preserve"> inš</w:t>
      </w:r>
      <w:r w:rsidRPr="001D7C88">
        <w:rPr>
          <w:rFonts w:hint="default"/>
        </w:rPr>
        <w:t>titú</w:t>
      </w:r>
      <w:r w:rsidRPr="001D7C88">
        <w:rPr>
          <w:rFonts w:hint="default"/>
        </w:rPr>
        <w:t>cie a investič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spoloč</w:t>
      </w:r>
      <w:r w:rsidRPr="001D7C88">
        <w:rPr>
          <w:rFonts w:hint="default"/>
        </w:rPr>
        <w:t>nosti a o zmene nariadenia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648/2012 (Ú</w:t>
      </w:r>
      <w:r w:rsidRPr="001D7C88">
        <w:rPr>
          <w:rFonts w:hint="default"/>
        </w:rPr>
        <w:t>. v. EÚ</w:t>
      </w:r>
      <w:r w:rsidRPr="001D7C88">
        <w:rPr>
          <w:rFonts w:hint="default"/>
        </w:rPr>
        <w:t xml:space="preserve"> L 176, 27.6.2013) v platnom znení.“.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3. V §</w:t>
      </w:r>
      <w:r w:rsidRPr="001D7C88">
        <w:rPr>
          <w:rFonts w:hint="default"/>
        </w:rPr>
        <w:t xml:space="preserve"> 2 ods. 1 prvej vete sa za slovo „</w:t>
      </w:r>
      <w:r w:rsidRPr="001D7C88">
        <w:rPr>
          <w:rFonts w:hint="default"/>
        </w:rPr>
        <w:t>ktorý“</w:t>
      </w:r>
      <w:r w:rsidRPr="001D7C88">
        <w:rPr>
          <w:rFonts w:hint="default"/>
        </w:rPr>
        <w:t xml:space="preserve"> vkladajú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tvorí</w:t>
      </w:r>
      <w:r w:rsidRPr="001D7C88">
        <w:rPr>
          <w:rFonts w:hint="default"/>
        </w:rPr>
        <w:t xml:space="preserve"> inš</w:t>
      </w:r>
      <w:r w:rsidRPr="001D7C88">
        <w:rPr>
          <w:rFonts w:hint="default"/>
        </w:rPr>
        <w:t>titucioná</w:t>
      </w:r>
      <w:r w:rsidRPr="001D7C88">
        <w:rPr>
          <w:rFonts w:hint="default"/>
        </w:rPr>
        <w:t>lnu č</w:t>
      </w:r>
      <w:r w:rsidRPr="001D7C88">
        <w:rPr>
          <w:rFonts w:hint="default"/>
        </w:rPr>
        <w:t>asť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konné</w:t>
      </w:r>
      <w:r w:rsidRPr="001D7C88">
        <w:rPr>
          <w:rFonts w:hint="default"/>
        </w:rPr>
        <w:t>ho systé</w:t>
      </w:r>
      <w:r w:rsidRPr="001D7C88">
        <w:rPr>
          <w:rFonts w:hint="default"/>
        </w:rPr>
        <w:t>mu ochrany vkladov v Slovenskej republike (ď</w:t>
      </w:r>
      <w:r w:rsidRPr="001D7C88">
        <w:rPr>
          <w:rFonts w:hint="default"/>
        </w:rPr>
        <w:t>alej len „</w:t>
      </w:r>
      <w:r w:rsidRPr="001D7C88">
        <w:rPr>
          <w:rFonts w:hint="default"/>
        </w:rPr>
        <w:t>systé</w:t>
      </w:r>
      <w:r w:rsidRPr="001D7C88">
        <w:rPr>
          <w:rFonts w:hint="default"/>
        </w:rPr>
        <w:t>m ochrany vkladov“</w:t>
      </w:r>
      <w:r w:rsidRPr="001D7C88">
        <w:rPr>
          <w:rFonts w:hint="default"/>
        </w:rPr>
        <w:t>), prič</w:t>
      </w:r>
      <w:r w:rsidRPr="001D7C88">
        <w:rPr>
          <w:rFonts w:hint="default"/>
        </w:rPr>
        <w:t>om zabezpeč</w:t>
      </w:r>
      <w:r w:rsidRPr="001D7C88">
        <w:rPr>
          <w:rFonts w:hint="default"/>
        </w:rPr>
        <w:t>uje vykoná</w:t>
      </w:r>
      <w:r w:rsidRPr="001D7C88">
        <w:rPr>
          <w:rFonts w:hint="default"/>
        </w:rPr>
        <w:t>vanie č</w:t>
      </w:r>
      <w:r w:rsidRPr="001D7C88">
        <w:rPr>
          <w:rFonts w:hint="default"/>
        </w:rPr>
        <w:t>inností</w:t>
      </w:r>
      <w:r w:rsidRPr="001D7C88">
        <w:rPr>
          <w:rFonts w:hint="default"/>
        </w:rPr>
        <w:t>, prá</w:t>
      </w:r>
      <w:r w:rsidRPr="001D7C88">
        <w:rPr>
          <w:rFonts w:hint="default"/>
        </w:rPr>
        <w:t>v a povinnosti sú</w:t>
      </w:r>
      <w:r w:rsidRPr="001D7C88">
        <w:rPr>
          <w:rFonts w:hint="default"/>
        </w:rPr>
        <w:t>visiacich s tý</w:t>
      </w:r>
      <w:r w:rsidRPr="001D7C88">
        <w:rPr>
          <w:rFonts w:hint="default"/>
        </w:rPr>
        <w:t>mto systé</w:t>
      </w:r>
      <w:r w:rsidRPr="001D7C88">
        <w:rPr>
          <w:rFonts w:hint="default"/>
        </w:rPr>
        <w:t>mom ochrany vkladov; o tejto skutoč</w:t>
      </w:r>
      <w:r w:rsidRPr="001D7C88">
        <w:rPr>
          <w:rFonts w:hint="default"/>
        </w:rPr>
        <w:t>nosti Ná</w:t>
      </w:r>
      <w:r w:rsidRPr="001D7C88">
        <w:rPr>
          <w:rFonts w:hint="default"/>
        </w:rPr>
        <w:t>rodná</w:t>
      </w:r>
      <w:r w:rsidRPr="001D7C88">
        <w:rPr>
          <w:rFonts w:hint="default"/>
        </w:rPr>
        <w:t xml:space="preserve"> banka Slovenska bezodkladne informuje 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pre bankovní</w:t>
      </w:r>
      <w:r w:rsidRPr="001D7C88">
        <w:rPr>
          <w:rFonts w:hint="default"/>
        </w:rPr>
        <w:t>ctvo).</w:t>
      </w:r>
      <w:r w:rsidRPr="001D7C88">
        <w:rPr>
          <w:vertAlign w:val="superscript"/>
        </w:rPr>
        <w:t>1ac</w:t>
      </w:r>
      <w:r w:rsidRPr="001D7C88">
        <w:rPr>
          <w:rFonts w:hint="default"/>
        </w:rPr>
        <w:t>) Pritom fond“</w:t>
      </w:r>
      <w:r w:rsidRPr="001D7C88">
        <w:rPr>
          <w:rFonts w:hint="default"/>
        </w:rPr>
        <w:t xml:space="preserve"> a v poslednej vete sa za slovo „</w:t>
      </w:r>
      <w:r w:rsidR="00B419E6">
        <w:t>vyk</w:t>
      </w:r>
      <w:r w:rsidR="00B419E6">
        <w:rPr>
          <w:rFonts w:hint="default"/>
        </w:rPr>
        <w:t>oná</w:t>
      </w:r>
      <w:r w:rsidR="00B419E6">
        <w:rPr>
          <w:rFonts w:hint="default"/>
        </w:rPr>
        <w:t>va</w:t>
      </w:r>
      <w:r w:rsidRPr="001D7C88">
        <w:rPr>
          <w:rFonts w:hint="default"/>
        </w:rPr>
        <w:t>“</w:t>
      </w:r>
      <w:r w:rsidRPr="001D7C88">
        <w:rPr>
          <w:rFonts w:hint="default"/>
        </w:rPr>
        <w:t xml:space="preserve"> vkladá</w:t>
      </w:r>
      <w:r w:rsidRPr="001D7C88">
        <w:rPr>
          <w:rFonts w:hint="default"/>
        </w:rPr>
        <w:t xml:space="preserve"> slovo „</w:t>
      </w:r>
      <w:r w:rsidR="00B419E6">
        <w:t>aj</w:t>
      </w:r>
      <w:r w:rsidRPr="001D7C88">
        <w:rPr>
          <w:rFonts w:hint="default"/>
        </w:rPr>
        <w:t>“.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 odkazu 1ac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1ac</w:t>
      </w:r>
      <w:r w:rsidRPr="001D7C88">
        <w:rPr>
          <w:rFonts w:hint="default"/>
        </w:rPr>
        <w:t>) Nariadenie Euró</w:t>
      </w:r>
      <w:r w:rsidRPr="001D7C88">
        <w:rPr>
          <w:rFonts w:hint="default"/>
        </w:rPr>
        <w:t>pskeho parlamentu a Rady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1093/2010 z 24. novembra 2010, ktorý</w:t>
      </w:r>
      <w:r w:rsidRPr="001D7C88">
        <w:rPr>
          <w:rFonts w:hint="default"/>
        </w:rPr>
        <w:t>m sa zriaď</w:t>
      </w:r>
      <w:r w:rsidRPr="001D7C88">
        <w:rPr>
          <w:rFonts w:hint="default"/>
        </w:rPr>
        <w:t>uje 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pre bankovní</w:t>
      </w:r>
      <w:r w:rsidRPr="001D7C88">
        <w:rPr>
          <w:rFonts w:hint="default"/>
        </w:rPr>
        <w:t>ctvo) a ktorý</w:t>
      </w:r>
      <w:r w:rsidRPr="001D7C88">
        <w:rPr>
          <w:rFonts w:hint="default"/>
        </w:rPr>
        <w:t>m sa mení</w:t>
      </w:r>
      <w:r w:rsidRPr="001D7C88">
        <w:rPr>
          <w:rFonts w:hint="default"/>
        </w:rPr>
        <w:t xml:space="preserve"> a dopĺň</w:t>
      </w:r>
      <w:r w:rsidRPr="001D7C88">
        <w:rPr>
          <w:rFonts w:hint="default"/>
        </w:rPr>
        <w:t>a roz</w:t>
      </w:r>
      <w:r w:rsidRPr="001D7C88">
        <w:rPr>
          <w:rFonts w:hint="default"/>
        </w:rPr>
        <w:t>hodnutie č</w:t>
      </w:r>
      <w:r w:rsidRPr="001D7C88">
        <w:rPr>
          <w:rFonts w:hint="default"/>
        </w:rPr>
        <w:t>. 716/2009/ES a zruš</w:t>
      </w:r>
      <w:r w:rsidRPr="001D7C88">
        <w:rPr>
          <w:rFonts w:hint="default"/>
        </w:rPr>
        <w:t>uje rozhodnutie Komisie 2009/78/ES (Ú</w:t>
      </w:r>
      <w:r w:rsidRPr="001D7C88">
        <w:rPr>
          <w:rFonts w:hint="default"/>
        </w:rPr>
        <w:t>. v. EÚ</w:t>
      </w:r>
      <w:r w:rsidRPr="001D7C88">
        <w:rPr>
          <w:rFonts w:hint="default"/>
        </w:rPr>
        <w:t xml:space="preserve"> L 331, 15. 12. 2010) v </w:t>
      </w:r>
      <w:r w:rsidRPr="001D7C88">
        <w:rPr>
          <w:rFonts w:hint="default"/>
        </w:rPr>
        <w:t>platnom znení.“.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4. 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 odkazu 2a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2a</w:t>
      </w:r>
      <w:r w:rsidRPr="001D7C88">
        <w:rPr>
          <w:rFonts w:hint="default"/>
        </w:rPr>
        <w:t>) §</w:t>
      </w:r>
      <w:r w:rsidRPr="001D7C88">
        <w:rPr>
          <w:rFonts w:hint="default"/>
        </w:rPr>
        <w:t xml:space="preserve"> 5 pí</w:t>
      </w:r>
      <w:r w:rsidRPr="001D7C88">
        <w:rPr>
          <w:rFonts w:hint="default"/>
        </w:rPr>
        <w:t>sm. i)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483/2001 Z. z. v </w:t>
      </w:r>
      <w:r w:rsidRPr="001D7C88">
        <w:rPr>
          <w:rFonts w:hint="default"/>
        </w:rPr>
        <w:t>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5. V §</w:t>
      </w:r>
      <w:r w:rsidRPr="001D7C88">
        <w:rPr>
          <w:rFonts w:hint="default"/>
        </w:rPr>
        <w:t xml:space="preserve"> 3 odsek 3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(3) Chrá</w:t>
      </w:r>
      <w:r w:rsidRPr="001D7C88">
        <w:rPr>
          <w:rFonts w:hint="default"/>
        </w:rPr>
        <w:t>nený</w:t>
      </w:r>
      <w:r w:rsidRPr="001D7C88">
        <w:rPr>
          <w:rFonts w:hint="default"/>
        </w:rPr>
        <w:t>mi vkladmi sú</w:t>
      </w:r>
      <w:r w:rsidRPr="001D7C88">
        <w:rPr>
          <w:rFonts w:hint="default"/>
        </w:rPr>
        <w:t xml:space="preserve"> vklady </w:t>
      </w:r>
      <w:r w:rsidR="003D57B3">
        <w:rPr>
          <w:rFonts w:hint="default"/>
        </w:rPr>
        <w:t>podľ</w:t>
      </w:r>
      <w:r w:rsidR="003D57B3">
        <w:rPr>
          <w:rFonts w:hint="default"/>
        </w:rPr>
        <w:t>a</w:t>
      </w:r>
      <w:r w:rsidRPr="001D7C88">
        <w:t xml:space="preserve"> odseko</w:t>
      </w:r>
      <w:r w:rsidR="003D57B3">
        <w:t>v</w:t>
      </w:r>
      <w:r w:rsidRPr="001D7C88">
        <w:t xml:space="preserve"> 1 a 2, okrem vkladov </w:t>
      </w:r>
      <w:r w:rsidR="003D57B3">
        <w:rPr>
          <w:rFonts w:hint="default"/>
        </w:rPr>
        <w:t>podľ</w:t>
      </w:r>
      <w:r w:rsidR="003D57B3">
        <w:rPr>
          <w:rFonts w:hint="default"/>
        </w:rPr>
        <w:t>a</w:t>
      </w:r>
      <w:r w:rsidRPr="001D7C88">
        <w:rPr>
          <w:rFonts w:hint="default"/>
        </w:rPr>
        <w:t xml:space="preserve"> odseku 4, a to v rozsahu a za podmienok ustanovený</w:t>
      </w:r>
      <w:r w:rsidRPr="001D7C88">
        <w:rPr>
          <w:rFonts w:hint="default"/>
        </w:rPr>
        <w:t>ch tý</w:t>
      </w:r>
      <w:r w:rsidRPr="001D7C88">
        <w:rPr>
          <w:rFonts w:hint="default"/>
        </w:rPr>
        <w:t>mto zá</w:t>
      </w:r>
      <w:r w:rsidRPr="001D7C88">
        <w:rPr>
          <w:rFonts w:hint="default"/>
        </w:rPr>
        <w:t>konom. Krytý</w:t>
      </w:r>
      <w:r w:rsidRPr="001D7C88">
        <w:rPr>
          <w:rFonts w:hint="default"/>
        </w:rPr>
        <w:t>mi vkladmi sú</w:t>
      </w:r>
      <w:r w:rsidRPr="001D7C88">
        <w:rPr>
          <w:rFonts w:hint="default"/>
        </w:rPr>
        <w:t xml:space="preserve">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vklady vo výš</w:t>
      </w:r>
      <w:r w:rsidRPr="001D7C88">
        <w:rPr>
          <w:rFonts w:hint="default"/>
        </w:rPr>
        <w:t>ke, ktorá</w:t>
      </w:r>
      <w:r w:rsidRPr="001D7C88">
        <w:rPr>
          <w:rFonts w:hint="default"/>
        </w:rPr>
        <w:t xml:space="preserve"> sa rovná</w:t>
      </w:r>
      <w:r w:rsidRPr="001D7C88">
        <w:rPr>
          <w:rFonts w:hint="default"/>
        </w:rPr>
        <w:t xml:space="preserve"> výš</w:t>
      </w:r>
      <w:r w:rsidRPr="001D7C88">
        <w:rPr>
          <w:rFonts w:hint="default"/>
        </w:rPr>
        <w:t>ke ná</w:t>
      </w:r>
      <w:r w:rsidRPr="001D7C88">
        <w:rPr>
          <w:rFonts w:hint="default"/>
        </w:rPr>
        <w:t>hrad vypočí</w:t>
      </w:r>
      <w:r w:rsidRPr="001D7C88">
        <w:rPr>
          <w:rFonts w:hint="default"/>
        </w:rPr>
        <w:t>taný</w:t>
      </w:r>
      <w:r w:rsidRPr="001D7C88">
        <w:rPr>
          <w:rFonts w:hint="default"/>
        </w:rPr>
        <w:t>ch a poskytovaný</w:t>
      </w:r>
      <w:r w:rsidRPr="001D7C88">
        <w:rPr>
          <w:rFonts w:hint="default"/>
        </w:rPr>
        <w:t>ch za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vklady</w:t>
      </w:r>
      <w:r w:rsidR="003D57B3">
        <w:t>, ak sa</w:t>
      </w:r>
      <w:r w:rsidRPr="001D7C88">
        <w:rPr>
          <w:rFonts w:hint="default"/>
        </w:rPr>
        <w:t xml:space="preserve"> stanú</w:t>
      </w:r>
      <w:r w:rsidRPr="001D7C88">
        <w:rPr>
          <w:rFonts w:hint="default"/>
        </w:rPr>
        <w:t xml:space="preserve"> nedostupný</w:t>
      </w:r>
      <w:r w:rsidRPr="001D7C88">
        <w:rPr>
          <w:rFonts w:hint="default"/>
        </w:rPr>
        <w:t>mi; krytý</w:t>
      </w:r>
      <w:r w:rsidRPr="001D7C88">
        <w:rPr>
          <w:rFonts w:hint="default"/>
        </w:rPr>
        <w:t>mi vkladmi sa rozumejú</w:t>
      </w:r>
      <w:r w:rsidRPr="001D7C88">
        <w:rPr>
          <w:rFonts w:hint="default"/>
        </w:rPr>
        <w:t xml:space="preserve"> aj vklady za podmienok ustanovený</w:t>
      </w:r>
      <w:r w:rsidRPr="001D7C88">
        <w:rPr>
          <w:rFonts w:hint="default"/>
        </w:rPr>
        <w:t>ch v §</w:t>
      </w:r>
      <w:r w:rsidRPr="001D7C88">
        <w:rPr>
          <w:rFonts w:hint="default"/>
        </w:rPr>
        <w:t xml:space="preserve"> 9 ods. 6.“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mky pod č</w:t>
      </w:r>
      <w:r w:rsidRPr="001D7C88">
        <w:rPr>
          <w:rFonts w:hint="default"/>
        </w:rPr>
        <w:t>iarou k </w:t>
      </w:r>
      <w:r w:rsidRPr="001D7C88">
        <w:rPr>
          <w:rFonts w:hint="default"/>
        </w:rPr>
        <w:t>odkazom 4 až</w:t>
      </w:r>
      <w:r w:rsidRPr="001D7C88">
        <w:rPr>
          <w:rFonts w:hint="default"/>
        </w:rPr>
        <w:t xml:space="preserve"> 5p sa vypúšť</w:t>
      </w:r>
      <w:r w:rsidRPr="001D7C88">
        <w:rPr>
          <w:rFonts w:hint="default"/>
        </w:rPr>
        <w:t>ajú.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6. V §</w:t>
      </w:r>
      <w:r w:rsidRPr="001D7C88">
        <w:rPr>
          <w:rFonts w:hint="default"/>
        </w:rPr>
        <w:t xml:space="preserve"> 3 ods. 4 pí</w:t>
      </w:r>
      <w:r w:rsidRPr="001D7C88">
        <w:rPr>
          <w:rFonts w:hint="default"/>
        </w:rPr>
        <w:t>smená</w:t>
      </w:r>
      <w:r w:rsidRPr="001D7C88">
        <w:rPr>
          <w:rFonts w:hint="default"/>
        </w:rPr>
        <w:t xml:space="preserve"> c) až</w:t>
      </w:r>
      <w:r w:rsidRPr="001D7C88">
        <w:rPr>
          <w:rFonts w:hint="default"/>
        </w:rPr>
        <w:t xml:space="preserve"> </w:t>
      </w:r>
      <w:r w:rsidR="001E77F7">
        <w:t>g</w:t>
      </w:r>
      <w:r w:rsidRPr="001D7C88">
        <w:rPr>
          <w:rFonts w:hint="default"/>
        </w:rPr>
        <w:t>)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„</w:t>
      </w:r>
      <w:r w:rsidRPr="001D7C88">
        <w:rPr>
          <w:rFonts w:hint="default"/>
        </w:rPr>
        <w:t>c) vklad, ktorý</w:t>
      </w:r>
      <w:r w:rsidRPr="001D7C88">
        <w:rPr>
          <w:rFonts w:hint="default"/>
        </w:rPr>
        <w:t xml:space="preserve"> má</w:t>
      </w:r>
      <w:r w:rsidRPr="001D7C88">
        <w:rPr>
          <w:rFonts w:hint="default"/>
        </w:rPr>
        <w:t xml:space="preserve"> formu finanč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ná</w:t>
      </w:r>
      <w:r w:rsidRPr="001D7C88">
        <w:rPr>
          <w:rFonts w:hint="default"/>
        </w:rPr>
        <w:t>stroja</w:t>
      </w:r>
      <w:r w:rsidR="003D57B3">
        <w:t>,</w:t>
      </w:r>
      <w:r w:rsidRPr="001D7C88">
        <w:rPr>
          <w:vertAlign w:val="superscript"/>
        </w:rPr>
        <w:t>7c</w:t>
      </w:r>
      <w:r w:rsidRPr="001D7C88">
        <w:t xml:space="preserve">) </w:t>
      </w:r>
      <w:r w:rsidR="003D57B3">
        <w:t>ak</w:t>
      </w:r>
      <w:r w:rsidRPr="001D7C88">
        <w:rPr>
          <w:rFonts w:hint="default"/>
        </w:rPr>
        <w:t xml:space="preserve"> §</w:t>
      </w:r>
      <w:r w:rsidRPr="001D7C88">
        <w:rPr>
          <w:rFonts w:hint="default"/>
        </w:rPr>
        <w:t xml:space="preserve"> 28bf ods. 2</w:t>
      </w:r>
      <w:r w:rsidR="003D57B3">
        <w:t xml:space="preserve"> neustanovuje inak</w:t>
      </w:r>
      <w:r w:rsidRPr="001D7C88">
        <w:t xml:space="preserve">,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d) vklad, ktoré</w:t>
      </w:r>
      <w:r w:rsidRPr="001D7C88">
        <w:rPr>
          <w:rFonts w:hint="default"/>
        </w:rPr>
        <w:t>ho istina nie je splatná</w:t>
      </w:r>
      <w:r w:rsidRPr="001D7C88">
        <w:rPr>
          <w:rFonts w:hint="default"/>
        </w:rPr>
        <w:t xml:space="preserve"> v nominá</w:t>
      </w:r>
      <w:r w:rsidRPr="001D7C88">
        <w:rPr>
          <w:rFonts w:hint="default"/>
        </w:rPr>
        <w:t xml:space="preserve">lnej hodnote,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e) vklad, ktoré</w:t>
      </w:r>
      <w:r w:rsidRPr="001D7C88">
        <w:rPr>
          <w:rFonts w:hint="default"/>
        </w:rPr>
        <w:t>ho istina je splatná</w:t>
      </w:r>
      <w:r w:rsidRPr="001D7C88">
        <w:rPr>
          <w:rFonts w:hint="default"/>
        </w:rPr>
        <w:t xml:space="preserve"> v nominá</w:t>
      </w:r>
      <w:r w:rsidRPr="001D7C88">
        <w:rPr>
          <w:rFonts w:hint="default"/>
        </w:rPr>
        <w:t>lnej hodnote len na zá</w:t>
      </w:r>
      <w:r w:rsidRPr="001D7C88">
        <w:rPr>
          <w:rFonts w:hint="default"/>
        </w:rPr>
        <w:t>klade osobitnej zá</w:t>
      </w:r>
      <w:r w:rsidRPr="001D7C88">
        <w:rPr>
          <w:rFonts w:hint="default"/>
        </w:rPr>
        <w:t>ruky alebo za predpokladu splnenia dohody bankou, poboč</w:t>
      </w:r>
      <w:r w:rsidRPr="001D7C88">
        <w:rPr>
          <w:rFonts w:hint="default"/>
        </w:rPr>
        <w:t>kou zahranič</w:t>
      </w:r>
      <w:r w:rsidRPr="001D7C88">
        <w:rPr>
          <w:rFonts w:hint="default"/>
        </w:rPr>
        <w:t>n</w:t>
      </w:r>
      <w:r w:rsidRPr="001D7C88">
        <w:rPr>
          <w:rFonts w:hint="default"/>
        </w:rPr>
        <w:t>ej banky alebo treť</w:t>
      </w:r>
      <w:r w:rsidRPr="001D7C88">
        <w:rPr>
          <w:rFonts w:hint="default"/>
        </w:rPr>
        <w:t>ou stranou,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f) vklad banky alebo poboč</w:t>
      </w:r>
      <w:r w:rsidRPr="001D7C88">
        <w:rPr>
          <w:rFonts w:hint="default"/>
        </w:rPr>
        <w:t>ky zahranič</w:t>
      </w:r>
      <w:r w:rsidRPr="001D7C88">
        <w:rPr>
          <w:rFonts w:hint="default"/>
        </w:rPr>
        <w:t>nej banky vykonaný</w:t>
      </w:r>
      <w:r w:rsidRPr="001D7C88">
        <w:rPr>
          <w:rFonts w:hint="default"/>
        </w:rPr>
        <w:t xml:space="preserve"> vo vlastnom mene a </w:t>
      </w:r>
      <w:r w:rsidRPr="001D7C88">
        <w:rPr>
          <w:rFonts w:hint="default"/>
        </w:rPr>
        <w:t>na vlastný</w:t>
      </w:r>
      <w:r w:rsidRPr="001D7C88">
        <w:rPr>
          <w:rFonts w:hint="default"/>
        </w:rPr>
        <w:t xml:space="preserve"> úč</w:t>
      </w:r>
      <w:r w:rsidRPr="001D7C88">
        <w:rPr>
          <w:rFonts w:hint="default"/>
        </w:rPr>
        <w:t>et vrá</w:t>
      </w:r>
      <w:r w:rsidRPr="001D7C88">
        <w:rPr>
          <w:rFonts w:hint="default"/>
        </w:rPr>
        <w:t>tane vkladu, ktorý</w:t>
      </w:r>
      <w:r w:rsidRPr="001D7C88">
        <w:rPr>
          <w:rFonts w:hint="default"/>
        </w:rPr>
        <w:t xml:space="preserve"> je vlastný</w:t>
      </w:r>
      <w:r w:rsidRPr="001D7C88">
        <w:rPr>
          <w:rFonts w:hint="default"/>
        </w:rPr>
        <w:t>m zdrojom financovania banky,</w:t>
      </w:r>
      <w:r w:rsidRPr="001D7C88">
        <w:rPr>
          <w:vertAlign w:val="superscript"/>
        </w:rPr>
        <w:t>7d</w:t>
      </w:r>
      <w:r w:rsidRPr="001D7C88">
        <w:t>)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t xml:space="preserve">g) </w:t>
      </w:r>
      <w:r w:rsidRPr="006E11DE" w:rsidR="006E11DE">
        <w:t>vklad nadobu</w:t>
      </w:r>
      <w:r w:rsidR="005E6BD0">
        <w:t>d</w:t>
      </w:r>
      <w:r w:rsidRPr="006E11DE" w:rsidR="006E11DE">
        <w:rPr>
          <w:rFonts w:hint="default"/>
        </w:rPr>
        <w:t>nutý</w:t>
      </w:r>
      <w:r w:rsidRPr="006E11DE" w:rsidR="006E11DE">
        <w:rPr>
          <w:rFonts w:hint="default"/>
        </w:rPr>
        <w:t xml:space="preserve"> v dô</w:t>
      </w:r>
      <w:r w:rsidRPr="006E11DE" w:rsidR="006E11DE">
        <w:rPr>
          <w:rFonts w:hint="default"/>
        </w:rPr>
        <w:t>sledku č</w:t>
      </w:r>
      <w:r w:rsidRPr="006E11DE" w:rsidR="006E11DE">
        <w:rPr>
          <w:rFonts w:hint="default"/>
        </w:rPr>
        <w:t>innosti, za ktorú</w:t>
      </w:r>
      <w:r w:rsidRPr="006E11DE" w:rsidR="006E11DE">
        <w:rPr>
          <w:rFonts w:hint="default"/>
        </w:rPr>
        <w:t xml:space="preserve"> bol pá</w:t>
      </w:r>
      <w:r w:rsidRPr="006E11DE" w:rsidR="006E11DE">
        <w:rPr>
          <w:rFonts w:hint="default"/>
        </w:rPr>
        <w:t>chateľ</w:t>
      </w:r>
      <w:r w:rsidRPr="006E11DE" w:rsidR="006E11DE">
        <w:rPr>
          <w:rFonts w:hint="default"/>
        </w:rPr>
        <w:t xml:space="preserve"> v tre</w:t>
      </w:r>
      <w:r w:rsidRPr="006E11DE" w:rsidR="006E11DE">
        <w:rPr>
          <w:rFonts w:hint="default"/>
        </w:rPr>
        <w:t>stnom konaní</w:t>
      </w:r>
      <w:r w:rsidRPr="006E11DE" w:rsidR="006E11DE">
        <w:rPr>
          <w:rFonts w:hint="default"/>
        </w:rPr>
        <w:t xml:space="preserve">  prá</w:t>
      </w:r>
      <w:r w:rsidRPr="006E11DE" w:rsidR="006E11DE">
        <w:rPr>
          <w:rFonts w:hint="default"/>
        </w:rPr>
        <w:t>voplatne  odsú</w:t>
      </w:r>
      <w:r w:rsidRPr="006E11DE" w:rsidR="006E11DE">
        <w:rPr>
          <w:rFonts w:hint="default"/>
        </w:rPr>
        <w:t>dený</w:t>
      </w:r>
      <w:r w:rsidRPr="006E11DE" w:rsidR="006E11DE">
        <w:rPr>
          <w:rFonts w:hint="default"/>
        </w:rPr>
        <w:t xml:space="preserve">  za trestný</w:t>
      </w:r>
      <w:r w:rsidRPr="006E11DE" w:rsidR="006E11DE">
        <w:rPr>
          <w:rFonts w:hint="default"/>
        </w:rPr>
        <w:t xml:space="preserve"> č</w:t>
      </w:r>
      <w:r w:rsidRPr="006E11DE" w:rsidR="006E11DE">
        <w:rPr>
          <w:rFonts w:hint="default"/>
        </w:rPr>
        <w:t>in legalizá</w:t>
      </w:r>
      <w:r w:rsidRPr="006E11DE" w:rsidR="006E11DE">
        <w:rPr>
          <w:rFonts w:hint="default"/>
        </w:rPr>
        <w:t>cie prí</w:t>
      </w:r>
      <w:r w:rsidRPr="006E11DE" w:rsidR="006E11DE">
        <w:rPr>
          <w:rFonts w:hint="default"/>
        </w:rPr>
        <w:t>jmu z trestnej č</w:t>
      </w:r>
      <w:r w:rsidRPr="006E11DE" w:rsidR="006E11DE">
        <w:rPr>
          <w:rFonts w:hint="default"/>
        </w:rPr>
        <w:t>innosti.</w:t>
      </w:r>
      <w:r w:rsidRPr="001D7C88">
        <w:rPr>
          <w:vertAlign w:val="superscript"/>
        </w:rPr>
        <w:t>7e</w:t>
      </w:r>
      <w:r w:rsidRPr="001D7C88">
        <w:rPr>
          <w:rFonts w:hint="default"/>
        </w:rPr>
        <w:t>)“.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mky pod č</w:t>
      </w:r>
      <w:r w:rsidRPr="001D7C88">
        <w:rPr>
          <w:rFonts w:hint="default"/>
        </w:rPr>
        <w:t>iarou k </w:t>
      </w:r>
      <w:r w:rsidRPr="001D7C88">
        <w:rPr>
          <w:rFonts w:hint="default"/>
        </w:rPr>
        <w:t>odkazom 7c až</w:t>
      </w:r>
      <w:r w:rsidRPr="001D7C88">
        <w:rPr>
          <w:rFonts w:hint="default"/>
        </w:rPr>
        <w:t xml:space="preserve"> 7</w:t>
      </w:r>
      <w:r w:rsidR="003D57B3">
        <w:t>e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7c</w:t>
      </w:r>
      <w:r w:rsidRPr="001D7C88">
        <w:rPr>
          <w:rFonts w:hint="default"/>
        </w:rPr>
        <w:t>) §</w:t>
      </w:r>
      <w:r w:rsidRPr="001D7C88">
        <w:rPr>
          <w:rFonts w:hint="default"/>
        </w:rPr>
        <w:t xml:space="preserve"> 5 a §</w:t>
      </w:r>
      <w:r w:rsidRPr="001D7C88">
        <w:rPr>
          <w:rFonts w:hint="default"/>
        </w:rPr>
        <w:t xml:space="preserve"> 99 ods. 3 pí</w:t>
      </w:r>
      <w:r w:rsidRPr="001D7C88">
        <w:rPr>
          <w:rFonts w:hint="default"/>
        </w:rPr>
        <w:t>sm. h) a ods. 15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566/2001 Z. z. o cenný</w:t>
      </w:r>
      <w:r w:rsidRPr="001D7C88">
        <w:rPr>
          <w:rFonts w:hint="default"/>
        </w:rPr>
        <w:t>ch papieroch a investič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služ</w:t>
      </w:r>
      <w:r w:rsidRPr="001D7C88">
        <w:rPr>
          <w:rFonts w:hint="default"/>
        </w:rPr>
        <w:t>bá</w:t>
      </w:r>
      <w:r w:rsidRPr="001D7C88">
        <w:rPr>
          <w:rFonts w:hint="default"/>
        </w:rPr>
        <w:t>ch a</w:t>
      </w:r>
      <w:r w:rsidRPr="001D7C88">
        <w:rPr>
          <w:rFonts w:hint="default"/>
        </w:rPr>
        <w:t xml:space="preserve">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 (zá</w:t>
      </w:r>
      <w:r w:rsidRPr="001D7C88">
        <w:rPr>
          <w:rFonts w:hint="default"/>
        </w:rPr>
        <w:t>kon o cenný</w:t>
      </w:r>
      <w:r w:rsidRPr="001D7C88">
        <w:rPr>
          <w:rFonts w:hint="default"/>
        </w:rPr>
        <w:t>ch papieroch) v 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7d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l. 4 ods. 1 bod 118 nariadenia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575/2013 v </w:t>
      </w:r>
      <w:r w:rsidRPr="001D7C88">
        <w:rPr>
          <w:rFonts w:hint="default"/>
        </w:rPr>
        <w:t>platnom znení.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7e</w:t>
      </w:r>
      <w:r w:rsidRPr="001D7C88">
        <w:rPr>
          <w:rFonts w:hint="default"/>
        </w:rPr>
        <w:t>) §</w:t>
      </w:r>
      <w:r w:rsidRPr="001D7C88">
        <w:rPr>
          <w:rFonts w:hint="default"/>
        </w:rPr>
        <w:t xml:space="preserve"> 2 ods. 1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297/2008 Z. z. o ochrane pred legalizá</w:t>
      </w:r>
      <w:r w:rsidRPr="001D7C88">
        <w:rPr>
          <w:rFonts w:hint="default"/>
        </w:rPr>
        <w:t>ciou prí</w:t>
      </w:r>
      <w:r w:rsidRPr="001D7C88">
        <w:rPr>
          <w:rFonts w:hint="default"/>
        </w:rPr>
        <w:t>jmov z trestnej č</w:t>
      </w:r>
      <w:r w:rsidRPr="001D7C88">
        <w:rPr>
          <w:rFonts w:hint="default"/>
        </w:rPr>
        <w:t>i</w:t>
      </w:r>
      <w:r w:rsidRPr="001D7C88">
        <w:rPr>
          <w:rFonts w:hint="default"/>
        </w:rPr>
        <w:t>nnosti a o ochrane pred financovaní</w:t>
      </w:r>
      <w:r w:rsidRPr="001D7C88">
        <w:rPr>
          <w:rFonts w:hint="default"/>
        </w:rPr>
        <w:t>m terorizmu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konov.“.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7. V §</w:t>
      </w:r>
      <w:r w:rsidRPr="001D7C88">
        <w:rPr>
          <w:rFonts w:hint="default"/>
        </w:rPr>
        <w:t xml:space="preserve"> 3 sa odsek 4 dopĺň</w:t>
      </w:r>
      <w:r w:rsidRPr="001D7C88">
        <w:rPr>
          <w:rFonts w:hint="default"/>
        </w:rPr>
        <w:t>a pí</w:t>
      </w:r>
      <w:r w:rsidRPr="001D7C88">
        <w:rPr>
          <w:rFonts w:hint="default"/>
        </w:rPr>
        <w:t>smenami h) až</w:t>
      </w:r>
      <w:r w:rsidRPr="001D7C88">
        <w:rPr>
          <w:rFonts w:hint="default"/>
        </w:rPr>
        <w:t xml:space="preserve"> o), ktoré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„</w:t>
      </w:r>
      <w:r w:rsidRPr="001D7C88">
        <w:rPr>
          <w:rFonts w:hint="default"/>
        </w:rPr>
        <w:t>h) vklad finanč</w:t>
      </w:r>
      <w:r w:rsidRPr="001D7C88">
        <w:rPr>
          <w:rFonts w:hint="default"/>
        </w:rPr>
        <w:t>nej inš</w:t>
      </w:r>
      <w:r w:rsidRPr="001D7C88">
        <w:rPr>
          <w:rFonts w:hint="default"/>
        </w:rPr>
        <w:t>titú</w:t>
      </w:r>
      <w:r w:rsidRPr="001D7C88">
        <w:rPr>
          <w:rFonts w:hint="default"/>
        </w:rPr>
        <w:t>cie,</w:t>
      </w:r>
      <w:r w:rsidRPr="001D7C88">
        <w:rPr>
          <w:vertAlign w:val="superscript"/>
        </w:rPr>
        <w:t>7f</w:t>
      </w:r>
      <w:r w:rsidRPr="001D7C88">
        <w:t>)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i) vklad obchodní</w:t>
      </w:r>
      <w:r w:rsidRPr="001D7C88">
        <w:rPr>
          <w:rFonts w:hint="default"/>
        </w:rPr>
        <w:t>ka s </w:t>
      </w:r>
      <w:r w:rsidRPr="001D7C88">
        <w:rPr>
          <w:rFonts w:hint="default"/>
        </w:rPr>
        <w:t>cenný</w:t>
      </w:r>
      <w:r w:rsidRPr="001D7C88">
        <w:rPr>
          <w:rFonts w:hint="default"/>
        </w:rPr>
        <w:t>mi papiermi,</w:t>
      </w:r>
      <w:r w:rsidRPr="001D7C88">
        <w:rPr>
          <w:vertAlign w:val="superscript"/>
        </w:rPr>
        <w:t>7g</w:t>
      </w:r>
      <w:r w:rsidRPr="001D7C88">
        <w:t>)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j) vklad poisť</w:t>
      </w:r>
      <w:r w:rsidRPr="001D7C88">
        <w:rPr>
          <w:rFonts w:hint="default"/>
        </w:rPr>
        <w:t>ovne a </w:t>
      </w:r>
      <w:r w:rsidRPr="001D7C88">
        <w:rPr>
          <w:rFonts w:hint="default"/>
        </w:rPr>
        <w:t>zaisť</w:t>
      </w:r>
      <w:r w:rsidRPr="001D7C88">
        <w:rPr>
          <w:rFonts w:hint="default"/>
        </w:rPr>
        <w:t>o</w:t>
      </w:r>
      <w:r w:rsidRPr="001D7C88">
        <w:rPr>
          <w:rFonts w:hint="default"/>
        </w:rPr>
        <w:t>vne,</w:t>
      </w:r>
      <w:r w:rsidRPr="001D7C88">
        <w:rPr>
          <w:vertAlign w:val="superscript"/>
        </w:rPr>
        <w:t>7h</w:t>
      </w:r>
      <w:r w:rsidRPr="001D7C88">
        <w:t>)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k) vklad subjektu kolektí</w:t>
      </w:r>
      <w:r w:rsidRPr="001D7C88">
        <w:rPr>
          <w:rFonts w:hint="default"/>
        </w:rPr>
        <w:t>vneho investovania,</w:t>
      </w:r>
      <w:r w:rsidRPr="001D7C88">
        <w:rPr>
          <w:vertAlign w:val="superscript"/>
        </w:rPr>
        <w:t>7i</w:t>
      </w:r>
      <w:r w:rsidRPr="001D7C88">
        <w:t>)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l) vklad dô</w:t>
      </w:r>
      <w:r w:rsidRPr="001D7C88">
        <w:rPr>
          <w:rFonts w:hint="default"/>
        </w:rPr>
        <w:t>chodkovej sprá</w:t>
      </w:r>
      <w:r w:rsidRPr="001D7C88">
        <w:rPr>
          <w:rFonts w:hint="default"/>
        </w:rPr>
        <w:t>vcovskej spoloč</w:t>
      </w:r>
      <w:r w:rsidRPr="001D7C88">
        <w:rPr>
          <w:rFonts w:hint="default"/>
        </w:rPr>
        <w:t>nosti vrá</w:t>
      </w:r>
      <w:r w:rsidRPr="001D7C88">
        <w:rPr>
          <w:rFonts w:hint="default"/>
        </w:rPr>
        <w:t>tane majetku v </w:t>
      </w:r>
      <w:r w:rsidRPr="001D7C88">
        <w:rPr>
          <w:rFonts w:hint="default"/>
        </w:rPr>
        <w:t>dô</w:t>
      </w:r>
      <w:r w:rsidRPr="001D7C88">
        <w:rPr>
          <w:rFonts w:hint="default"/>
        </w:rPr>
        <w:t>chodkovom fonde,</w:t>
      </w:r>
      <w:r w:rsidRPr="001D7C88">
        <w:rPr>
          <w:vertAlign w:val="superscript"/>
        </w:rPr>
        <w:t>7j</w:t>
      </w:r>
      <w:r w:rsidRPr="001D7C88">
        <w:t>)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m) vklad doplnkovej dô</w:t>
      </w:r>
      <w:r w:rsidRPr="001D7C88">
        <w:rPr>
          <w:rFonts w:hint="default"/>
        </w:rPr>
        <w:t>chodkovej spoloč</w:t>
      </w:r>
      <w:r w:rsidRPr="001D7C88">
        <w:rPr>
          <w:rFonts w:hint="default"/>
        </w:rPr>
        <w:t>nosti vrá</w:t>
      </w:r>
      <w:r w:rsidRPr="001D7C88">
        <w:rPr>
          <w:rFonts w:hint="default"/>
        </w:rPr>
        <w:t>tane majetku v </w:t>
      </w:r>
      <w:r w:rsidRPr="001D7C88">
        <w:rPr>
          <w:rFonts w:hint="default"/>
        </w:rPr>
        <w:t>doplnkovom dô</w:t>
      </w:r>
      <w:r w:rsidRPr="001D7C88">
        <w:rPr>
          <w:rFonts w:hint="default"/>
        </w:rPr>
        <w:t>chodkovom fonde,</w:t>
      </w:r>
      <w:r w:rsidRPr="001D7C88">
        <w:rPr>
          <w:vertAlign w:val="superscript"/>
        </w:rPr>
        <w:t>7k</w:t>
      </w:r>
      <w:r w:rsidRPr="001D7C88">
        <w:t>)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n) vklad orgá</w:t>
      </w:r>
      <w:r w:rsidRPr="001D7C88">
        <w:rPr>
          <w:rFonts w:hint="default"/>
        </w:rPr>
        <w:t>nu ver</w:t>
      </w:r>
      <w:r w:rsidRPr="001D7C88">
        <w:rPr>
          <w:rFonts w:hint="default"/>
        </w:rPr>
        <w:t>ejnej moci,</w:t>
      </w:r>
      <w:r w:rsidRPr="001D7C88">
        <w:rPr>
          <w:vertAlign w:val="superscript"/>
        </w:rPr>
        <w:t>7l</w:t>
      </w:r>
      <w:r w:rsidRPr="001D7C88">
        <w:t>)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o) vklad vo forme dlhové</w:t>
      </w:r>
      <w:r w:rsidRPr="001D7C88">
        <w:rPr>
          <w:rFonts w:hint="default"/>
        </w:rPr>
        <w:t>ho cenné</w:t>
      </w:r>
      <w:r w:rsidRPr="001D7C88">
        <w:rPr>
          <w:rFonts w:hint="default"/>
        </w:rPr>
        <w:t>ho papiera</w:t>
      </w:r>
      <w:r w:rsidRPr="001D7C88">
        <w:rPr>
          <w:vertAlign w:val="superscript"/>
        </w:rPr>
        <w:t>7g</w:t>
      </w:r>
      <w:r w:rsidRPr="001D7C88">
        <w:rPr>
          <w:rFonts w:hint="default"/>
        </w:rPr>
        <w:t>) vydané</w:t>
      </w:r>
      <w:r w:rsidRPr="001D7C88">
        <w:rPr>
          <w:rFonts w:hint="default"/>
        </w:rPr>
        <w:t>ho bankou alebo vo forme vlastnej zmenky alebo š</w:t>
      </w:r>
      <w:r w:rsidRPr="001D7C88">
        <w:rPr>
          <w:rFonts w:hint="default"/>
        </w:rPr>
        <w:t>eku.“.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mky pod č</w:t>
      </w:r>
      <w:r w:rsidRPr="001D7C88">
        <w:rPr>
          <w:rFonts w:hint="default"/>
        </w:rPr>
        <w:t>iarou k </w:t>
      </w:r>
      <w:r w:rsidRPr="001D7C88">
        <w:rPr>
          <w:rFonts w:hint="default"/>
        </w:rPr>
        <w:t>odkazom 7f až</w:t>
      </w:r>
      <w:r w:rsidRPr="001D7C88">
        <w:rPr>
          <w:rFonts w:hint="default"/>
        </w:rPr>
        <w:t xml:space="preserve"> 7l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7f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l. 4 ods. 1 bod 26 nariadenia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575/2013 v </w:t>
      </w:r>
      <w:r w:rsidRPr="001D7C88">
        <w:rPr>
          <w:rFonts w:hint="default"/>
        </w:rPr>
        <w:t>platnom znení.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7g</w:t>
      </w:r>
      <w:r w:rsidRPr="001D7C88">
        <w:rPr>
          <w:rFonts w:hint="default"/>
        </w:rPr>
        <w:t>)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566/</w:t>
      </w:r>
      <w:r w:rsidRPr="001D7C88">
        <w:rPr>
          <w:rFonts w:hint="default"/>
        </w:rPr>
        <w:t>2001 Z. z. v 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7h</w:t>
      </w:r>
      <w:r w:rsidRPr="001D7C88">
        <w:rPr>
          <w:rFonts w:hint="default"/>
        </w:rPr>
        <w:t>)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8/2008 Z. z. v </w:t>
      </w:r>
      <w:r w:rsidRPr="001D7C88">
        <w:rPr>
          <w:rFonts w:hint="default"/>
        </w:rPr>
        <w:t>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 xml:space="preserve">    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39/2015 Z. z.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7i</w:t>
      </w:r>
      <w:r w:rsidRPr="001D7C88">
        <w:rPr>
          <w:rFonts w:hint="default"/>
        </w:rPr>
        <w:t>)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203/2011 Z. z. o kolektí</w:t>
      </w:r>
      <w:r w:rsidRPr="001D7C88">
        <w:rPr>
          <w:rFonts w:hint="default"/>
        </w:rPr>
        <w:t>vnom investovaní</w:t>
      </w:r>
      <w:r w:rsidRPr="001D7C88">
        <w:rPr>
          <w:rFonts w:hint="default"/>
        </w:rPr>
        <w:t xml:space="preserve"> v 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7j</w:t>
      </w:r>
      <w:r w:rsidRPr="001D7C88">
        <w:rPr>
          <w:rFonts w:hint="default"/>
        </w:rPr>
        <w:t>)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43/2004 Z. z. o starobnom dô</w:t>
      </w:r>
      <w:r w:rsidRPr="001D7C88">
        <w:rPr>
          <w:rFonts w:hint="default"/>
        </w:rPr>
        <w:t>chodko</w:t>
      </w:r>
      <w:r w:rsidRPr="001D7C88">
        <w:rPr>
          <w:rFonts w:hint="default"/>
        </w:rPr>
        <w:t>vom sporení</w:t>
      </w:r>
      <w:r w:rsidRPr="001D7C88">
        <w:rPr>
          <w:rFonts w:hint="default"/>
        </w:rPr>
        <w:t xml:space="preserve">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 v 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7k</w:t>
      </w:r>
      <w:r w:rsidRPr="001D7C88">
        <w:rPr>
          <w:rFonts w:hint="default"/>
        </w:rPr>
        <w:t>)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650/2004 Z. z. o doplnkovom dô</w:t>
      </w:r>
      <w:r w:rsidRPr="001D7C88">
        <w:rPr>
          <w:rFonts w:hint="default"/>
        </w:rPr>
        <w:t>chodkovom sporení</w:t>
      </w:r>
      <w:r w:rsidRPr="001D7C88">
        <w:rPr>
          <w:rFonts w:hint="default"/>
        </w:rPr>
        <w:t xml:space="preserve">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 v </w:t>
      </w:r>
      <w:r w:rsidRPr="001D7C88">
        <w:rPr>
          <w:rFonts w:hint="default"/>
        </w:rPr>
        <w:t>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7l</w:t>
      </w:r>
      <w:r w:rsidRPr="001D7C88">
        <w:rPr>
          <w:rFonts w:hint="default"/>
        </w:rPr>
        <w:t>) Naprí</w:t>
      </w:r>
      <w:r w:rsidRPr="001D7C88">
        <w:rPr>
          <w:rFonts w:hint="default"/>
        </w:rPr>
        <w:t>klad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136/2001 Z. z. o och</w:t>
      </w:r>
      <w:r w:rsidRPr="001D7C88">
        <w:rPr>
          <w:rFonts w:hint="default"/>
        </w:rPr>
        <w:t>rane hospodá</w:t>
      </w:r>
      <w:r w:rsidRPr="001D7C88">
        <w:rPr>
          <w:rFonts w:hint="default"/>
        </w:rPr>
        <w:t>rskej súť</w:t>
      </w:r>
      <w:r w:rsidRPr="001D7C88">
        <w:rPr>
          <w:rFonts w:hint="default"/>
        </w:rPr>
        <w:t>až</w:t>
      </w:r>
      <w:r w:rsidRPr="001D7C88">
        <w:rPr>
          <w:rFonts w:hint="default"/>
        </w:rPr>
        <w:t>e a o zmene a doplnení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kona Slovenskej ná</w:t>
      </w:r>
      <w:r w:rsidRPr="001D7C88">
        <w:rPr>
          <w:rFonts w:hint="default"/>
        </w:rPr>
        <w:t>rodnej rady č</w:t>
      </w:r>
      <w:r w:rsidRPr="001D7C88">
        <w:rPr>
          <w:rFonts w:hint="default"/>
        </w:rPr>
        <w:t>. 347/1990 Zb. o organizá</w:t>
      </w:r>
      <w:r w:rsidRPr="001D7C88">
        <w:rPr>
          <w:rFonts w:hint="default"/>
        </w:rPr>
        <w:t>cii ministerstiev a ostatný</w:t>
      </w:r>
      <w:r w:rsidRPr="001D7C88">
        <w:rPr>
          <w:rFonts w:hint="default"/>
        </w:rPr>
        <w:t>ch ú</w:t>
      </w:r>
      <w:r w:rsidRPr="001D7C88">
        <w:rPr>
          <w:rFonts w:hint="default"/>
        </w:rPr>
        <w:t>stredný</w:t>
      </w:r>
      <w:r w:rsidRPr="001D7C88">
        <w:rPr>
          <w:rFonts w:hint="default"/>
        </w:rPr>
        <w:t>ch orgá</w:t>
      </w:r>
      <w:r w:rsidRPr="001D7C88">
        <w:rPr>
          <w:rFonts w:hint="default"/>
        </w:rPr>
        <w:t>nov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tnej sprá</w:t>
      </w:r>
      <w:r w:rsidRPr="001D7C88">
        <w:rPr>
          <w:rFonts w:hint="default"/>
        </w:rPr>
        <w:t>vy Slovenskej republiky v 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 v </w:t>
      </w:r>
      <w:r w:rsidRPr="001D7C88">
        <w:rPr>
          <w:rFonts w:hint="default"/>
        </w:rPr>
        <w:t>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predpisov, zá</w:t>
      </w:r>
      <w:r w:rsidRPr="001D7C88">
        <w:rPr>
          <w:rFonts w:hint="default"/>
        </w:rPr>
        <w:t>kon č.</w:t>
      </w:r>
      <w:r w:rsidRPr="001D7C88">
        <w:rPr>
          <w:rFonts w:hint="default"/>
        </w:rPr>
        <w:t xml:space="preserve"> 747/2004 Z. z. o dohľ</w:t>
      </w:r>
      <w:r w:rsidRPr="001D7C88">
        <w:rPr>
          <w:rFonts w:hint="default"/>
        </w:rPr>
        <w:t>ade nad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m trhom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 v </w:t>
      </w:r>
      <w:r w:rsidRPr="001D7C88">
        <w:rPr>
          <w:rFonts w:hint="default"/>
        </w:rPr>
        <w:t>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predpisov,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757/2004 Z. z. o sú</w:t>
      </w:r>
      <w:r w:rsidRPr="001D7C88">
        <w:rPr>
          <w:rFonts w:hint="default"/>
        </w:rPr>
        <w:t>doch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 v 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predpisov.“.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8. §</w:t>
      </w:r>
      <w:r w:rsidRPr="001D7C88">
        <w:rPr>
          <w:rFonts w:hint="default"/>
        </w:rPr>
        <w:t xml:space="preserve"> 3 sa dopĺň</w:t>
      </w:r>
      <w:r w:rsidRPr="001D7C88">
        <w:rPr>
          <w:rFonts w:hint="default"/>
        </w:rPr>
        <w:t>a odsekmi 7 až</w:t>
      </w:r>
      <w:r w:rsidRPr="001D7C88">
        <w:rPr>
          <w:rFonts w:hint="default"/>
        </w:rPr>
        <w:t xml:space="preserve"> 9, k</w:t>
      </w:r>
      <w:r w:rsidRPr="001D7C88">
        <w:rPr>
          <w:rFonts w:hint="default"/>
        </w:rPr>
        <w:t>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(7) Platobný</w:t>
      </w:r>
      <w:r w:rsidRPr="001D7C88">
        <w:rPr>
          <w:rFonts w:hint="default"/>
        </w:rPr>
        <w:t>mi zá</w:t>
      </w:r>
      <w:r w:rsidRPr="001D7C88">
        <w:rPr>
          <w:rFonts w:hint="default"/>
        </w:rPr>
        <w:t>vä</w:t>
      </w:r>
      <w:r w:rsidRPr="001D7C88">
        <w:rPr>
          <w:rFonts w:hint="default"/>
        </w:rPr>
        <w:t>zkami sa na úč</w:t>
      </w:r>
      <w:r w:rsidRPr="001D7C88">
        <w:rPr>
          <w:rFonts w:hint="default"/>
        </w:rPr>
        <w:t>ely tohto zá</w:t>
      </w:r>
      <w:r w:rsidRPr="001D7C88">
        <w:rPr>
          <w:rFonts w:hint="default"/>
        </w:rPr>
        <w:t>kona rozumejú</w:t>
      </w:r>
      <w:r w:rsidRPr="001D7C88">
        <w:rPr>
          <w:rFonts w:hint="default"/>
        </w:rPr>
        <w:t xml:space="preserve"> neodvolateľ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vä</w:t>
      </w:r>
      <w:r w:rsidRPr="001D7C88">
        <w:rPr>
          <w:rFonts w:hint="default"/>
        </w:rPr>
        <w:t>zky banky alebo poboč</w:t>
      </w:r>
      <w:r w:rsidRPr="001D7C88">
        <w:rPr>
          <w:rFonts w:hint="default"/>
        </w:rPr>
        <w:t>ky zahranič</w:t>
      </w:r>
      <w:r w:rsidRPr="001D7C88">
        <w:rPr>
          <w:rFonts w:hint="default"/>
        </w:rPr>
        <w:t>nej banky voč</w:t>
      </w:r>
      <w:r w:rsidRPr="001D7C88">
        <w:rPr>
          <w:rFonts w:hint="default"/>
        </w:rPr>
        <w:t>i fondu, ktorý</w:t>
      </w:r>
      <w:r w:rsidRPr="001D7C88">
        <w:rPr>
          <w:rFonts w:hint="default"/>
        </w:rPr>
        <w:t>ch splnenie musí</w:t>
      </w:r>
      <w:r w:rsidRPr="001D7C88">
        <w:rPr>
          <w:rFonts w:hint="default"/>
        </w:rPr>
        <w:t xml:space="preserve"> byť</w:t>
      </w:r>
      <w:r w:rsidRPr="001D7C88">
        <w:rPr>
          <w:rFonts w:hint="default"/>
        </w:rPr>
        <w:t xml:space="preserve"> v plnej miere a </w:t>
      </w:r>
      <w:r w:rsidRPr="001D7C88">
        <w:rPr>
          <w:rFonts w:hint="default"/>
        </w:rPr>
        <w:t>nepretrž</w:t>
      </w:r>
      <w:r w:rsidRPr="001D7C88">
        <w:rPr>
          <w:rFonts w:hint="default"/>
        </w:rPr>
        <w:t>ite zabezpeč</w:t>
      </w:r>
      <w:r w:rsidRPr="001D7C88">
        <w:rPr>
          <w:rFonts w:hint="default"/>
        </w:rPr>
        <w:t>ené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bezpekou poskytnutou fondu, ktorá</w:t>
      </w:r>
      <w:r w:rsidRPr="001D7C88">
        <w:rPr>
          <w:rFonts w:hint="default"/>
        </w:rPr>
        <w:t xml:space="preserve">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a) pozost</w:t>
      </w:r>
      <w:r w:rsidRPr="001D7C88">
        <w:rPr>
          <w:rFonts w:hint="default"/>
        </w:rPr>
        <w:t>á</w:t>
      </w:r>
      <w:r w:rsidRPr="001D7C88">
        <w:rPr>
          <w:rFonts w:hint="default"/>
        </w:rPr>
        <w:t>va z </w:t>
      </w:r>
      <w:r w:rsidRPr="001D7C88">
        <w:rPr>
          <w:rFonts w:hint="default"/>
        </w:rPr>
        <w:t>ní</w:t>
      </w:r>
      <w:r w:rsidRPr="001D7C88">
        <w:rPr>
          <w:rFonts w:hint="default"/>
        </w:rPr>
        <w:t>zkorizikový</w:t>
      </w:r>
      <w:r w:rsidRPr="001D7C88">
        <w:rPr>
          <w:rFonts w:hint="default"/>
        </w:rPr>
        <w:t>ch aktí</w:t>
      </w:r>
      <w:r w:rsidRPr="001D7C88">
        <w:rPr>
          <w:rFonts w:hint="default"/>
        </w:rPr>
        <w:t>v,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b) nie je zať</w:t>
      </w:r>
      <w:r w:rsidRPr="001D7C88">
        <w:rPr>
          <w:rFonts w:hint="default"/>
        </w:rPr>
        <w:t>až</w:t>
      </w:r>
      <w:r w:rsidRPr="001D7C88">
        <w:rPr>
          <w:rFonts w:hint="default"/>
        </w:rPr>
        <w:t>ená</w:t>
      </w:r>
      <w:r w:rsidRPr="001D7C88">
        <w:rPr>
          <w:rFonts w:hint="default"/>
        </w:rPr>
        <w:t xml:space="preserve"> prá</w:t>
      </w:r>
      <w:r w:rsidRPr="001D7C88">
        <w:rPr>
          <w:rFonts w:hint="default"/>
        </w:rPr>
        <w:t>vami tretí</w:t>
      </w:r>
      <w:r w:rsidRPr="001D7C88">
        <w:rPr>
          <w:rFonts w:hint="default"/>
        </w:rPr>
        <w:t>ch strá</w:t>
      </w:r>
      <w:r w:rsidRPr="001D7C88">
        <w:rPr>
          <w:rFonts w:hint="default"/>
        </w:rPr>
        <w:t>n a je k </w:t>
      </w:r>
      <w:r w:rsidRPr="001D7C88">
        <w:rPr>
          <w:rFonts w:hint="default"/>
        </w:rPr>
        <w:t>dispozí</w:t>
      </w:r>
      <w:r w:rsidRPr="001D7C88">
        <w:rPr>
          <w:rFonts w:hint="default"/>
        </w:rPr>
        <w:t>cii systé</w:t>
      </w:r>
      <w:r w:rsidRPr="001D7C88">
        <w:rPr>
          <w:rFonts w:hint="default"/>
        </w:rPr>
        <w:t>mu ochrany vkladov.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(8) Dostupný</w:t>
      </w:r>
      <w:r w:rsidRPr="001D7C88">
        <w:rPr>
          <w:rFonts w:hint="default"/>
        </w:rPr>
        <w:t>mi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mi prostriedkami sa na úč</w:t>
      </w:r>
      <w:r w:rsidRPr="001D7C88">
        <w:rPr>
          <w:rFonts w:hint="default"/>
        </w:rPr>
        <w:t>ely tohto zá</w:t>
      </w:r>
      <w:r w:rsidRPr="001D7C88">
        <w:rPr>
          <w:rFonts w:hint="default"/>
        </w:rPr>
        <w:t>kona rozume</w:t>
      </w:r>
      <w:r w:rsidR="003D57B3">
        <w:rPr>
          <w:rFonts w:hint="default"/>
        </w:rPr>
        <w:t>jú</w:t>
      </w:r>
      <w:r w:rsidRPr="001D7C88">
        <w:rPr>
          <w:rFonts w:hint="default"/>
        </w:rPr>
        <w:t xml:space="preserve"> hotovosť</w:t>
      </w:r>
      <w:r w:rsidRPr="001D7C88">
        <w:rPr>
          <w:rFonts w:hint="default"/>
        </w:rPr>
        <w:t>, vklady a </w:t>
      </w:r>
      <w:r w:rsidRPr="001D7C88">
        <w:rPr>
          <w:rFonts w:hint="default"/>
        </w:rPr>
        <w:t>ní</w:t>
      </w:r>
      <w:r w:rsidRPr="001D7C88">
        <w:rPr>
          <w:rFonts w:hint="default"/>
        </w:rPr>
        <w:t>zkorizikové</w:t>
      </w:r>
      <w:r w:rsidRPr="001D7C88">
        <w:rPr>
          <w:rFonts w:hint="default"/>
        </w:rPr>
        <w:t xml:space="preserve"> aktí</w:t>
      </w:r>
      <w:r w:rsidRPr="001D7C88">
        <w:rPr>
          <w:rFonts w:hint="default"/>
        </w:rPr>
        <w:t>va, ktoré</w:t>
      </w:r>
      <w:r w:rsidRPr="001D7C88">
        <w:rPr>
          <w:rFonts w:hint="default"/>
        </w:rPr>
        <w:t xml:space="preserve"> je mož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do siedmich </w:t>
      </w:r>
      <w:r w:rsidRPr="001D7C88">
        <w:rPr>
          <w:rFonts w:hint="default"/>
        </w:rPr>
        <w:t>pracovný</w:t>
      </w:r>
      <w:r w:rsidRPr="001D7C88">
        <w:rPr>
          <w:rFonts w:hint="default"/>
        </w:rPr>
        <w:t>ch dní</w:t>
      </w:r>
      <w:r w:rsidRPr="001D7C88">
        <w:rPr>
          <w:rFonts w:hint="default"/>
        </w:rPr>
        <w:t xml:space="preserve"> previesť</w:t>
      </w:r>
      <w:r w:rsidRPr="001D7C88">
        <w:rPr>
          <w:rFonts w:hint="default"/>
        </w:rPr>
        <w:t xml:space="preserve"> na hotovosť</w:t>
      </w:r>
      <w:r w:rsidRPr="001D7C88">
        <w:rPr>
          <w:rFonts w:hint="default"/>
        </w:rPr>
        <w:t>, a </w:t>
      </w:r>
      <w:r w:rsidRPr="001D7C88">
        <w:rPr>
          <w:rFonts w:hint="default"/>
        </w:rPr>
        <w:t>platobné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vä</w:t>
      </w:r>
      <w:r w:rsidRPr="001D7C88">
        <w:rPr>
          <w:rFonts w:hint="default"/>
        </w:rPr>
        <w:t>zky najviac do výš</w:t>
      </w:r>
      <w:r w:rsidRPr="001D7C88">
        <w:rPr>
          <w:rFonts w:hint="default"/>
        </w:rPr>
        <w:t>ky ich podielu na dostupný</w:t>
      </w:r>
      <w:r w:rsidRPr="001D7C88">
        <w:rPr>
          <w:rFonts w:hint="default"/>
        </w:rPr>
        <w:t>ch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prostriedkoch podľ</w:t>
      </w:r>
      <w:r w:rsidRPr="001D7C88">
        <w:rPr>
          <w:rFonts w:hint="default"/>
        </w:rPr>
        <w:t>a § </w:t>
      </w:r>
      <w:r w:rsidRPr="001D7C88">
        <w:rPr>
          <w:rFonts w:hint="default"/>
        </w:rPr>
        <w:t>6 ods. 6.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(9) Ní</w:t>
      </w:r>
      <w:r w:rsidRPr="001D7C88">
        <w:rPr>
          <w:rFonts w:hint="default"/>
        </w:rPr>
        <w:t>zkorizikový</w:t>
      </w:r>
      <w:r w:rsidRPr="001D7C88">
        <w:rPr>
          <w:rFonts w:hint="default"/>
        </w:rPr>
        <w:t>mi aktí</w:t>
      </w:r>
      <w:r w:rsidRPr="001D7C88">
        <w:rPr>
          <w:rFonts w:hint="default"/>
        </w:rPr>
        <w:t>vami sa na úč</w:t>
      </w:r>
      <w:r w:rsidRPr="001D7C88">
        <w:rPr>
          <w:rFonts w:hint="default"/>
        </w:rPr>
        <w:t>ely tohto zá</w:t>
      </w:r>
      <w:r w:rsidRPr="001D7C88">
        <w:rPr>
          <w:rFonts w:hint="default"/>
        </w:rPr>
        <w:t>kona rozumejú</w:t>
      </w:r>
      <w:r w:rsidRPr="001D7C88">
        <w:rPr>
          <w:rFonts w:hint="default"/>
        </w:rPr>
        <w:t xml:space="preserve"> aktí</w:t>
      </w:r>
      <w:r w:rsidRPr="001D7C88">
        <w:rPr>
          <w:rFonts w:hint="default"/>
        </w:rPr>
        <w:t>va podľ</w:t>
      </w:r>
      <w:r w:rsidRPr="001D7C88">
        <w:rPr>
          <w:rFonts w:hint="default"/>
        </w:rPr>
        <w:t>a osobitné</w:t>
      </w:r>
      <w:r w:rsidRPr="001D7C88">
        <w:rPr>
          <w:rFonts w:hint="default"/>
        </w:rPr>
        <w:t>ho predpisu,</w:t>
      </w:r>
      <w:r w:rsidRPr="001D7C88">
        <w:rPr>
          <w:vertAlign w:val="superscript"/>
        </w:rPr>
        <w:t>7m</w:t>
      </w:r>
      <w:r w:rsidRPr="001D7C88">
        <w:rPr>
          <w:rFonts w:hint="default"/>
        </w:rPr>
        <w:t>) alebo aktí</w:t>
      </w:r>
      <w:r w:rsidRPr="001D7C88">
        <w:rPr>
          <w:rFonts w:hint="default"/>
        </w:rPr>
        <w:t>va, ktoré</w:t>
      </w:r>
      <w:r w:rsidRPr="001D7C88">
        <w:rPr>
          <w:rFonts w:hint="default"/>
        </w:rPr>
        <w:t xml:space="preserve"> fond alebo Ná</w:t>
      </w:r>
      <w:r w:rsidRPr="001D7C88">
        <w:rPr>
          <w:rFonts w:hint="default"/>
        </w:rPr>
        <w:t>rodná</w:t>
      </w:r>
      <w:r w:rsidRPr="001D7C88">
        <w:rPr>
          <w:rFonts w:hint="default"/>
        </w:rPr>
        <w:t xml:space="preserve"> banka Slovenska považ</w:t>
      </w:r>
      <w:r w:rsidRPr="001D7C88">
        <w:rPr>
          <w:rFonts w:hint="default"/>
        </w:rPr>
        <w:t>uje za rovnako bezpeč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a </w:t>
      </w:r>
      <w:r w:rsidRPr="001D7C88">
        <w:rPr>
          <w:rFonts w:hint="default"/>
        </w:rPr>
        <w:t>likvidné.“.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 odkazu 7m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7m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l. 336 ods. 1 tabuľ</w:t>
      </w:r>
      <w:r w:rsidRPr="001D7C88">
        <w:rPr>
          <w:rFonts w:hint="default"/>
        </w:rPr>
        <w:t>ka č</w:t>
      </w:r>
      <w:r w:rsidRPr="001D7C88">
        <w:rPr>
          <w:rFonts w:hint="default"/>
        </w:rPr>
        <w:t>. 1 polož</w:t>
      </w:r>
      <w:r w:rsidRPr="001D7C88">
        <w:rPr>
          <w:rFonts w:hint="default"/>
        </w:rPr>
        <w:t>ky patriace do prvej alebo druhej kategó</w:t>
      </w:r>
      <w:r w:rsidRPr="001D7C88">
        <w:rPr>
          <w:rFonts w:hint="default"/>
        </w:rPr>
        <w:t>rie nariadenia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575/2013 v </w:t>
      </w:r>
      <w:r w:rsidRPr="001D7C88">
        <w:rPr>
          <w:rFonts w:hint="default"/>
        </w:rPr>
        <w:t>platnom znení.“.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9. V §</w:t>
      </w:r>
      <w:r w:rsidRPr="001D7C88">
        <w:rPr>
          <w:rFonts w:hint="default"/>
        </w:rPr>
        <w:t xml:space="preserve"> 4 ods. 2 pí</w:t>
      </w:r>
      <w:r w:rsidRPr="001D7C88">
        <w:rPr>
          <w:rFonts w:hint="default"/>
        </w:rPr>
        <w:t>sm</w:t>
      </w:r>
      <w:r w:rsidR="001B1FB5">
        <w:t>.</w:t>
      </w:r>
      <w:r w:rsidRPr="001D7C88">
        <w:t xml:space="preserve"> a) </w:t>
      </w:r>
      <w:r w:rsidR="001B1FB5">
        <w:t xml:space="preserve">sa </w:t>
      </w:r>
      <w:r w:rsidRPr="001D7C88">
        <w:rPr>
          <w:rFonts w:hint="default"/>
        </w:rPr>
        <w:t>vypúšť</w:t>
      </w:r>
      <w:r w:rsidRPr="001D7C88">
        <w:rPr>
          <w:rFonts w:hint="default"/>
        </w:rPr>
        <w:t>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ani poistené“</w:t>
      </w:r>
      <w:r w:rsidRPr="001D7C88">
        <w:rPr>
          <w:rFonts w:hint="default"/>
        </w:rPr>
        <w:t xml:space="preserve"> a v pí</w:t>
      </w:r>
      <w:r w:rsidRPr="001D7C88">
        <w:rPr>
          <w:rFonts w:hint="default"/>
        </w:rPr>
        <w:t>smene b) sa vypúšť</w:t>
      </w:r>
      <w:r w:rsidRPr="001D7C88">
        <w:rPr>
          <w:rFonts w:hint="default"/>
        </w:rPr>
        <w:t>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alebo poistené“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10. V §</w:t>
      </w:r>
      <w:r w:rsidRPr="001D7C88">
        <w:rPr>
          <w:rFonts w:hint="default"/>
        </w:rPr>
        <w:t xml:space="preserve"> 4 ods. 4 sa vypúšť</w:t>
      </w:r>
      <w:r w:rsidRPr="001D7C88">
        <w:rPr>
          <w:rFonts w:hint="default"/>
        </w:rPr>
        <w:t>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alebo poistiť“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11. V §</w:t>
      </w:r>
      <w:r w:rsidRPr="001D7C88">
        <w:rPr>
          <w:rFonts w:hint="default"/>
        </w:rPr>
        <w:t xml:space="preserve"> 4 ods. 5 sa vypúšť</w:t>
      </w:r>
      <w:r w:rsidRPr="001D7C88">
        <w:rPr>
          <w:rFonts w:hint="default"/>
        </w:rPr>
        <w:t>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alebo na poistení“.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12. §</w:t>
      </w:r>
      <w:r w:rsidRPr="001D7C88">
        <w:rPr>
          <w:rFonts w:hint="default"/>
        </w:rPr>
        <w:t xml:space="preserve"> 4 sa dopĺň</w:t>
      </w:r>
      <w:r w:rsidRPr="001D7C88">
        <w:rPr>
          <w:rFonts w:hint="default"/>
        </w:rPr>
        <w:t xml:space="preserve">a odsekom 9, </w:t>
      </w:r>
      <w:r w:rsidRPr="001D7C88">
        <w:rPr>
          <w:rFonts w:hint="default"/>
        </w:rPr>
        <w:t>ktorý</w:t>
      </w:r>
      <w:r w:rsidRPr="001D7C88">
        <w:rPr>
          <w:rFonts w:hint="default"/>
        </w:rPr>
        <w:t xml:space="preserve">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(9) Ná</w:t>
      </w:r>
      <w:r w:rsidRPr="001D7C88">
        <w:rPr>
          <w:rFonts w:hint="default"/>
        </w:rPr>
        <w:t>rodná</w:t>
      </w:r>
      <w:r w:rsidRPr="001D7C88">
        <w:rPr>
          <w:rFonts w:hint="default"/>
        </w:rPr>
        <w:t xml:space="preserve"> banka Slovenska pri oznamovaní</w:t>
      </w:r>
      <w:r w:rsidRPr="001D7C88">
        <w:rPr>
          <w:rFonts w:hint="default"/>
        </w:rPr>
        <w:t xml:space="preserve"> udelenia bankové</w:t>
      </w:r>
      <w:r w:rsidRPr="001D7C88">
        <w:rPr>
          <w:rFonts w:hint="default"/>
        </w:rPr>
        <w:t>ho povolenia podľ</w:t>
      </w:r>
      <w:r w:rsidRPr="001D7C88">
        <w:rPr>
          <w:rFonts w:hint="default"/>
        </w:rPr>
        <w:t>a osobitné</w:t>
      </w:r>
      <w:r w:rsidRPr="001D7C88">
        <w:rPr>
          <w:rFonts w:hint="default"/>
        </w:rPr>
        <w:t>ho predpisu</w:t>
      </w:r>
      <w:r w:rsidRPr="001D7C88">
        <w:rPr>
          <w:vertAlign w:val="superscript"/>
        </w:rPr>
        <w:t>8a</w:t>
      </w:r>
      <w:r w:rsidRPr="001D7C88">
        <w:rPr>
          <w:rFonts w:hint="default"/>
        </w:rPr>
        <w:t>) informuje 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pre bankovní</w:t>
      </w:r>
      <w:r w:rsidRPr="001D7C88">
        <w:rPr>
          <w:rFonts w:hint="default"/>
        </w:rPr>
        <w:t>ctvo), v </w:t>
      </w:r>
      <w:r w:rsidRPr="001D7C88">
        <w:rPr>
          <w:rFonts w:hint="default"/>
        </w:rPr>
        <w:t>ktorom systé</w:t>
      </w:r>
      <w:r w:rsidRPr="001D7C88">
        <w:rPr>
          <w:rFonts w:hint="default"/>
        </w:rPr>
        <w:t>me ochrany vkladov sa banka, ktorej bolo udelené</w:t>
      </w:r>
      <w:r w:rsidRPr="001D7C88">
        <w:rPr>
          <w:rFonts w:hint="default"/>
        </w:rPr>
        <w:t xml:space="preserve"> bankové</w:t>
      </w:r>
      <w:r w:rsidRPr="001D7C88">
        <w:rPr>
          <w:rFonts w:hint="default"/>
        </w:rPr>
        <w:t xml:space="preserve"> pov</w:t>
      </w:r>
      <w:r w:rsidRPr="001D7C88">
        <w:rPr>
          <w:rFonts w:hint="default"/>
        </w:rPr>
        <w:t>olenie, zúč</w:t>
      </w:r>
      <w:r w:rsidRPr="001D7C88">
        <w:rPr>
          <w:rFonts w:hint="default"/>
        </w:rPr>
        <w:t>astň</w:t>
      </w:r>
      <w:r w:rsidRPr="001D7C88">
        <w:rPr>
          <w:rFonts w:hint="default"/>
        </w:rPr>
        <w:t>uje na ochrane vkladov.“.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 odkazu 8a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8a</w:t>
      </w:r>
      <w:r w:rsidRPr="001D7C88">
        <w:rPr>
          <w:rFonts w:hint="default"/>
        </w:rPr>
        <w:t>) §</w:t>
      </w:r>
      <w:r w:rsidRPr="001D7C88">
        <w:rPr>
          <w:rFonts w:hint="default"/>
        </w:rPr>
        <w:t xml:space="preserve"> 19 ods. 7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483/2001 Z. z. v </w:t>
      </w:r>
      <w:r w:rsidRPr="001D7C88">
        <w:rPr>
          <w:rFonts w:hint="default"/>
        </w:rPr>
        <w:t>znení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520/2011 Z. z.“.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13. V §</w:t>
      </w:r>
      <w:r w:rsidRPr="001D7C88">
        <w:rPr>
          <w:rFonts w:hint="default"/>
        </w:rPr>
        <w:t xml:space="preserve"> 6 odseky 1 a </w:t>
      </w:r>
      <w:r w:rsidRPr="001D7C88">
        <w:rPr>
          <w:rFonts w:hint="default"/>
        </w:rPr>
        <w:t>2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(1) Výš</w:t>
      </w:r>
      <w:r w:rsidRPr="001D7C88">
        <w:rPr>
          <w:rFonts w:hint="default"/>
        </w:rPr>
        <w:t>ka vstupné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 je 35 000 eur.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 xml:space="preserve">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(2) Výš</w:t>
      </w:r>
      <w:r w:rsidRPr="001D7C88">
        <w:rPr>
          <w:rFonts w:hint="default"/>
        </w:rPr>
        <w:t>ku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</w:t>
      </w:r>
      <w:r w:rsidRPr="001D7C88">
        <w:rPr>
          <w:rFonts w:hint="default"/>
        </w:rPr>
        <w:t>í</w:t>
      </w:r>
      <w:r w:rsidRPr="001D7C88">
        <w:rPr>
          <w:rFonts w:hint="default"/>
        </w:rPr>
        <w:t>spevku za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kalendá</w:t>
      </w:r>
      <w:r w:rsidRPr="001D7C88">
        <w:rPr>
          <w:rFonts w:hint="default"/>
        </w:rPr>
        <w:t>rny rok urč</w:t>
      </w:r>
      <w:r w:rsidRPr="001D7C88">
        <w:rPr>
          <w:rFonts w:hint="default"/>
        </w:rPr>
        <w:t>uje fond pre kaž</w:t>
      </w:r>
      <w:r w:rsidRPr="001D7C88">
        <w:rPr>
          <w:rFonts w:hint="default"/>
        </w:rPr>
        <w:t>dú</w:t>
      </w:r>
      <w:r w:rsidRPr="001D7C88">
        <w:rPr>
          <w:rFonts w:hint="default"/>
        </w:rPr>
        <w:t xml:space="preserve"> banku najneskô</w:t>
      </w:r>
      <w:r w:rsidRPr="001D7C88">
        <w:rPr>
          <w:rFonts w:hint="default"/>
        </w:rPr>
        <w:t>r do 1. aprí</w:t>
      </w:r>
      <w:r w:rsidRPr="001D7C88">
        <w:rPr>
          <w:rFonts w:hint="default"/>
        </w:rPr>
        <w:t>la kalendá</w:t>
      </w:r>
      <w:r w:rsidRPr="001D7C88">
        <w:rPr>
          <w:rFonts w:hint="default"/>
        </w:rPr>
        <w:t>rneho roka, prič</w:t>
      </w:r>
      <w:r w:rsidRPr="001D7C88">
        <w:rPr>
          <w:rFonts w:hint="default"/>
        </w:rPr>
        <w:t>om fond urč</w:t>
      </w:r>
      <w:r w:rsidRPr="001D7C88">
        <w:rPr>
          <w:rFonts w:hint="default"/>
        </w:rPr>
        <w:t>uje roč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spevok pre jednotlivé</w:t>
      </w:r>
      <w:r w:rsidRPr="001D7C88">
        <w:rPr>
          <w:rFonts w:hint="default"/>
        </w:rPr>
        <w:t xml:space="preserve"> banky najmenej vo výš</w:t>
      </w:r>
      <w:r w:rsidRPr="001D7C88">
        <w:rPr>
          <w:rFonts w:hint="default"/>
        </w:rPr>
        <w:t>ke 0,01 % zo sumy krytý</w:t>
      </w:r>
      <w:r w:rsidRPr="001D7C88">
        <w:rPr>
          <w:rFonts w:hint="default"/>
        </w:rPr>
        <w:t>ch vkladov v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nej banke, a to podľ</w:t>
      </w:r>
      <w:r w:rsidRPr="001D7C88">
        <w:rPr>
          <w:rFonts w:hint="default"/>
        </w:rPr>
        <w:t>a priemerné</w:t>
      </w:r>
      <w:r w:rsidRPr="001D7C88">
        <w:rPr>
          <w:rFonts w:hint="default"/>
        </w:rPr>
        <w:t>ho s</w:t>
      </w:r>
      <w:r w:rsidRPr="001D7C88">
        <w:rPr>
          <w:rFonts w:hint="default"/>
        </w:rPr>
        <w:t>t</w:t>
      </w:r>
      <w:r w:rsidRPr="001D7C88">
        <w:rPr>
          <w:rFonts w:hint="default"/>
        </w:rPr>
        <w:t>avu krytý</w:t>
      </w:r>
      <w:r w:rsidRPr="001D7C88">
        <w:rPr>
          <w:rFonts w:hint="default"/>
        </w:rPr>
        <w:t>ch vkladov v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nej banke za kalendá</w:t>
      </w:r>
      <w:r w:rsidRPr="001D7C88">
        <w:rPr>
          <w:rFonts w:hint="default"/>
        </w:rPr>
        <w:t>rny rok, ktorý</w:t>
      </w:r>
      <w:r w:rsidRPr="001D7C88">
        <w:rPr>
          <w:rFonts w:hint="default"/>
        </w:rPr>
        <w:t xml:space="preserve"> o dva roky predchá</w:t>
      </w:r>
      <w:r w:rsidRPr="001D7C88">
        <w:rPr>
          <w:rFonts w:hint="default"/>
        </w:rPr>
        <w:t>dza roku, za ktorý</w:t>
      </w:r>
      <w:r w:rsidRPr="001D7C88">
        <w:rPr>
          <w:rFonts w:hint="default"/>
        </w:rPr>
        <w:t xml:space="preserve"> sa prí</w:t>
      </w:r>
      <w:r w:rsidRPr="001D7C88">
        <w:rPr>
          <w:rFonts w:hint="default"/>
        </w:rPr>
        <w:t>spevky platia, a podľ</w:t>
      </w:r>
      <w:r w:rsidRPr="001D7C88">
        <w:rPr>
          <w:rFonts w:hint="default"/>
        </w:rPr>
        <w:t>a stupň</w:t>
      </w:r>
      <w:r w:rsidRPr="001D7C88">
        <w:rPr>
          <w:rFonts w:hint="default"/>
        </w:rPr>
        <w:t>a rizika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nej banky zistené</w:t>
      </w:r>
      <w:r w:rsidRPr="001D7C88">
        <w:rPr>
          <w:rFonts w:hint="default"/>
        </w:rPr>
        <w:t>ho Ná</w:t>
      </w:r>
      <w:r w:rsidRPr="001D7C88">
        <w:rPr>
          <w:rFonts w:hint="default"/>
        </w:rPr>
        <w:t>rodnou bankou Slovenska za rovnaké</w:t>
      </w:r>
      <w:r w:rsidRPr="001D7C88">
        <w:rPr>
          <w:rFonts w:hint="default"/>
        </w:rPr>
        <w:t xml:space="preserve"> obdobie v sú</w:t>
      </w:r>
      <w:r w:rsidRPr="001D7C88">
        <w:rPr>
          <w:rFonts w:hint="default"/>
        </w:rPr>
        <w:t>lade s odporúč</w:t>
      </w:r>
      <w:r w:rsidRPr="001D7C88">
        <w:rPr>
          <w:rFonts w:hint="default"/>
        </w:rPr>
        <w:t>aní</w:t>
      </w:r>
      <w:r w:rsidRPr="001D7C88">
        <w:rPr>
          <w:rFonts w:hint="default"/>
        </w:rPr>
        <w:t>m Euró</w:t>
      </w:r>
      <w:r w:rsidRPr="001D7C88">
        <w:rPr>
          <w:rFonts w:hint="default"/>
        </w:rPr>
        <w:t>pskeho orgá</w:t>
      </w:r>
      <w:r w:rsidRPr="001D7C88">
        <w:rPr>
          <w:rFonts w:hint="default"/>
        </w:rPr>
        <w:t>n</w:t>
      </w:r>
      <w:r w:rsidRPr="001D7C88">
        <w:rPr>
          <w:rFonts w:hint="default"/>
        </w:rPr>
        <w:t>u</w:t>
      </w:r>
      <w:r w:rsidRPr="001D7C88">
        <w:rPr>
          <w:rFonts w:hint="default"/>
        </w:rPr>
        <w:t xml:space="preserve">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pskeho orgá</w:t>
      </w:r>
      <w:r w:rsidRPr="001D7C88">
        <w:rPr>
          <w:rFonts w:hint="default"/>
        </w:rPr>
        <w:t>nu pre bankovní</w:t>
      </w:r>
      <w:r w:rsidRPr="001D7C88">
        <w:rPr>
          <w:rFonts w:hint="default"/>
        </w:rPr>
        <w:t>ctvo).</w:t>
      </w:r>
      <w:r w:rsidRPr="001D7C88">
        <w:rPr>
          <w:vertAlign w:val="superscript"/>
        </w:rPr>
        <w:t>8b</w:t>
      </w:r>
      <w:r w:rsidRPr="001D7C88">
        <w:rPr>
          <w:rFonts w:hint="default"/>
        </w:rPr>
        <w:t>) Ná</w:t>
      </w:r>
      <w:r w:rsidRPr="001D7C88">
        <w:rPr>
          <w:rFonts w:hint="default"/>
        </w:rPr>
        <w:t>rodná</w:t>
      </w:r>
      <w:r w:rsidRPr="001D7C88">
        <w:rPr>
          <w:rFonts w:hint="default"/>
        </w:rPr>
        <w:t xml:space="preserve"> banka Slovenska do 28. februá</w:t>
      </w:r>
      <w:r w:rsidRPr="001D7C88">
        <w:rPr>
          <w:rFonts w:hint="default"/>
        </w:rPr>
        <w:t>ra kalendá</w:t>
      </w:r>
      <w:r w:rsidRPr="001D7C88">
        <w:rPr>
          <w:rFonts w:hint="default"/>
        </w:rPr>
        <w:t>rneho roka ozná</w:t>
      </w:r>
      <w:r w:rsidRPr="001D7C88">
        <w:rPr>
          <w:rFonts w:hint="default"/>
        </w:rPr>
        <w:t>mi fondu ú</w:t>
      </w:r>
      <w:r w:rsidRPr="001D7C88">
        <w:rPr>
          <w:rFonts w:hint="default"/>
        </w:rPr>
        <w:t>daje o stupni rizika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nej banky. Podrobnosti o vý</w:t>
      </w:r>
      <w:r w:rsidRPr="001D7C88">
        <w:rPr>
          <w:rFonts w:hint="default"/>
        </w:rPr>
        <w:t>poč</w:t>
      </w:r>
      <w:r w:rsidRPr="001D7C88">
        <w:rPr>
          <w:rFonts w:hint="default"/>
        </w:rPr>
        <w:t>te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 a o vý</w:t>
      </w:r>
      <w:r w:rsidRPr="001D7C88">
        <w:rPr>
          <w:rFonts w:hint="default"/>
        </w:rPr>
        <w:t>poč</w:t>
      </w:r>
      <w:r w:rsidRPr="001D7C88">
        <w:rPr>
          <w:rFonts w:hint="default"/>
        </w:rPr>
        <w:t>te priemerné</w:t>
      </w:r>
      <w:r w:rsidRPr="001D7C88">
        <w:rPr>
          <w:rFonts w:hint="default"/>
        </w:rPr>
        <w:t>ho stavu krytý</w:t>
      </w:r>
      <w:r w:rsidRPr="001D7C88">
        <w:rPr>
          <w:rFonts w:hint="default"/>
        </w:rPr>
        <w:t>ch vkladov je oprá</w:t>
      </w:r>
      <w:r w:rsidRPr="001D7C88">
        <w:rPr>
          <w:rFonts w:hint="default"/>
        </w:rPr>
        <w:t>vn</w:t>
      </w:r>
      <w:r w:rsidRPr="001D7C88">
        <w:rPr>
          <w:rFonts w:hint="default"/>
        </w:rPr>
        <w:t>ený</w:t>
      </w:r>
      <w:r w:rsidRPr="001D7C88">
        <w:rPr>
          <w:rFonts w:hint="default"/>
        </w:rPr>
        <w:t xml:space="preserve"> urč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fond, ktorý</w:t>
      </w:r>
      <w:r w:rsidRPr="001D7C88">
        <w:rPr>
          <w:rFonts w:hint="default"/>
        </w:rPr>
        <w:t xml:space="preserve"> ich zverejň</w:t>
      </w:r>
      <w:r w:rsidRPr="001D7C88">
        <w:rPr>
          <w:rFonts w:hint="default"/>
        </w:rPr>
        <w:t>uje na svojom webovom sí</w:t>
      </w:r>
      <w:r w:rsidRPr="001D7C88">
        <w:rPr>
          <w:rFonts w:hint="default"/>
        </w:rPr>
        <w:t>dle</w:t>
      </w:r>
      <w:r w:rsidR="00B419E6">
        <w:t>. F</w:t>
      </w:r>
      <w:r w:rsidRPr="001D7C88">
        <w:rPr>
          <w:rFonts w:hint="default"/>
        </w:rPr>
        <w:t>ond výš</w:t>
      </w:r>
      <w:r w:rsidRPr="001D7C88">
        <w:rPr>
          <w:rFonts w:hint="default"/>
        </w:rPr>
        <w:t>ku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 xml:space="preserve">spevku </w:t>
      </w:r>
      <w:r w:rsidR="00B419E6">
        <w:rPr>
          <w:rFonts w:hint="default"/>
        </w:rPr>
        <w:t>urč</w:t>
      </w:r>
      <w:r w:rsidR="00B419E6">
        <w:rPr>
          <w:rFonts w:hint="default"/>
        </w:rPr>
        <w:t>ené</w:t>
      </w:r>
      <w:r w:rsidR="00B419E6">
        <w:rPr>
          <w:rFonts w:hint="default"/>
        </w:rPr>
        <w:t xml:space="preserve">ho </w:t>
      </w:r>
      <w:r w:rsidRPr="001D7C88">
        <w:t xml:space="preserve">pre banku </w:t>
      </w:r>
      <w:r w:rsidR="00B419E6">
        <w:rPr>
          <w:rFonts w:hint="default"/>
        </w:rPr>
        <w:t>podľ</w:t>
      </w:r>
      <w:r w:rsidR="00B419E6">
        <w:rPr>
          <w:rFonts w:hint="default"/>
        </w:rPr>
        <w:t xml:space="preserve">a prvej vety </w:t>
      </w:r>
      <w:r w:rsidRPr="001D7C88">
        <w:rPr>
          <w:rFonts w:hint="default"/>
        </w:rPr>
        <w:t>pí</w:t>
      </w:r>
      <w:r w:rsidRPr="001D7C88">
        <w:rPr>
          <w:rFonts w:hint="default"/>
        </w:rPr>
        <w:t>somne ozn</w:t>
      </w:r>
      <w:r w:rsidR="00A57ADB">
        <w:t>a</w:t>
      </w:r>
      <w:r w:rsidRPr="001D7C88">
        <w:t>m</w:t>
      </w:r>
      <w:r w:rsidR="00A57ADB">
        <w:t>uje</w:t>
      </w:r>
      <w:r w:rsidRPr="001D7C88">
        <w:rPr>
          <w:rFonts w:hint="default"/>
        </w:rPr>
        <w:t xml:space="preserve"> tejto banke.“.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 odkazu 8b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8b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l. 16 nariadenia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1093/2010 v </w:t>
      </w:r>
      <w:r w:rsidRPr="001D7C88">
        <w:rPr>
          <w:rFonts w:hint="default"/>
        </w:rPr>
        <w:t>platnom znení.“.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14. V §</w:t>
      </w:r>
      <w:r w:rsidRPr="001D7C88">
        <w:rPr>
          <w:rFonts w:hint="default"/>
        </w:rPr>
        <w:t xml:space="preserve"> 6 ods. 3 sa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v rozpä</w:t>
      </w:r>
      <w:r w:rsidRPr="001D7C88">
        <w:rPr>
          <w:rFonts w:hint="default"/>
        </w:rPr>
        <w:t>tí</w:t>
      </w:r>
      <w:r w:rsidRPr="001D7C88">
        <w:rPr>
          <w:rFonts w:hint="default"/>
        </w:rPr>
        <w:t xml:space="preserve"> od 0,1 % do 1,0 % z </w:t>
      </w:r>
      <w:r w:rsidRPr="001D7C88">
        <w:rPr>
          <w:rFonts w:hint="default"/>
        </w:rPr>
        <w:t>hodnoty vkladov“</w:t>
      </w:r>
      <w:r w:rsidRPr="001D7C88">
        <w:rPr>
          <w:rFonts w:hint="default"/>
        </w:rPr>
        <w:t xml:space="preserve"> nahrá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 xml:space="preserve"> slovami „</w:t>
      </w:r>
      <w:r w:rsidRPr="001D7C88">
        <w:rPr>
          <w:rFonts w:hint="default"/>
        </w:rPr>
        <w:t>do 0,5 % z </w:t>
      </w:r>
      <w:r w:rsidRPr="001D7C88">
        <w:rPr>
          <w:rFonts w:hint="default"/>
        </w:rPr>
        <w:t>hodnoty krytý</w:t>
      </w:r>
      <w:r w:rsidRPr="001D7C88">
        <w:rPr>
          <w:rFonts w:hint="default"/>
        </w:rPr>
        <w:t>ch vkladov“</w:t>
      </w:r>
      <w:r w:rsidRPr="001D7C88">
        <w:rPr>
          <w:rFonts w:hint="default"/>
        </w:rPr>
        <w:t>, vypúšť</w:t>
      </w:r>
      <w:r w:rsidRPr="001D7C88">
        <w:rPr>
          <w:rFonts w:hint="default"/>
        </w:rPr>
        <w:t>ajú</w:t>
      </w:r>
      <w:r w:rsidRPr="001D7C88">
        <w:rPr>
          <w:rFonts w:hint="default"/>
        </w:rPr>
        <w:t xml:space="preserve"> sa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chrá</w:t>
      </w:r>
      <w:r w:rsidRPr="001D7C88">
        <w:rPr>
          <w:rFonts w:hint="default"/>
        </w:rPr>
        <w:t>nený</w:t>
      </w:r>
      <w:r w:rsidRPr="001D7C88">
        <w:rPr>
          <w:rFonts w:hint="default"/>
        </w:rPr>
        <w:t>ch tý</w:t>
      </w:r>
      <w:r w:rsidRPr="001D7C88">
        <w:rPr>
          <w:rFonts w:hint="default"/>
        </w:rPr>
        <w:t>mto zá</w:t>
      </w:r>
      <w:r w:rsidRPr="001D7C88">
        <w:rPr>
          <w:rFonts w:hint="default"/>
        </w:rPr>
        <w:t>konom“</w:t>
      </w:r>
      <w:r w:rsidRPr="001D7C88">
        <w:rPr>
          <w:rFonts w:hint="default"/>
        </w:rPr>
        <w:t xml:space="preserve"> a </w:t>
      </w:r>
      <w:r w:rsidRPr="001D7C88">
        <w:rPr>
          <w:rFonts w:hint="default"/>
        </w:rPr>
        <w:t>na konci sa pripá</w:t>
      </w:r>
      <w:r w:rsidRPr="001D7C88">
        <w:rPr>
          <w:rFonts w:hint="default"/>
        </w:rPr>
        <w:t>ja tá</w:t>
      </w:r>
      <w:r w:rsidRPr="001D7C88">
        <w:rPr>
          <w:rFonts w:hint="default"/>
        </w:rPr>
        <w:t>to veta: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Fond môž</w:t>
      </w:r>
      <w:r w:rsidRPr="001D7C88">
        <w:rPr>
          <w:rFonts w:hint="default"/>
        </w:rPr>
        <w:t>e vý</w:t>
      </w:r>
      <w:r w:rsidRPr="001D7C88">
        <w:rPr>
          <w:rFonts w:hint="default"/>
        </w:rPr>
        <w:t>nimoč</w:t>
      </w:r>
      <w:r w:rsidRPr="001D7C88">
        <w:rPr>
          <w:rFonts w:hint="default"/>
        </w:rPr>
        <w:t>n</w:t>
      </w:r>
      <w:r w:rsidR="00D97981">
        <w:t>e</w:t>
      </w:r>
      <w:r w:rsidRPr="001D7C88">
        <w:rPr>
          <w:rFonts w:hint="default"/>
        </w:rPr>
        <w:t xml:space="preserve"> s predchá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>cim sú</w:t>
      </w:r>
      <w:r w:rsidRPr="001D7C88">
        <w:rPr>
          <w:rFonts w:hint="default"/>
        </w:rPr>
        <w:t>hl</w:t>
      </w:r>
      <w:r w:rsidRPr="001D7C88">
        <w:rPr>
          <w:rFonts w:hint="default"/>
        </w:rPr>
        <w:t>asom Ná</w:t>
      </w:r>
      <w:r w:rsidRPr="001D7C88">
        <w:rPr>
          <w:rFonts w:hint="default"/>
        </w:rPr>
        <w:t>rodnej banky Slovenska urč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vyšší</w:t>
      </w:r>
      <w:r w:rsidRPr="001D7C88">
        <w:rPr>
          <w:rFonts w:hint="default"/>
        </w:rPr>
        <w:t xml:space="preserve"> mimoriadny prí</w:t>
      </w:r>
      <w:r w:rsidRPr="001D7C88">
        <w:rPr>
          <w:rFonts w:hint="default"/>
        </w:rPr>
        <w:t>spevok.“.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15. §</w:t>
      </w:r>
      <w:r w:rsidRPr="001D7C88">
        <w:rPr>
          <w:rFonts w:hint="default"/>
        </w:rPr>
        <w:t xml:space="preserve"> 6 sa dopĺň</w:t>
      </w:r>
      <w:r w:rsidRPr="001D7C88">
        <w:rPr>
          <w:rFonts w:hint="default"/>
        </w:rPr>
        <w:t>a odsekmi 4 až</w:t>
      </w:r>
      <w:r w:rsidRPr="001D7C88">
        <w:rPr>
          <w:rFonts w:hint="default"/>
        </w:rPr>
        <w:t xml:space="preserve"> 9, ktoré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(4) Výš</w:t>
      </w:r>
      <w:r w:rsidRPr="001D7C88">
        <w:rPr>
          <w:rFonts w:hint="default"/>
        </w:rPr>
        <w:t>ku prí</w:t>
      </w:r>
      <w:r w:rsidRPr="001D7C88">
        <w:rPr>
          <w:rFonts w:hint="default"/>
        </w:rPr>
        <w:t>spevkov podľ</w:t>
      </w:r>
      <w:r w:rsidRPr="001D7C88">
        <w:rPr>
          <w:rFonts w:hint="default"/>
        </w:rPr>
        <w:t>a odsekov 2 a </w:t>
      </w:r>
      <w:r w:rsidRPr="001D7C88">
        <w:rPr>
          <w:rFonts w:hint="default"/>
        </w:rPr>
        <w:t>3 urč</w:t>
      </w:r>
      <w:r w:rsidRPr="001D7C88">
        <w:rPr>
          <w:rFonts w:hint="default"/>
        </w:rPr>
        <w:t>uje fond tak, aby k </w:t>
      </w:r>
      <w:r w:rsidRPr="001D7C88">
        <w:rPr>
          <w:rFonts w:hint="default"/>
        </w:rPr>
        <w:t>3. jú</w:t>
      </w:r>
      <w:r w:rsidRPr="001D7C88">
        <w:rPr>
          <w:rFonts w:hint="default"/>
        </w:rPr>
        <w:t>lu 2024 suma dostupný</w:t>
      </w:r>
      <w:r w:rsidRPr="001D7C88">
        <w:rPr>
          <w:rFonts w:hint="default"/>
        </w:rPr>
        <w:t>ch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dosiahla minimá</w:t>
      </w:r>
      <w:r w:rsidRPr="001D7C88">
        <w:rPr>
          <w:rFonts w:hint="default"/>
        </w:rPr>
        <w:t xml:space="preserve">lne </w:t>
      </w:r>
      <w:r w:rsidR="00D97981">
        <w:rPr>
          <w:rFonts w:hint="default"/>
        </w:rPr>
        <w:t>cieľ</w:t>
      </w:r>
      <w:r w:rsidR="00D97981">
        <w:rPr>
          <w:rFonts w:hint="default"/>
        </w:rPr>
        <w:t>ovú</w:t>
      </w:r>
      <w:r w:rsidR="00D97981">
        <w:rPr>
          <w:rFonts w:hint="default"/>
        </w:rPr>
        <w:t xml:space="preserve"> ú</w:t>
      </w:r>
      <w:r w:rsidR="00D97981">
        <w:rPr>
          <w:rFonts w:hint="default"/>
        </w:rPr>
        <w:t>roveň</w:t>
      </w:r>
      <w:r w:rsidR="00D97981">
        <w:rPr>
          <w:rFonts w:hint="default"/>
        </w:rPr>
        <w:t xml:space="preserve"> </w:t>
      </w:r>
      <w:r w:rsidRPr="001D7C88">
        <w:t>0,8 % z </w:t>
      </w:r>
      <w:r w:rsidRPr="001D7C88">
        <w:rPr>
          <w:rFonts w:hint="default"/>
        </w:rPr>
        <w:t>hodnoty vš</w:t>
      </w:r>
      <w:r w:rsidRPr="001D7C88">
        <w:rPr>
          <w:rFonts w:hint="default"/>
        </w:rPr>
        <w:t>etký</w:t>
      </w:r>
      <w:r w:rsidRPr="001D7C88">
        <w:rPr>
          <w:rFonts w:hint="default"/>
        </w:rPr>
        <w:t>ch krytý</w:t>
      </w:r>
      <w:r w:rsidRPr="001D7C88">
        <w:rPr>
          <w:rFonts w:hint="default"/>
        </w:rPr>
        <w:t>ch vkladov (ď</w:t>
      </w:r>
      <w:r w:rsidRPr="001D7C88">
        <w:rPr>
          <w:rFonts w:hint="default"/>
        </w:rPr>
        <w:t>alej len „</w:t>
      </w:r>
      <w:r w:rsidRPr="001D7C88">
        <w:rPr>
          <w:rFonts w:hint="default"/>
        </w:rPr>
        <w:t>cieľ</w:t>
      </w:r>
      <w:r w:rsidRPr="001D7C88">
        <w:rPr>
          <w:rFonts w:hint="default"/>
        </w:rPr>
        <w:t>ová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roveň“</w:t>
      </w:r>
      <w:r w:rsidRPr="001D7C88">
        <w:rPr>
          <w:rFonts w:hint="default"/>
        </w:rPr>
        <w:t>). Cieľ</w:t>
      </w:r>
      <w:r w:rsidRPr="001D7C88">
        <w:rPr>
          <w:rFonts w:hint="default"/>
        </w:rPr>
        <w:t>ovú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sumy dostupný</w:t>
      </w:r>
      <w:r w:rsidRPr="001D7C88">
        <w:rPr>
          <w:rFonts w:hint="default"/>
        </w:rPr>
        <w:t>ch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v eurá</w:t>
      </w:r>
      <w:r w:rsidRPr="001D7C88">
        <w:rPr>
          <w:rFonts w:hint="default"/>
        </w:rPr>
        <w:t>ch aktualizuje fond kaž</w:t>
      </w:r>
      <w:r w:rsidRPr="001D7C88">
        <w:rPr>
          <w:rFonts w:hint="default"/>
        </w:rPr>
        <w:t>dý</w:t>
      </w:r>
      <w:r w:rsidRPr="001D7C88">
        <w:rPr>
          <w:rFonts w:hint="default"/>
        </w:rPr>
        <w:t xml:space="preserve"> rok podľ</w:t>
      </w:r>
      <w:r w:rsidRPr="001D7C88">
        <w:rPr>
          <w:rFonts w:hint="default"/>
        </w:rPr>
        <w:t>a výš</w:t>
      </w:r>
      <w:r w:rsidRPr="001D7C88">
        <w:rPr>
          <w:rFonts w:hint="default"/>
        </w:rPr>
        <w:t>ky krytý</w:t>
      </w:r>
      <w:r w:rsidRPr="001D7C88">
        <w:rPr>
          <w:rFonts w:hint="default"/>
        </w:rPr>
        <w:t>ch vkladov v banká</w:t>
      </w:r>
      <w:r w:rsidRPr="001D7C88">
        <w:rPr>
          <w:rFonts w:hint="default"/>
        </w:rPr>
        <w:t>ch z </w:t>
      </w:r>
      <w:r w:rsidRPr="001D7C88">
        <w:rPr>
          <w:rFonts w:hint="default"/>
        </w:rPr>
        <w:t>ú</w:t>
      </w:r>
      <w:r w:rsidRPr="001D7C88">
        <w:rPr>
          <w:rFonts w:hint="default"/>
        </w:rPr>
        <w:t>dajov ku koncu roka za predchá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>ci kale</w:t>
      </w:r>
      <w:r w:rsidRPr="001D7C88">
        <w:rPr>
          <w:rFonts w:hint="default"/>
        </w:rPr>
        <w:t>ndá</w:t>
      </w:r>
      <w:r w:rsidRPr="001D7C88">
        <w:rPr>
          <w:rFonts w:hint="default"/>
        </w:rPr>
        <w:t>rny rok. Ak suma dostupný</w:t>
      </w:r>
      <w:r w:rsidRPr="001D7C88">
        <w:rPr>
          <w:rFonts w:hint="default"/>
        </w:rPr>
        <w:t>ch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klesne pod cieľ</w:t>
      </w:r>
      <w:r w:rsidRPr="001D7C88">
        <w:rPr>
          <w:rFonts w:hint="default"/>
        </w:rPr>
        <w:t>ovú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>, fond určí</w:t>
      </w:r>
      <w:r w:rsidRPr="001D7C88">
        <w:rPr>
          <w:rFonts w:hint="default"/>
        </w:rPr>
        <w:t xml:space="preserve"> takú</w:t>
      </w:r>
      <w:r w:rsidRPr="001D7C88">
        <w:rPr>
          <w:rFonts w:hint="default"/>
        </w:rPr>
        <w:t xml:space="preserve"> výš</w:t>
      </w:r>
      <w:r w:rsidRPr="001D7C88">
        <w:rPr>
          <w:rFonts w:hint="default"/>
        </w:rPr>
        <w:t>ku prí</w:t>
      </w:r>
      <w:r w:rsidRPr="001D7C88">
        <w:rPr>
          <w:rFonts w:hint="default"/>
        </w:rPr>
        <w:t>spevkov, ktorá</w:t>
      </w:r>
      <w:r w:rsidRPr="001D7C88">
        <w:rPr>
          <w:rFonts w:hint="default"/>
        </w:rPr>
        <w:t xml:space="preserve"> zabezpečí</w:t>
      </w:r>
      <w:r w:rsidRPr="001D7C88">
        <w:rPr>
          <w:rFonts w:hint="default"/>
        </w:rPr>
        <w:t xml:space="preserve"> opä</w:t>
      </w:r>
      <w:r w:rsidRPr="001D7C88">
        <w:rPr>
          <w:rFonts w:hint="default"/>
        </w:rPr>
        <w:t>tovné</w:t>
      </w:r>
      <w:r w:rsidRPr="001D7C88">
        <w:rPr>
          <w:rFonts w:hint="default"/>
        </w:rPr>
        <w:t xml:space="preserve"> dosiahnutie cieľ</w:t>
      </w:r>
      <w:r w:rsidRPr="001D7C88">
        <w:rPr>
          <w:rFonts w:hint="default"/>
        </w:rPr>
        <w:t>ovej ú</w:t>
      </w:r>
      <w:r w:rsidRPr="001D7C88">
        <w:rPr>
          <w:rFonts w:hint="default"/>
        </w:rPr>
        <w:t>rovne. Ak sa suma dostupný</w:t>
      </w:r>
      <w:r w:rsidRPr="001D7C88">
        <w:rPr>
          <w:rFonts w:hint="default"/>
        </w:rPr>
        <w:t>ch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po prvom dosiahnutí</w:t>
      </w:r>
      <w:r w:rsidRPr="001D7C88">
        <w:rPr>
          <w:rFonts w:hint="default"/>
        </w:rPr>
        <w:t xml:space="preserve"> cieľ</w:t>
      </w:r>
      <w:r w:rsidRPr="001D7C88">
        <w:rPr>
          <w:rFonts w:hint="default"/>
        </w:rPr>
        <w:t>ovej ú</w:t>
      </w:r>
      <w:r w:rsidRPr="001D7C88">
        <w:rPr>
          <w:rFonts w:hint="default"/>
        </w:rPr>
        <w:t>rovne zníž</w:t>
      </w:r>
      <w:r w:rsidRPr="001D7C88">
        <w:rPr>
          <w:rFonts w:hint="default"/>
        </w:rPr>
        <w:t>i</w:t>
      </w:r>
      <w:r w:rsidRPr="001D7C88">
        <w:rPr>
          <w:rFonts w:hint="default"/>
        </w:rPr>
        <w:t xml:space="preserve"> na menej ako dve tretiny cieľ</w:t>
      </w:r>
      <w:r w:rsidRPr="001D7C88">
        <w:rPr>
          <w:rFonts w:hint="default"/>
        </w:rPr>
        <w:t>ovej ú</w:t>
      </w:r>
      <w:r w:rsidRPr="001D7C88">
        <w:rPr>
          <w:rFonts w:hint="default"/>
        </w:rPr>
        <w:t>rovne, výš</w:t>
      </w:r>
      <w:r w:rsidRPr="001D7C88">
        <w:rPr>
          <w:rFonts w:hint="default"/>
        </w:rPr>
        <w:t>ku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 podľ</w:t>
      </w:r>
      <w:r w:rsidRPr="001D7C88">
        <w:rPr>
          <w:rFonts w:hint="default"/>
        </w:rPr>
        <w:t>a odseku 2 určí</w:t>
      </w:r>
      <w:r w:rsidRPr="001D7C88">
        <w:rPr>
          <w:rFonts w:hint="default"/>
        </w:rPr>
        <w:t xml:space="preserve"> fond tak, aby bola cieľ</w:t>
      </w:r>
      <w:r w:rsidRPr="001D7C88">
        <w:rPr>
          <w:rFonts w:hint="default"/>
        </w:rPr>
        <w:t>ová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dosiahnutá</w:t>
      </w:r>
      <w:r w:rsidRPr="001D7C88">
        <w:rPr>
          <w:rFonts w:hint="default"/>
        </w:rPr>
        <w:t xml:space="preserve"> do š</w:t>
      </w:r>
      <w:r w:rsidRPr="001D7C88">
        <w:rPr>
          <w:rFonts w:hint="default"/>
        </w:rPr>
        <w:t>iestich rokov od tohto zníž</w:t>
      </w:r>
      <w:r w:rsidRPr="001D7C88">
        <w:rPr>
          <w:rFonts w:hint="default"/>
        </w:rPr>
        <w:t>enia.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(5) Fond pri urč</w:t>
      </w:r>
      <w:r w:rsidRPr="001D7C88">
        <w:rPr>
          <w:rFonts w:hint="default"/>
        </w:rPr>
        <w:t>ovaní</w:t>
      </w:r>
      <w:r w:rsidRPr="001D7C88">
        <w:rPr>
          <w:rFonts w:hint="default"/>
        </w:rPr>
        <w:t xml:space="preserve"> výš</w:t>
      </w:r>
      <w:r w:rsidRPr="001D7C88">
        <w:rPr>
          <w:rFonts w:hint="default"/>
        </w:rPr>
        <w:t>ky roč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prí</w:t>
      </w:r>
      <w:r w:rsidRPr="001D7C88">
        <w:rPr>
          <w:rFonts w:hint="default"/>
        </w:rPr>
        <w:t>spevkov zohľ</w:t>
      </w:r>
      <w:r w:rsidRPr="001D7C88">
        <w:rPr>
          <w:rFonts w:hint="default"/>
        </w:rPr>
        <w:t>adň</w:t>
      </w:r>
      <w:r w:rsidRPr="001D7C88">
        <w:rPr>
          <w:rFonts w:hint="default"/>
        </w:rPr>
        <w:t>uje výš</w:t>
      </w:r>
      <w:r w:rsidRPr="001D7C88">
        <w:rPr>
          <w:rFonts w:hint="default"/>
        </w:rPr>
        <w:t>ku zá</w:t>
      </w:r>
      <w:r w:rsidRPr="001D7C88">
        <w:rPr>
          <w:rFonts w:hint="default"/>
        </w:rPr>
        <w:t>vä</w:t>
      </w:r>
      <w:r w:rsidRPr="001D7C88">
        <w:rPr>
          <w:rFonts w:hint="default"/>
        </w:rPr>
        <w:t>zkov fondu. Fond z</w:t>
      </w:r>
      <w:r w:rsidRPr="001D7C88">
        <w:rPr>
          <w:rFonts w:hint="default"/>
        </w:rPr>
        <w:t>á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zohľ</w:t>
      </w:r>
      <w:r w:rsidRPr="001D7C88">
        <w:rPr>
          <w:rFonts w:hint="default"/>
        </w:rPr>
        <w:t>adň</w:t>
      </w:r>
      <w:r w:rsidRPr="001D7C88">
        <w:rPr>
          <w:rFonts w:hint="default"/>
        </w:rPr>
        <w:t>uje stabilitu bankové</w:t>
      </w:r>
      <w:r w:rsidRPr="001D7C88">
        <w:rPr>
          <w:rFonts w:hint="default"/>
        </w:rPr>
        <w:t>ho sektora, fá</w:t>
      </w:r>
      <w:r w:rsidRPr="001D7C88">
        <w:rPr>
          <w:rFonts w:hint="default"/>
        </w:rPr>
        <w:t>zu hospodá</w:t>
      </w:r>
      <w:r w:rsidRPr="001D7C88">
        <w:rPr>
          <w:rFonts w:hint="default"/>
        </w:rPr>
        <w:t>rskeho cyklu a vplyvy urč</w:t>
      </w:r>
      <w:r w:rsidRPr="001D7C88">
        <w:rPr>
          <w:rFonts w:hint="default"/>
        </w:rPr>
        <w:t>ovaný</w:t>
      </w:r>
      <w:r w:rsidRPr="001D7C88">
        <w:rPr>
          <w:rFonts w:hint="default"/>
        </w:rPr>
        <w:t>ch prí</w:t>
      </w:r>
      <w:r w:rsidRPr="001D7C88">
        <w:rPr>
          <w:rFonts w:hint="default"/>
        </w:rPr>
        <w:t>spevkov na stabilitu bankové</w:t>
      </w:r>
      <w:r w:rsidRPr="001D7C88">
        <w:rPr>
          <w:rFonts w:hint="default"/>
        </w:rPr>
        <w:t>ho sektora Slovenskej republiky, a to na zá</w:t>
      </w:r>
      <w:r w:rsidRPr="001D7C88">
        <w:rPr>
          <w:rFonts w:hint="default"/>
        </w:rPr>
        <w:t>klade ú</w:t>
      </w:r>
      <w:r w:rsidRPr="001D7C88">
        <w:rPr>
          <w:rFonts w:hint="default"/>
        </w:rPr>
        <w:t>dajov zistený</w:t>
      </w:r>
      <w:r w:rsidRPr="001D7C88">
        <w:rPr>
          <w:rFonts w:hint="default"/>
        </w:rPr>
        <w:t>ch Ná</w:t>
      </w:r>
      <w:r w:rsidRPr="001D7C88">
        <w:rPr>
          <w:rFonts w:hint="default"/>
        </w:rPr>
        <w:t>rodnou bankou Slovenska, ktoré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>rodná</w:t>
      </w:r>
      <w:r w:rsidRPr="001D7C88">
        <w:rPr>
          <w:rFonts w:hint="default"/>
        </w:rPr>
        <w:t xml:space="preserve"> banka Slovenska poskytne </w:t>
      </w:r>
      <w:r w:rsidRPr="001D7C88">
        <w:rPr>
          <w:rFonts w:hint="default"/>
        </w:rPr>
        <w:t>f</w:t>
      </w:r>
      <w:r w:rsidRPr="001D7C88">
        <w:rPr>
          <w:rFonts w:hint="default"/>
        </w:rPr>
        <w:t>ondu do 28. februá</w:t>
      </w:r>
      <w:r w:rsidRPr="001D7C88">
        <w:rPr>
          <w:rFonts w:hint="default"/>
        </w:rPr>
        <w:t>ra kalendá</w:t>
      </w:r>
      <w:r w:rsidRPr="001D7C88">
        <w:rPr>
          <w:rFonts w:hint="default"/>
        </w:rPr>
        <w:t>rneho roka.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(6) Suma dostupný</w:t>
      </w:r>
      <w:r w:rsidRPr="001D7C88">
        <w:rPr>
          <w:rFonts w:hint="default"/>
        </w:rPr>
        <w:t>ch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môž</w:t>
      </w:r>
      <w:r w:rsidRPr="001D7C88">
        <w:rPr>
          <w:rFonts w:hint="default"/>
        </w:rPr>
        <w:t>e zahŕň</w:t>
      </w:r>
      <w:r w:rsidRPr="001D7C88">
        <w:rPr>
          <w:rFonts w:hint="default"/>
        </w:rPr>
        <w:t>ať</w:t>
      </w:r>
      <w:r w:rsidRPr="001D7C88">
        <w:rPr>
          <w:rFonts w:hint="default"/>
        </w:rPr>
        <w:t xml:space="preserve"> platobné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vä</w:t>
      </w:r>
      <w:r w:rsidRPr="001D7C88">
        <w:rPr>
          <w:rFonts w:hint="default"/>
        </w:rPr>
        <w:t>zky, ktoré</w:t>
      </w:r>
      <w:r w:rsidRPr="001D7C88">
        <w:rPr>
          <w:rFonts w:hint="default"/>
        </w:rPr>
        <w:t xml:space="preserve"> nesmú</w:t>
      </w:r>
      <w:r w:rsidRPr="001D7C88">
        <w:rPr>
          <w:rFonts w:hint="default"/>
        </w:rPr>
        <w:t xml:space="preserve"> presiahnuť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30 % tejto sumy dostupný</w:t>
      </w:r>
      <w:r w:rsidRPr="001D7C88">
        <w:rPr>
          <w:rFonts w:hint="default"/>
        </w:rPr>
        <w:t>ch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(7) Lehotu podľ</w:t>
      </w:r>
      <w:r w:rsidRPr="001D7C88">
        <w:rPr>
          <w:rFonts w:hint="default"/>
        </w:rPr>
        <w:t>a odseku 4 môž</w:t>
      </w:r>
      <w:r w:rsidRPr="001D7C88">
        <w:rPr>
          <w:rFonts w:hint="default"/>
        </w:rPr>
        <w:t>e Rada fondu predĺž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najvia</w:t>
      </w:r>
      <w:r w:rsidRPr="001D7C88">
        <w:rPr>
          <w:rFonts w:hint="default"/>
        </w:rPr>
        <w:t>c o š</w:t>
      </w:r>
      <w:r w:rsidRPr="001D7C88">
        <w:rPr>
          <w:rFonts w:hint="default"/>
        </w:rPr>
        <w:t>tyri roky, ak fond k 3. jú</w:t>
      </w:r>
      <w:r w:rsidRPr="001D7C88">
        <w:rPr>
          <w:rFonts w:hint="default"/>
        </w:rPr>
        <w:t>lu 2024 vyplatil ná</w:t>
      </w:r>
      <w:r w:rsidRPr="001D7C88">
        <w:rPr>
          <w:rFonts w:hint="default"/>
        </w:rPr>
        <w:t>hrady v sú</w:t>
      </w:r>
      <w:r w:rsidRPr="001D7C88">
        <w:rPr>
          <w:rFonts w:hint="default"/>
        </w:rPr>
        <w:t>hrnnej výš</w:t>
      </w:r>
      <w:r w:rsidRPr="001D7C88">
        <w:rPr>
          <w:rFonts w:hint="default"/>
        </w:rPr>
        <w:t>ke prevyš</w:t>
      </w:r>
      <w:r w:rsidRPr="001D7C88">
        <w:rPr>
          <w:rFonts w:hint="default"/>
        </w:rPr>
        <w:t>ujú</w:t>
      </w:r>
      <w:r w:rsidRPr="001D7C88">
        <w:rPr>
          <w:rFonts w:hint="default"/>
        </w:rPr>
        <w:t>cej cieľ</w:t>
      </w:r>
      <w:r w:rsidRPr="001D7C88">
        <w:rPr>
          <w:rFonts w:hint="default"/>
        </w:rPr>
        <w:t>ovú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roveň.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</w:pPr>
      <w:r w:rsidRPr="001D7C88">
        <w:rPr>
          <w:rFonts w:hint="default"/>
        </w:rPr>
        <w:t>(8) Do cieľ</w:t>
      </w:r>
      <w:r w:rsidRPr="001D7C88">
        <w:rPr>
          <w:rFonts w:hint="default"/>
        </w:rPr>
        <w:t>ovej ú</w:t>
      </w:r>
      <w:r w:rsidRPr="001D7C88">
        <w:rPr>
          <w:rFonts w:hint="default"/>
        </w:rPr>
        <w:t>rovne sa nezapočí</w:t>
      </w:r>
      <w:r w:rsidRPr="001D7C88">
        <w:rPr>
          <w:rFonts w:hint="default"/>
        </w:rPr>
        <w:t>tavajú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spevky podľ</w:t>
      </w:r>
      <w:r w:rsidRPr="001D7C88">
        <w:rPr>
          <w:rFonts w:hint="default"/>
        </w:rPr>
        <w:t>a osobitné</w:t>
      </w:r>
      <w:r w:rsidRPr="001D7C88">
        <w:rPr>
          <w:rFonts w:hint="default"/>
        </w:rPr>
        <w:t>ho predpisu.</w:t>
      </w:r>
      <w:r w:rsidRPr="001D7C88">
        <w:rPr>
          <w:vertAlign w:val="superscript"/>
        </w:rPr>
        <w:t>1a</w:t>
      </w:r>
      <w:r w:rsidRPr="001D7C88">
        <w:t>)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(9) Fond pri vý</w:t>
      </w:r>
      <w:r w:rsidRPr="001D7C88">
        <w:rPr>
          <w:rFonts w:hint="default"/>
        </w:rPr>
        <w:t>poč</w:t>
      </w:r>
      <w:r w:rsidRPr="001D7C88">
        <w:rPr>
          <w:rFonts w:hint="default"/>
        </w:rPr>
        <w:t>te výš</w:t>
      </w:r>
      <w:r w:rsidRPr="001D7C88">
        <w:rPr>
          <w:rFonts w:hint="default"/>
        </w:rPr>
        <w:t>ky prí</w:t>
      </w:r>
      <w:r w:rsidRPr="001D7C88">
        <w:rPr>
          <w:rFonts w:hint="default"/>
        </w:rPr>
        <w:t>spevkov môž</w:t>
      </w:r>
      <w:r w:rsidRPr="001D7C88">
        <w:rPr>
          <w:rFonts w:hint="default"/>
        </w:rPr>
        <w:t>e využ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aj vlastné</w:t>
      </w:r>
      <w:r w:rsidRPr="001D7C88">
        <w:rPr>
          <w:rFonts w:hint="default"/>
        </w:rPr>
        <w:t xml:space="preserve"> metó</w:t>
      </w:r>
      <w:r w:rsidRPr="001D7C88">
        <w:rPr>
          <w:rFonts w:hint="default"/>
        </w:rPr>
        <w:t>dy vý</w:t>
      </w:r>
      <w:r w:rsidRPr="001D7C88">
        <w:rPr>
          <w:rFonts w:hint="default"/>
        </w:rPr>
        <w:t>p</w:t>
      </w:r>
      <w:r w:rsidRPr="001D7C88">
        <w:rPr>
          <w:rFonts w:hint="default"/>
        </w:rPr>
        <w:t>oč</w:t>
      </w:r>
      <w:r w:rsidRPr="001D7C88">
        <w:rPr>
          <w:rFonts w:hint="default"/>
        </w:rPr>
        <w:t>tu prí</w:t>
      </w:r>
      <w:r w:rsidRPr="001D7C88">
        <w:rPr>
          <w:rFonts w:hint="default"/>
        </w:rPr>
        <w:t>spevkov po ich predchá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>com schvá</w:t>
      </w:r>
      <w:r w:rsidRPr="001D7C88">
        <w:rPr>
          <w:rFonts w:hint="default"/>
        </w:rPr>
        <w:t>lení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>rodnou bankou Slovenska</w:t>
      </w:r>
      <w:r w:rsidR="001B1FB5">
        <w:rPr>
          <w:rFonts w:hint="default"/>
        </w:rPr>
        <w:t>, ktoré</w:t>
      </w:r>
      <w:r w:rsidRPr="001D7C88">
        <w:rPr>
          <w:rFonts w:hint="default"/>
        </w:rPr>
        <w:t xml:space="preserve"> zohľ</w:t>
      </w:r>
      <w:r w:rsidRPr="001D7C88">
        <w:rPr>
          <w:rFonts w:hint="default"/>
        </w:rPr>
        <w:t>adň</w:t>
      </w:r>
      <w:r w:rsidRPr="001D7C88">
        <w:rPr>
          <w:rFonts w:hint="default"/>
        </w:rPr>
        <w:t>ujú</w:t>
      </w:r>
      <w:r w:rsidRPr="001D7C88">
        <w:rPr>
          <w:rFonts w:hint="default"/>
        </w:rPr>
        <w:t xml:space="preserve"> riziko banky a </w:t>
      </w:r>
      <w:r w:rsidRPr="001D7C88">
        <w:rPr>
          <w:rFonts w:hint="default"/>
        </w:rPr>
        <w:t>môž</w:t>
      </w:r>
      <w:r w:rsidRPr="001D7C88">
        <w:rPr>
          <w:rFonts w:hint="default"/>
        </w:rPr>
        <w:t>u zohľ</w:t>
      </w:r>
      <w:r w:rsidRPr="001D7C88">
        <w:rPr>
          <w:rFonts w:hint="default"/>
        </w:rPr>
        <w:t>adň</w:t>
      </w:r>
      <w:r w:rsidRPr="001D7C88">
        <w:rPr>
          <w:rFonts w:hint="default"/>
        </w:rPr>
        <w:t>ovať</w:t>
      </w:r>
      <w:r w:rsidRPr="001D7C88">
        <w:rPr>
          <w:rFonts w:hint="default"/>
        </w:rPr>
        <w:t xml:space="preserve"> sú</w:t>
      </w:r>
      <w:r w:rsidRPr="001D7C88">
        <w:rPr>
          <w:rFonts w:hint="default"/>
        </w:rPr>
        <w:t>vahové</w:t>
      </w:r>
      <w:r w:rsidRPr="001D7C88">
        <w:rPr>
          <w:rFonts w:hint="default"/>
        </w:rPr>
        <w:t xml:space="preserve"> aktí</w:t>
      </w:r>
      <w:r w:rsidRPr="001D7C88">
        <w:rPr>
          <w:rFonts w:hint="default"/>
        </w:rPr>
        <w:t>va a </w:t>
      </w:r>
      <w:r w:rsidRPr="001D7C88">
        <w:rPr>
          <w:rFonts w:hint="default"/>
        </w:rPr>
        <w:t>rizikové</w:t>
      </w:r>
      <w:r w:rsidRPr="001D7C88">
        <w:rPr>
          <w:rFonts w:hint="default"/>
        </w:rPr>
        <w:t xml:space="preserve"> ukazovatele vrá</w:t>
      </w:r>
      <w:r w:rsidRPr="001D7C88">
        <w:rPr>
          <w:rFonts w:hint="default"/>
        </w:rPr>
        <w:t>tane kapitá</w:t>
      </w:r>
      <w:r w:rsidRPr="001D7C88">
        <w:rPr>
          <w:rFonts w:hint="default"/>
        </w:rPr>
        <w:t>lovej primeranosti, kvality aktí</w:t>
      </w:r>
      <w:r w:rsidRPr="001D7C88">
        <w:rPr>
          <w:rFonts w:hint="default"/>
        </w:rPr>
        <w:t>v a</w:t>
      </w:r>
      <w:r w:rsidR="001B1FB5">
        <w:t> </w:t>
      </w:r>
      <w:r w:rsidRPr="001D7C88">
        <w:t>likvidity</w:t>
      </w:r>
      <w:r w:rsidR="001B1FB5">
        <w:t>;</w:t>
      </w:r>
      <w:r w:rsidRPr="001D7C88">
        <w:t xml:space="preserve"> </w:t>
      </w:r>
      <w:r w:rsidR="004E6DD5">
        <w:rPr>
          <w:rFonts w:hint="default"/>
        </w:rPr>
        <w:t>tý</w:t>
      </w:r>
      <w:r w:rsidR="004E6DD5">
        <w:rPr>
          <w:rFonts w:hint="default"/>
        </w:rPr>
        <w:t>m nie je dotknuté</w:t>
      </w:r>
      <w:r w:rsidR="004E6DD5">
        <w:rPr>
          <w:rFonts w:hint="default"/>
        </w:rPr>
        <w:t xml:space="preserve"> ustanovenie</w:t>
      </w:r>
      <w:r w:rsidR="004E6DD5">
        <w:rPr>
          <w:rFonts w:hint="default"/>
        </w:rPr>
        <w:t xml:space="preserve"> </w:t>
      </w:r>
      <w:r w:rsidRPr="001D7C88">
        <w:t>odsek</w:t>
      </w:r>
      <w:r w:rsidR="004E6DD5">
        <w:t>u</w:t>
      </w:r>
      <w:r w:rsidRPr="001D7C88">
        <w:t xml:space="preserve"> 2. O </w:t>
      </w:r>
      <w:r w:rsidRPr="001D7C88">
        <w:rPr>
          <w:rFonts w:hint="default"/>
        </w:rPr>
        <w:t>tý</w:t>
      </w:r>
      <w:r w:rsidRPr="001D7C88">
        <w:rPr>
          <w:rFonts w:hint="default"/>
        </w:rPr>
        <w:t>chto metó</w:t>
      </w:r>
      <w:r w:rsidRPr="001D7C88">
        <w:rPr>
          <w:rFonts w:hint="default"/>
        </w:rPr>
        <w:t>dach fond informuje 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pre bankovní</w:t>
      </w:r>
      <w:r w:rsidRPr="001D7C88">
        <w:rPr>
          <w:rFonts w:hint="default"/>
        </w:rPr>
        <w:t>ctvo).“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16. V §</w:t>
      </w:r>
      <w:r w:rsidRPr="001D7C88">
        <w:rPr>
          <w:rFonts w:hint="default"/>
        </w:rPr>
        <w:t xml:space="preserve"> 7 odsek 2 znie:</w:t>
      </w: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(2) Roč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spevok je banka povinná</w:t>
      </w:r>
      <w:r w:rsidRPr="001D7C88">
        <w:rPr>
          <w:rFonts w:hint="default"/>
        </w:rPr>
        <w:t xml:space="preserve"> uhradiť</w:t>
      </w:r>
      <w:r w:rsidRPr="001D7C88">
        <w:rPr>
          <w:rFonts w:hint="default"/>
        </w:rPr>
        <w:t xml:space="preserve"> vž</w:t>
      </w:r>
      <w:r w:rsidRPr="001D7C88">
        <w:rPr>
          <w:rFonts w:hint="default"/>
        </w:rPr>
        <w:t>dy najneskô</w:t>
      </w:r>
      <w:r w:rsidRPr="001D7C88">
        <w:rPr>
          <w:rFonts w:hint="default"/>
        </w:rPr>
        <w:t>r do 15. jú</w:t>
      </w:r>
      <w:r w:rsidRPr="001D7C88">
        <w:rPr>
          <w:rFonts w:hint="default"/>
        </w:rPr>
        <w:t>na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kalendá</w:t>
      </w:r>
      <w:r w:rsidRPr="001D7C88">
        <w:rPr>
          <w:rFonts w:hint="default"/>
        </w:rPr>
        <w:t>rneho roka, ak §</w:t>
      </w:r>
      <w:r w:rsidRPr="001D7C88">
        <w:rPr>
          <w:rFonts w:hint="default"/>
        </w:rPr>
        <w:t xml:space="preserve"> 22c ods. 2 pí</w:t>
      </w:r>
      <w:r w:rsidRPr="001D7C88">
        <w:rPr>
          <w:rFonts w:hint="default"/>
        </w:rPr>
        <w:t xml:space="preserve">sm. </w:t>
      </w:r>
      <w:r w:rsidRPr="001D7C88">
        <w:rPr>
          <w:rFonts w:hint="default"/>
        </w:rPr>
        <w:t>c) neustanovuje inú</w:t>
      </w:r>
      <w:r w:rsidRPr="001D7C88">
        <w:rPr>
          <w:rFonts w:hint="default"/>
        </w:rPr>
        <w:t xml:space="preserve"> splatnosť</w:t>
      </w:r>
      <w:r w:rsidRPr="001D7C88">
        <w:rPr>
          <w:rFonts w:hint="default"/>
        </w:rPr>
        <w:t xml:space="preserve">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 alebo jeho č</w:t>
      </w:r>
      <w:r w:rsidRPr="001D7C88">
        <w:rPr>
          <w:rFonts w:hint="default"/>
        </w:rPr>
        <w:t>asti.“.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17. V §</w:t>
      </w:r>
      <w:r w:rsidRPr="001D7C88">
        <w:rPr>
          <w:rFonts w:hint="default"/>
        </w:rPr>
        <w:t xml:space="preserve"> 7 ods. 7 sa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odseku 6“</w:t>
      </w:r>
      <w:r w:rsidRPr="001D7C88">
        <w:rPr>
          <w:rFonts w:hint="default"/>
        </w:rPr>
        <w:t xml:space="preserve"> nahrá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 xml:space="preserve"> slovami „</w:t>
      </w:r>
      <w:r w:rsidRPr="001D7C88">
        <w:rPr>
          <w:rFonts w:hint="default"/>
        </w:rPr>
        <w:t>odsekov 6 a </w:t>
      </w:r>
      <w:r w:rsidRPr="001D7C88">
        <w:rPr>
          <w:rFonts w:hint="default"/>
        </w:rPr>
        <w:t>8 až</w:t>
      </w:r>
      <w:r w:rsidRPr="001D7C88">
        <w:rPr>
          <w:rFonts w:hint="default"/>
        </w:rPr>
        <w:t xml:space="preserve"> 10“.</w:t>
      </w:r>
    </w:p>
    <w:p w:rsidR="005A0FB7" w:rsidRPr="001D7C88">
      <w:pPr>
        <w:bidi w:val="0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18. §</w:t>
      </w:r>
      <w:r w:rsidRPr="001D7C88">
        <w:rPr>
          <w:rFonts w:hint="default"/>
        </w:rPr>
        <w:t xml:space="preserve"> 7 sa dopĺň</w:t>
      </w:r>
      <w:r w:rsidRPr="001D7C88">
        <w:rPr>
          <w:rFonts w:hint="default"/>
        </w:rPr>
        <w:t>a odsekmi 8 až</w:t>
      </w:r>
      <w:r w:rsidRPr="001D7C88">
        <w:rPr>
          <w:rFonts w:hint="default"/>
        </w:rPr>
        <w:t xml:space="preserve"> 10, ktoré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(8) Ak fond zistí</w:t>
      </w:r>
      <w:r w:rsidRPr="001D7C88">
        <w:rPr>
          <w:rFonts w:hint="default"/>
        </w:rPr>
        <w:t>, ž</w:t>
      </w:r>
      <w:r w:rsidRPr="001D7C88">
        <w:rPr>
          <w:rFonts w:hint="default"/>
        </w:rPr>
        <w:t>e si banka neplní</w:t>
      </w:r>
      <w:r w:rsidRPr="001D7C88">
        <w:rPr>
          <w:rFonts w:hint="default"/>
        </w:rPr>
        <w:t xml:space="preserve"> svoje povinnosti pod</w:t>
      </w:r>
      <w:r w:rsidRPr="001D7C88">
        <w:rPr>
          <w:rFonts w:hint="default"/>
        </w:rPr>
        <w:t>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kona, bezodkladne o </w:t>
      </w:r>
      <w:r w:rsidRPr="001D7C88">
        <w:rPr>
          <w:rFonts w:hint="default"/>
        </w:rPr>
        <w:t>tom informuje Ná</w:t>
      </w:r>
      <w:r w:rsidRPr="001D7C88">
        <w:rPr>
          <w:rFonts w:hint="default"/>
        </w:rPr>
        <w:t>rodnú</w:t>
      </w:r>
      <w:r w:rsidRPr="001D7C88">
        <w:rPr>
          <w:rFonts w:hint="default"/>
        </w:rPr>
        <w:t xml:space="preserve"> banku Slovenska. Ná</w:t>
      </w:r>
      <w:r w:rsidRPr="001D7C88">
        <w:rPr>
          <w:rFonts w:hint="default"/>
        </w:rPr>
        <w:t>rodná</w:t>
      </w:r>
      <w:r w:rsidRPr="001D7C88">
        <w:rPr>
          <w:rFonts w:hint="default"/>
        </w:rPr>
        <w:t xml:space="preserve"> banka Slovenska v </w:t>
      </w:r>
      <w:r w:rsidRPr="001D7C88">
        <w:rPr>
          <w:rFonts w:hint="default"/>
        </w:rPr>
        <w:t>spoluprá</w:t>
      </w:r>
      <w:r w:rsidRPr="001D7C88">
        <w:rPr>
          <w:rFonts w:hint="default"/>
        </w:rPr>
        <w:t>ci s </w:t>
      </w:r>
      <w:r w:rsidRPr="001D7C88">
        <w:rPr>
          <w:rFonts w:hint="default"/>
        </w:rPr>
        <w:t>fondom bezodkladne prí</w:t>
      </w:r>
      <w:r w:rsidRPr="001D7C88">
        <w:rPr>
          <w:rFonts w:hint="default"/>
        </w:rPr>
        <w:t>jmu opatrenia vrá</w:t>
      </w:r>
      <w:r w:rsidRPr="001D7C88">
        <w:rPr>
          <w:rFonts w:hint="default"/>
        </w:rPr>
        <w:t>tane sankcií</w:t>
      </w:r>
      <w:r w:rsidRPr="001D7C88">
        <w:rPr>
          <w:rFonts w:hint="default"/>
        </w:rPr>
        <w:t xml:space="preserve"> na zabezpeč</w:t>
      </w:r>
      <w:r w:rsidRPr="001D7C88">
        <w:rPr>
          <w:rFonts w:hint="default"/>
        </w:rPr>
        <w:t>enie splnenia tý</w:t>
      </w:r>
      <w:r w:rsidRPr="001D7C88">
        <w:rPr>
          <w:rFonts w:hint="default"/>
        </w:rPr>
        <w:t>chto povinností</w:t>
      </w:r>
      <w:r w:rsidRPr="001D7C88">
        <w:rPr>
          <w:rFonts w:hint="default"/>
        </w:rPr>
        <w:t xml:space="preserve"> bankou.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 xml:space="preserve">(9) Ak si banka nesplnila svoje povinnosti </w:t>
      </w:r>
      <w:r w:rsidRPr="001D7C88">
        <w:rPr>
          <w:rFonts w:hint="default"/>
        </w:rPr>
        <w:t>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 aj napriek opatreniam prijatý</w:t>
      </w:r>
      <w:r w:rsidRPr="001D7C88">
        <w:rPr>
          <w:rFonts w:hint="default"/>
        </w:rPr>
        <w:t>m podľ</w:t>
      </w:r>
      <w:r w:rsidRPr="001D7C88">
        <w:rPr>
          <w:rFonts w:hint="default"/>
        </w:rPr>
        <w:t>a odseku 8, fond s predchá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>cim sú</w:t>
      </w:r>
      <w:r w:rsidRPr="001D7C88">
        <w:rPr>
          <w:rFonts w:hint="default"/>
        </w:rPr>
        <w:t>hlasom Ná</w:t>
      </w:r>
      <w:r w:rsidRPr="001D7C88">
        <w:rPr>
          <w:rFonts w:hint="default"/>
        </w:rPr>
        <w:t>rodnej banky Slovenska ozná</w:t>
      </w:r>
      <w:r w:rsidRPr="001D7C88">
        <w:rPr>
          <w:rFonts w:hint="default"/>
        </w:rPr>
        <w:t>mi banke zá</w:t>
      </w:r>
      <w:r w:rsidRPr="001D7C88">
        <w:rPr>
          <w:rFonts w:hint="default"/>
        </w:rPr>
        <w:t>mer vylúč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ju zo systé</w:t>
      </w:r>
      <w:r w:rsidRPr="001D7C88">
        <w:rPr>
          <w:rFonts w:hint="default"/>
        </w:rPr>
        <w:t>mu ochrany vkladov najmenej jeden mesiac pred jej vylúč</w:t>
      </w:r>
      <w:r w:rsidRPr="001D7C88">
        <w:rPr>
          <w:rFonts w:hint="default"/>
        </w:rPr>
        <w:t>ení</w:t>
      </w:r>
      <w:r w:rsidRPr="001D7C88">
        <w:rPr>
          <w:rFonts w:hint="default"/>
        </w:rPr>
        <w:t>m. Vklady prijaté</w:t>
      </w:r>
      <w:r w:rsidRPr="001D7C88">
        <w:rPr>
          <w:rFonts w:hint="default"/>
        </w:rPr>
        <w:t xml:space="preserve"> bankou pred uplynu</w:t>
      </w:r>
      <w:r w:rsidRPr="001D7C88">
        <w:rPr>
          <w:rFonts w:hint="default"/>
        </w:rPr>
        <w:t>t</w:t>
      </w:r>
      <w:r w:rsidRPr="001D7C88">
        <w:rPr>
          <w:rFonts w:hint="default"/>
        </w:rPr>
        <w:t>í</w:t>
      </w:r>
      <w:r w:rsidRPr="001D7C88">
        <w:rPr>
          <w:rFonts w:hint="default"/>
        </w:rPr>
        <w:t>m tejto lehoty sú</w:t>
      </w:r>
      <w:r w:rsidRPr="001D7C88">
        <w:rPr>
          <w:rFonts w:hint="default"/>
        </w:rPr>
        <w:t xml:space="preserve"> naď</w:t>
      </w:r>
      <w:r w:rsidRPr="001D7C88">
        <w:rPr>
          <w:rFonts w:hint="default"/>
        </w:rPr>
        <w:t>alej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kona, prič</w:t>
      </w:r>
      <w:r w:rsidRPr="001D7C88">
        <w:rPr>
          <w:rFonts w:hint="default"/>
        </w:rPr>
        <w:t>om banka je za tieto vklady v </w:t>
      </w:r>
      <w:r w:rsidRPr="001D7C88">
        <w:rPr>
          <w:rFonts w:hint="default"/>
        </w:rPr>
        <w:t>rozsahu krytý</w:t>
      </w:r>
      <w:r w:rsidRPr="001D7C88">
        <w:rPr>
          <w:rFonts w:hint="default"/>
        </w:rPr>
        <w:t>ch vkladov naď</w:t>
      </w:r>
      <w:r w:rsidRPr="001D7C88">
        <w:rPr>
          <w:rFonts w:hint="default"/>
        </w:rPr>
        <w:t>alej povinná</w:t>
      </w:r>
      <w:r w:rsidRPr="001D7C88">
        <w:rPr>
          <w:rFonts w:hint="default"/>
        </w:rPr>
        <w:t xml:space="preserve"> platiť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spevky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(10) Ak si banka ani do uplynutia lehoty podľ</w:t>
      </w:r>
      <w:r w:rsidRPr="001D7C88">
        <w:rPr>
          <w:rFonts w:hint="default"/>
        </w:rPr>
        <w:t>a odseku 9 nesplnila svoje povinnosti podľ</w:t>
      </w:r>
      <w:r w:rsidRPr="001D7C88">
        <w:rPr>
          <w:rFonts w:hint="default"/>
        </w:rPr>
        <w:t>a</w:t>
      </w:r>
      <w:r w:rsidRPr="001D7C88">
        <w:rPr>
          <w:rFonts w:hint="default"/>
        </w:rPr>
        <w:t xml:space="preserve"> tohto zá</w:t>
      </w:r>
      <w:r w:rsidRPr="001D7C88">
        <w:rPr>
          <w:rFonts w:hint="default"/>
        </w:rPr>
        <w:t>kona, fond vylúč</w:t>
      </w:r>
      <w:r w:rsidRPr="001D7C88">
        <w:rPr>
          <w:rFonts w:hint="default"/>
        </w:rPr>
        <w:t>i banku zo systé</w:t>
      </w:r>
      <w:r w:rsidRPr="001D7C88">
        <w:rPr>
          <w:rFonts w:hint="default"/>
        </w:rPr>
        <w:t>mu ochrany vkladov. Vylúč</w:t>
      </w:r>
      <w:r w:rsidRPr="001D7C88">
        <w:rPr>
          <w:rFonts w:hint="default"/>
        </w:rPr>
        <w:t>enie banky a dá</w:t>
      </w:r>
      <w:r w:rsidRPr="001D7C88">
        <w:rPr>
          <w:rFonts w:hint="default"/>
        </w:rPr>
        <w:t>tum vylúč</w:t>
      </w:r>
      <w:r w:rsidRPr="001D7C88">
        <w:rPr>
          <w:rFonts w:hint="default"/>
        </w:rPr>
        <w:t>enia banky zo systé</w:t>
      </w:r>
      <w:r w:rsidRPr="001D7C88">
        <w:rPr>
          <w:rFonts w:hint="default"/>
        </w:rPr>
        <w:t>mu ochrany vkladov fond bezodkladne pí</w:t>
      </w:r>
      <w:r w:rsidRPr="001D7C88">
        <w:rPr>
          <w:rFonts w:hint="default"/>
        </w:rPr>
        <w:t>somne ozná</w:t>
      </w:r>
      <w:r w:rsidRPr="001D7C88">
        <w:rPr>
          <w:rFonts w:hint="default"/>
        </w:rPr>
        <w:t>mi banke a Ná</w:t>
      </w:r>
      <w:r w:rsidRPr="001D7C88">
        <w:rPr>
          <w:rFonts w:hint="default"/>
        </w:rPr>
        <w:t>rodnej banke Slovenska. Vklady vedené</w:t>
      </w:r>
      <w:r w:rsidRPr="001D7C88">
        <w:rPr>
          <w:rFonts w:hint="default"/>
        </w:rPr>
        <w:t xml:space="preserve"> bankou k </w:t>
      </w:r>
      <w:r w:rsidRPr="001D7C88">
        <w:rPr>
          <w:rFonts w:hint="default"/>
        </w:rPr>
        <w:t>dá</w:t>
      </w:r>
      <w:r w:rsidRPr="001D7C88">
        <w:rPr>
          <w:rFonts w:hint="default"/>
        </w:rPr>
        <w:t>tumu vylúč</w:t>
      </w:r>
      <w:r w:rsidRPr="001D7C88">
        <w:rPr>
          <w:rFonts w:hint="default"/>
        </w:rPr>
        <w:t>enia banky zo systé</w:t>
      </w:r>
      <w:r w:rsidRPr="001D7C88">
        <w:rPr>
          <w:rFonts w:hint="default"/>
        </w:rPr>
        <w:t>mu ochr</w:t>
      </w:r>
      <w:r w:rsidRPr="001D7C88">
        <w:rPr>
          <w:rFonts w:hint="default"/>
        </w:rPr>
        <w:t>a</w:t>
      </w:r>
      <w:r w:rsidRPr="001D7C88">
        <w:rPr>
          <w:rFonts w:hint="default"/>
        </w:rPr>
        <w:t>ny vkladov sú</w:t>
      </w:r>
      <w:r w:rsidRPr="001D7C88">
        <w:rPr>
          <w:rFonts w:hint="default"/>
        </w:rPr>
        <w:t xml:space="preserve"> naď</w:t>
      </w:r>
      <w:r w:rsidRPr="001D7C88">
        <w:rPr>
          <w:rFonts w:hint="default"/>
        </w:rPr>
        <w:t>alej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kona, prič</w:t>
      </w:r>
      <w:r w:rsidRPr="001D7C88">
        <w:rPr>
          <w:rFonts w:hint="default"/>
        </w:rPr>
        <w:t>om banka je za tieto vklady v </w:t>
      </w:r>
      <w:r w:rsidRPr="001D7C88">
        <w:rPr>
          <w:rFonts w:hint="default"/>
        </w:rPr>
        <w:t>rozsahu krytý</w:t>
      </w:r>
      <w:r w:rsidRPr="001D7C88">
        <w:rPr>
          <w:rFonts w:hint="default"/>
        </w:rPr>
        <w:t>ch vkladov naď</w:t>
      </w:r>
      <w:r w:rsidRPr="001D7C88">
        <w:rPr>
          <w:rFonts w:hint="default"/>
        </w:rPr>
        <w:t>alej povinná</w:t>
      </w:r>
      <w:r w:rsidRPr="001D7C88">
        <w:rPr>
          <w:rFonts w:hint="default"/>
        </w:rPr>
        <w:t xml:space="preserve"> platiť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spevky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kona.“.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 xml:space="preserve"> </w:t>
      </w:r>
    </w:p>
    <w:p w:rsidR="00E70D0E">
      <w:pPr>
        <w:bidi w:val="0"/>
        <w:ind w:firstLine="708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19. V §</w:t>
      </w:r>
      <w:r w:rsidRPr="001D7C88">
        <w:rPr>
          <w:rFonts w:hint="default"/>
        </w:rPr>
        <w:t xml:space="preserve"> 9 ods. 1 prvej vete sa na konci bodka nahrá</w:t>
      </w:r>
      <w:r w:rsidRPr="001D7C88">
        <w:rPr>
          <w:rFonts w:hint="default"/>
        </w:rPr>
        <w:t>dza bodkoč</w:t>
      </w:r>
      <w:r w:rsidRPr="001D7C88">
        <w:rPr>
          <w:rFonts w:hint="default"/>
        </w:rPr>
        <w:t>iarkou a pripá</w:t>
      </w:r>
      <w:r w:rsidRPr="001D7C88">
        <w:rPr>
          <w:rFonts w:hint="default"/>
        </w:rPr>
        <w:t>jajú</w:t>
      </w:r>
      <w:r w:rsidRPr="001D7C88">
        <w:rPr>
          <w:rFonts w:hint="default"/>
        </w:rPr>
        <w:t xml:space="preserve"> sa tieto </w:t>
      </w:r>
      <w:r w:rsidRPr="001D7C88">
        <w:rPr>
          <w:rFonts w:hint="default"/>
        </w:rPr>
        <w:t>slová</w:t>
      </w:r>
      <w:r w:rsidRPr="001D7C88">
        <w:rPr>
          <w:rFonts w:hint="default"/>
        </w:rPr>
        <w:t xml:space="preserve">: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ná</w:t>
      </w:r>
      <w:r w:rsidRPr="001D7C88">
        <w:rPr>
          <w:rFonts w:hint="default"/>
        </w:rPr>
        <w:t>hradu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10 ods. 14 môž</w:t>
      </w:r>
      <w:r w:rsidRPr="001D7C88">
        <w:rPr>
          <w:rFonts w:hint="default"/>
        </w:rPr>
        <w:t>e fond vyplatiť</w:t>
      </w:r>
      <w:r w:rsidRPr="001D7C88">
        <w:rPr>
          <w:rFonts w:hint="default"/>
        </w:rPr>
        <w:t xml:space="preserve"> </w:t>
      </w:r>
      <w:r w:rsidR="00D97981">
        <w:t xml:space="preserve">okrem meny euro </w:t>
      </w:r>
      <w:r w:rsidRPr="001D7C88">
        <w:t>aj v</w:t>
      </w:r>
      <w:r w:rsidR="00D97981">
        <w:t> </w:t>
      </w:r>
      <w:r w:rsidR="00D97981">
        <w:rPr>
          <w:rFonts w:hint="default"/>
        </w:rPr>
        <w:t>prí</w:t>
      </w:r>
      <w:r w:rsidR="00D97981">
        <w:rPr>
          <w:rFonts w:hint="default"/>
        </w:rPr>
        <w:t>sluš</w:t>
      </w:r>
      <w:r w:rsidR="00D97981">
        <w:rPr>
          <w:rFonts w:hint="default"/>
        </w:rPr>
        <w:t xml:space="preserve">nej </w:t>
      </w:r>
      <w:r w:rsidRPr="001D7C88">
        <w:rPr>
          <w:rFonts w:hint="default"/>
        </w:rPr>
        <w:t>mene iné</w:t>
      </w:r>
      <w:r w:rsidRPr="001D7C88">
        <w:rPr>
          <w:rFonts w:hint="default"/>
        </w:rPr>
        <w:t>ho č</w:t>
      </w:r>
      <w:r w:rsidRPr="001D7C88">
        <w:rPr>
          <w:rFonts w:hint="default"/>
        </w:rPr>
        <w:t>lenské</w:t>
      </w:r>
      <w:r w:rsidRPr="001D7C88">
        <w:rPr>
          <w:rFonts w:hint="default"/>
        </w:rPr>
        <w:t>ho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tu.“.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20. V §</w:t>
      </w:r>
      <w:r w:rsidRPr="001D7C88">
        <w:rPr>
          <w:rFonts w:hint="default"/>
        </w:rPr>
        <w:t xml:space="preserve"> 9 ods. 2 sa na konci bodka nahrá</w:t>
      </w:r>
      <w:r w:rsidRPr="001D7C88">
        <w:rPr>
          <w:rFonts w:hint="default"/>
        </w:rPr>
        <w:t>dza č</w:t>
      </w:r>
      <w:r w:rsidRPr="001D7C88">
        <w:rPr>
          <w:rFonts w:hint="default"/>
        </w:rPr>
        <w:t>iarkou a pripá</w:t>
      </w:r>
      <w:r w:rsidRPr="001D7C88">
        <w:rPr>
          <w:rFonts w:hint="default"/>
        </w:rPr>
        <w:t>jajú</w:t>
      </w:r>
      <w:r w:rsidRPr="001D7C88">
        <w:rPr>
          <w:rFonts w:hint="default"/>
        </w:rPr>
        <w:t xml:space="preserve"> sa tieto slová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ak odsek 6 neustanovuje inak.“.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21. V §</w:t>
      </w:r>
      <w:r w:rsidRPr="001D7C88">
        <w:rPr>
          <w:rFonts w:hint="default"/>
        </w:rPr>
        <w:t xml:space="preserve"> 9 odseky 6 až</w:t>
      </w:r>
      <w:r w:rsidRPr="001D7C88">
        <w:rPr>
          <w:rFonts w:hint="default"/>
        </w:rPr>
        <w:t xml:space="preserve"> 9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(6) Fond poskytuje ná</w:t>
      </w:r>
      <w:r w:rsidRPr="001D7C88">
        <w:rPr>
          <w:rFonts w:hint="default"/>
        </w:rPr>
        <w:t>hradu v plnej výš</w:t>
      </w:r>
      <w:r w:rsidRPr="001D7C88">
        <w:rPr>
          <w:rFonts w:hint="default"/>
        </w:rPr>
        <w:t>ke vkladu nad sumu kryté</w:t>
      </w:r>
      <w:r w:rsidRPr="001D7C88">
        <w:rPr>
          <w:rFonts w:hint="default"/>
        </w:rPr>
        <w:t>ho vkladu podľ</w:t>
      </w:r>
      <w:r w:rsidRPr="001D7C88">
        <w:rPr>
          <w:rFonts w:hint="default"/>
        </w:rPr>
        <w:t>a odseku 2 poč</w:t>
      </w:r>
      <w:r w:rsidRPr="001D7C88">
        <w:rPr>
          <w:rFonts w:hint="default"/>
        </w:rPr>
        <w:t>as obdobia 12 mesiacov od dá</w:t>
      </w:r>
      <w:r w:rsidRPr="001D7C88">
        <w:rPr>
          <w:rFonts w:hint="default"/>
        </w:rPr>
        <w:t>tumu prvé</w:t>
      </w:r>
      <w:r w:rsidRPr="001D7C88">
        <w:rPr>
          <w:rFonts w:hint="default"/>
        </w:rPr>
        <w:t>ho pripí</w:t>
      </w:r>
      <w:r w:rsidRPr="001D7C88">
        <w:rPr>
          <w:rFonts w:hint="default"/>
        </w:rPr>
        <w:t>sania vkladu alebo od okamihu, v </w:t>
      </w:r>
      <w:r w:rsidRPr="001D7C88">
        <w:rPr>
          <w:rFonts w:hint="default"/>
        </w:rPr>
        <w:t>ktorom sa stal vklad prá</w:t>
      </w:r>
      <w:r w:rsidRPr="001D7C88">
        <w:rPr>
          <w:rFonts w:hint="default"/>
        </w:rPr>
        <w:t>vne prevoditeľ</w:t>
      </w:r>
      <w:r w:rsidRPr="001D7C88">
        <w:rPr>
          <w:rFonts w:hint="default"/>
        </w:rPr>
        <w:t>ný</w:t>
      </w:r>
      <w:r w:rsidRPr="001D7C88">
        <w:rPr>
          <w:rFonts w:hint="default"/>
        </w:rPr>
        <w:t>, ak tento vklad preuká</w:t>
      </w:r>
      <w:r w:rsidRPr="001D7C88">
        <w:rPr>
          <w:rFonts w:hint="default"/>
        </w:rPr>
        <w:t>zateľ</w:t>
      </w:r>
      <w:r w:rsidRPr="001D7C88">
        <w:rPr>
          <w:rFonts w:hint="default"/>
        </w:rPr>
        <w:t>ne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a) poc</w:t>
      </w:r>
      <w:r w:rsidRPr="001D7C88">
        <w:rPr>
          <w:rFonts w:hint="default"/>
        </w:rPr>
        <w:t>há</w:t>
      </w:r>
      <w:r w:rsidRPr="001D7C88">
        <w:rPr>
          <w:rFonts w:hint="default"/>
        </w:rPr>
        <w:t>dza z</w:t>
      </w:r>
      <w:r w:rsidR="00692C4E">
        <w:t> </w:t>
      </w:r>
      <w:r w:rsidR="00692C4E">
        <w:t>prevodu alebo prechodu</w:t>
      </w:r>
      <w:r w:rsidRPr="001D7C88">
        <w:rPr>
          <w:rFonts w:hint="default"/>
        </w:rPr>
        <w:t xml:space="preserve"> nehnuteľ</w:t>
      </w:r>
      <w:r w:rsidRPr="001D7C88">
        <w:rPr>
          <w:rFonts w:hint="default"/>
        </w:rPr>
        <w:t>nosti urč</w:t>
      </w:r>
      <w:r w:rsidRPr="001D7C88">
        <w:rPr>
          <w:rFonts w:hint="default"/>
        </w:rPr>
        <w:t>enej na bý</w:t>
      </w:r>
      <w:r w:rsidRPr="001D7C88">
        <w:rPr>
          <w:rFonts w:hint="default"/>
        </w:rPr>
        <w:t>vanie,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b) sú</w:t>
      </w:r>
      <w:r w:rsidRPr="001D7C88">
        <w:rPr>
          <w:rFonts w:hint="default"/>
        </w:rPr>
        <w:t>visí</w:t>
      </w:r>
      <w:r w:rsidRPr="001D7C88">
        <w:rPr>
          <w:rFonts w:hint="default"/>
        </w:rPr>
        <w:t xml:space="preserve"> so sociá</w:t>
      </w:r>
      <w:r w:rsidRPr="001D7C88">
        <w:rPr>
          <w:rFonts w:hint="default"/>
        </w:rPr>
        <w:t>lnymi úč</w:t>
      </w:r>
      <w:r w:rsidRPr="001D7C88">
        <w:rPr>
          <w:rFonts w:hint="default"/>
        </w:rPr>
        <w:t>elmi a </w:t>
      </w:r>
      <w:r w:rsidRPr="001D7C88">
        <w:rPr>
          <w:rFonts w:hint="default"/>
        </w:rPr>
        <w:t>bol nadobudnutý</w:t>
      </w:r>
      <w:r w:rsidRPr="001D7C88">
        <w:rPr>
          <w:rFonts w:hint="default"/>
        </w:rPr>
        <w:t xml:space="preserve"> v </w:t>
      </w:r>
      <w:r w:rsidRPr="001D7C88">
        <w:rPr>
          <w:rFonts w:hint="default"/>
        </w:rPr>
        <w:t>rá</w:t>
      </w:r>
      <w:r w:rsidRPr="001D7C88">
        <w:rPr>
          <w:rFonts w:hint="default"/>
        </w:rPr>
        <w:t>mci dedič</w:t>
      </w:r>
      <w:r w:rsidRPr="001D7C88">
        <w:rPr>
          <w:rFonts w:hint="default"/>
        </w:rPr>
        <w:t>ské</w:t>
      </w:r>
      <w:r w:rsidRPr="001D7C88">
        <w:rPr>
          <w:rFonts w:hint="default"/>
        </w:rPr>
        <w:t>ho konania alebo bol zriadený</w:t>
      </w:r>
      <w:r w:rsidRPr="001D7C88">
        <w:rPr>
          <w:rFonts w:hint="default"/>
        </w:rPr>
        <w:t xml:space="preserve"> z </w:t>
      </w:r>
      <w:r w:rsidRPr="001D7C88">
        <w:rPr>
          <w:rFonts w:hint="default"/>
        </w:rPr>
        <w:t>peň</w:t>
      </w:r>
      <w:r w:rsidRPr="001D7C88">
        <w:rPr>
          <w:rFonts w:hint="default"/>
        </w:rPr>
        <w:t>až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zí</w:t>
      </w:r>
      <w:r w:rsidRPr="001D7C88">
        <w:rPr>
          <w:rFonts w:hint="default"/>
        </w:rPr>
        <w:t>skaný</w:t>
      </w:r>
      <w:r w:rsidRPr="001D7C88">
        <w:rPr>
          <w:rFonts w:hint="default"/>
        </w:rPr>
        <w:t>ch v </w:t>
      </w:r>
      <w:r w:rsidRPr="001D7C88">
        <w:rPr>
          <w:rFonts w:hint="default"/>
        </w:rPr>
        <w:t>rá</w:t>
      </w:r>
      <w:r w:rsidRPr="001D7C88">
        <w:rPr>
          <w:rFonts w:hint="default"/>
        </w:rPr>
        <w:t>mci dedič</w:t>
      </w:r>
      <w:r w:rsidRPr="001D7C88">
        <w:rPr>
          <w:rFonts w:hint="default"/>
        </w:rPr>
        <w:t>ské</w:t>
      </w:r>
      <w:r w:rsidRPr="001D7C88">
        <w:rPr>
          <w:rFonts w:hint="default"/>
        </w:rPr>
        <w:t>ho konania alebo z prevodu dedič</w:t>
      </w:r>
      <w:r w:rsidRPr="001D7C88">
        <w:rPr>
          <w:rFonts w:hint="default"/>
        </w:rPr>
        <w:t>stva, z prevo</w:t>
      </w:r>
      <w:r w:rsidRPr="001D7C88">
        <w:rPr>
          <w:rFonts w:hint="default"/>
        </w:rPr>
        <w:t>du vena, z darovania pri uzavretí</w:t>
      </w:r>
      <w:r w:rsidRPr="001D7C88">
        <w:rPr>
          <w:rFonts w:hint="default"/>
        </w:rPr>
        <w:t xml:space="preserve"> manž</w:t>
      </w:r>
      <w:r w:rsidRPr="001D7C88">
        <w:rPr>
          <w:rFonts w:hint="default"/>
        </w:rPr>
        <w:t>elstva, z odplatné</w:t>
      </w:r>
      <w:r w:rsidRPr="001D7C88">
        <w:rPr>
          <w:rFonts w:hint="default"/>
        </w:rPr>
        <w:t>ho prevodu z bezpodielové</w:t>
      </w:r>
      <w:r w:rsidRPr="001D7C88">
        <w:rPr>
          <w:rFonts w:hint="default"/>
        </w:rPr>
        <w:t>ho spoluvlastní</w:t>
      </w:r>
      <w:r w:rsidRPr="001D7C88">
        <w:rPr>
          <w:rFonts w:hint="default"/>
        </w:rPr>
        <w:t>ctva manž</w:t>
      </w:r>
      <w:r w:rsidRPr="001D7C88">
        <w:rPr>
          <w:rFonts w:hint="default"/>
        </w:rPr>
        <w:t>elov, z vyplatenia odstupné</w:t>
      </w:r>
      <w:r w:rsidRPr="001D7C88">
        <w:rPr>
          <w:rFonts w:hint="default"/>
        </w:rPr>
        <w:t>ho, odchodné</w:t>
      </w:r>
      <w:r w:rsidRPr="001D7C88">
        <w:rPr>
          <w:rFonts w:hint="default"/>
        </w:rPr>
        <w:t>ho, starobné</w:t>
      </w:r>
      <w:r w:rsidRPr="001D7C88">
        <w:rPr>
          <w:rFonts w:hint="default"/>
        </w:rPr>
        <w:t>ho dô</w:t>
      </w:r>
      <w:r w:rsidRPr="001D7C88">
        <w:rPr>
          <w:rFonts w:hint="default"/>
        </w:rPr>
        <w:t>chodku alebo iné</w:t>
      </w:r>
      <w:r w:rsidRPr="001D7C88">
        <w:rPr>
          <w:rFonts w:hint="default"/>
        </w:rPr>
        <w:t>ho dô</w:t>
      </w:r>
      <w:r w:rsidRPr="001D7C88">
        <w:rPr>
          <w:rFonts w:hint="default"/>
        </w:rPr>
        <w:t>chodku, z </w:t>
      </w:r>
      <w:r w:rsidRPr="001D7C88">
        <w:rPr>
          <w:rFonts w:hint="default"/>
        </w:rPr>
        <w:t>vyplatenia iné</w:t>
      </w:r>
      <w:r w:rsidRPr="001D7C88">
        <w:rPr>
          <w:rFonts w:hint="default"/>
        </w:rPr>
        <w:t>ho plnenia podľ</w:t>
      </w:r>
      <w:r w:rsidRPr="001D7C88">
        <w:rPr>
          <w:rFonts w:hint="default"/>
        </w:rPr>
        <w:t>a osobitné</w:t>
      </w:r>
      <w:r w:rsidRPr="001D7C88">
        <w:rPr>
          <w:rFonts w:hint="default"/>
        </w:rPr>
        <w:t>ho predpisu</w:t>
      </w:r>
      <w:r w:rsidRPr="001D7C88">
        <w:rPr>
          <w:vertAlign w:val="superscript"/>
        </w:rPr>
        <w:t>14a</w:t>
      </w:r>
      <w:r w:rsidRPr="001D7C88">
        <w:t>) alebo v d</w:t>
      </w:r>
      <w:r w:rsidRPr="001D7C88">
        <w:rPr>
          <w:rFonts w:hint="default"/>
        </w:rPr>
        <w:t>ô</w:t>
      </w:r>
      <w:r w:rsidRPr="001D7C88">
        <w:rPr>
          <w:rFonts w:hint="default"/>
        </w:rPr>
        <w:t>sledku ú</w:t>
      </w:r>
      <w:r w:rsidRPr="001D7C88">
        <w:rPr>
          <w:rFonts w:hint="default"/>
        </w:rPr>
        <w:t>mrtia,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c) bol zriadený</w:t>
      </w:r>
      <w:r w:rsidRPr="001D7C88">
        <w:rPr>
          <w:rFonts w:hint="default"/>
        </w:rPr>
        <w:t xml:space="preserve"> z </w:t>
      </w:r>
      <w:r w:rsidRPr="001D7C88">
        <w:rPr>
          <w:rFonts w:hint="default"/>
        </w:rPr>
        <w:t>peň</w:t>
      </w:r>
      <w:r w:rsidRPr="001D7C88">
        <w:rPr>
          <w:rFonts w:hint="default"/>
        </w:rPr>
        <w:t>až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z poistné</w:t>
      </w:r>
      <w:r w:rsidRPr="001D7C88">
        <w:rPr>
          <w:rFonts w:hint="default"/>
        </w:rPr>
        <w:t>ho plnenia alebo z ná</w:t>
      </w:r>
      <w:r w:rsidRPr="001D7C88">
        <w:rPr>
          <w:rFonts w:hint="default"/>
        </w:rPr>
        <w:t>hrady š</w:t>
      </w:r>
      <w:r w:rsidRPr="001D7C88">
        <w:rPr>
          <w:rFonts w:hint="default"/>
        </w:rPr>
        <w:t>kody spô</w:t>
      </w:r>
      <w:r w:rsidRPr="001D7C88">
        <w:rPr>
          <w:rFonts w:hint="default"/>
        </w:rPr>
        <w:t>sobenej trestný</w:t>
      </w:r>
      <w:r w:rsidRPr="001D7C88">
        <w:rPr>
          <w:rFonts w:hint="default"/>
        </w:rPr>
        <w:t>m č</w:t>
      </w:r>
      <w:r w:rsidRPr="001D7C88">
        <w:rPr>
          <w:rFonts w:hint="default"/>
        </w:rPr>
        <w:t>inom alebo krivý</w:t>
      </w:r>
      <w:r w:rsidRPr="001D7C88">
        <w:rPr>
          <w:rFonts w:hint="default"/>
        </w:rPr>
        <w:t>m obvinení</w:t>
      </w:r>
      <w:r w:rsidRPr="001D7C88">
        <w:rPr>
          <w:rFonts w:hint="default"/>
        </w:rPr>
        <w:t>m.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(7) Skutoč</w:t>
      </w:r>
      <w:r w:rsidRPr="001D7C88">
        <w:rPr>
          <w:rFonts w:hint="default"/>
        </w:rPr>
        <w:t>nosti podľ</w:t>
      </w:r>
      <w:r w:rsidRPr="001D7C88">
        <w:rPr>
          <w:rFonts w:hint="default"/>
        </w:rPr>
        <w:t>a odseku 6 vkladateľ</w:t>
      </w:r>
      <w:r w:rsidRPr="001D7C88">
        <w:rPr>
          <w:rFonts w:hint="default"/>
        </w:rPr>
        <w:t xml:space="preserve"> ozná</w:t>
      </w:r>
      <w:r w:rsidRPr="001D7C88">
        <w:rPr>
          <w:rFonts w:hint="default"/>
        </w:rPr>
        <w:t>mi banke pri pripí</w:t>
      </w:r>
      <w:r w:rsidRPr="001D7C88">
        <w:rPr>
          <w:rFonts w:hint="default"/>
        </w:rPr>
        <w:t>saní</w:t>
      </w:r>
      <w:r w:rsidRPr="001D7C88">
        <w:rPr>
          <w:rFonts w:hint="default"/>
        </w:rPr>
        <w:t xml:space="preserve"> alebo bezodkladne po pripí</w:t>
      </w:r>
      <w:r w:rsidRPr="001D7C88">
        <w:rPr>
          <w:rFonts w:hint="default"/>
        </w:rPr>
        <w:t>saní</w:t>
      </w:r>
      <w:r w:rsidRPr="001D7C88">
        <w:rPr>
          <w:rFonts w:hint="default"/>
        </w:rPr>
        <w:t xml:space="preserve"> sumy vk</w:t>
      </w:r>
      <w:r w:rsidRPr="001D7C88">
        <w:rPr>
          <w:rFonts w:hint="default"/>
        </w:rPr>
        <w:t>ladu v banke.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(8) Fond môž</w:t>
      </w:r>
      <w:r w:rsidRPr="001D7C88">
        <w:rPr>
          <w:rFonts w:hint="default"/>
        </w:rPr>
        <w:t>e odlož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vyplá</w:t>
      </w:r>
      <w:r w:rsidRPr="001D7C88">
        <w:rPr>
          <w:rFonts w:hint="default"/>
        </w:rPr>
        <w:t>canie ná</w:t>
      </w:r>
      <w:r w:rsidRPr="001D7C88">
        <w:rPr>
          <w:rFonts w:hint="default"/>
        </w:rPr>
        <w:t>hrady, ak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a) nie je isté</w:t>
      </w:r>
      <w:r w:rsidRPr="001D7C88">
        <w:rPr>
          <w:rFonts w:hint="default"/>
        </w:rPr>
        <w:t>, č</w:t>
      </w:r>
      <w:r w:rsidRPr="001D7C88">
        <w:rPr>
          <w:rFonts w:hint="default"/>
        </w:rPr>
        <w:t>i má</w:t>
      </w:r>
      <w:r w:rsidRPr="001D7C88">
        <w:rPr>
          <w:rFonts w:hint="default"/>
        </w:rPr>
        <w:t xml:space="preserve"> osoba ná</w:t>
      </w:r>
      <w:r w:rsidRPr="001D7C88">
        <w:rPr>
          <w:rFonts w:hint="default"/>
        </w:rPr>
        <w:t>rok na ná</w:t>
      </w:r>
      <w:r w:rsidRPr="001D7C88">
        <w:rPr>
          <w:rFonts w:hint="default"/>
        </w:rPr>
        <w:t>hradu alebo je vklad predmetom prá</w:t>
      </w:r>
      <w:r w:rsidRPr="001D7C88">
        <w:rPr>
          <w:rFonts w:hint="default"/>
        </w:rPr>
        <w:t>vneho sporu,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b) sa na vklad vzť</w:t>
      </w:r>
      <w:r w:rsidRPr="001D7C88">
        <w:rPr>
          <w:rFonts w:hint="default"/>
        </w:rPr>
        <w:t>ahujú</w:t>
      </w:r>
      <w:r w:rsidRPr="001D7C88">
        <w:rPr>
          <w:rFonts w:hint="default"/>
        </w:rPr>
        <w:t xml:space="preserve"> reš</w:t>
      </w:r>
      <w:r w:rsidRPr="001D7C88">
        <w:rPr>
          <w:rFonts w:hint="default"/>
        </w:rPr>
        <w:t>triktí</w:t>
      </w:r>
      <w:r w:rsidRPr="001D7C88">
        <w:rPr>
          <w:rFonts w:hint="default"/>
        </w:rPr>
        <w:t>vne opatrenia,</w:t>
      </w:r>
      <w:r w:rsidRPr="001D7C88">
        <w:rPr>
          <w:vertAlign w:val="superscript"/>
        </w:rPr>
        <w:t>15</w:t>
      </w:r>
      <w:r w:rsidRPr="001D7C88">
        <w:t>)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c) sa poč</w:t>
      </w:r>
      <w:r w:rsidRPr="001D7C88">
        <w:rPr>
          <w:rFonts w:hint="default"/>
        </w:rPr>
        <w:t>as 24 mesiacov pred vyhlá</w:t>
      </w:r>
      <w:r w:rsidRPr="001D7C88">
        <w:rPr>
          <w:rFonts w:hint="default"/>
        </w:rPr>
        <w:t>sení</w:t>
      </w:r>
      <w:r w:rsidRPr="001D7C88">
        <w:rPr>
          <w:rFonts w:hint="default"/>
        </w:rPr>
        <w:t>m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8 ods. 3 al</w:t>
      </w:r>
      <w:r w:rsidRPr="001D7C88">
        <w:rPr>
          <w:rFonts w:hint="default"/>
        </w:rPr>
        <w:t>ebo pred rozhodnutí</w:t>
      </w:r>
      <w:r w:rsidRPr="001D7C88">
        <w:rPr>
          <w:rFonts w:hint="default"/>
        </w:rPr>
        <w:t>m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3 ods. 5 pí</w:t>
      </w:r>
      <w:r w:rsidRPr="001D7C88">
        <w:rPr>
          <w:rFonts w:hint="default"/>
        </w:rPr>
        <w:t>sm. b) s </w:t>
      </w:r>
      <w:r w:rsidRPr="001D7C88">
        <w:rPr>
          <w:rFonts w:hint="default"/>
        </w:rPr>
        <w:t>vkladom okrem vkladu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716 až</w:t>
      </w:r>
      <w:r w:rsidRPr="001D7C88">
        <w:rPr>
          <w:rFonts w:hint="default"/>
        </w:rPr>
        <w:t xml:space="preserve"> 719a Obchodné</w:t>
      </w:r>
      <w:r w:rsidRPr="001D7C88">
        <w:rPr>
          <w:rFonts w:hint="default"/>
        </w:rPr>
        <w:t>ho zá</w:t>
      </w:r>
      <w:r w:rsidRPr="001D7C88">
        <w:rPr>
          <w:rFonts w:hint="default"/>
        </w:rPr>
        <w:t>konní</w:t>
      </w:r>
      <w:r w:rsidRPr="001D7C88">
        <w:rPr>
          <w:rFonts w:hint="default"/>
        </w:rPr>
        <w:t>ka nenakladalo, ak odsek 9 neustanovuje inak,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d) ide o ná</w:t>
      </w:r>
      <w:r w:rsidRPr="001D7C88">
        <w:rPr>
          <w:rFonts w:hint="default"/>
        </w:rPr>
        <w:t>hradu podľ</w:t>
      </w:r>
      <w:r w:rsidRPr="001D7C88">
        <w:rPr>
          <w:rFonts w:hint="default"/>
        </w:rPr>
        <w:t>a odseku 6,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e) sa vyplá</w:t>
      </w:r>
      <w:r w:rsidRPr="001D7C88">
        <w:rPr>
          <w:rFonts w:hint="default"/>
        </w:rPr>
        <w:t>canie uskutočň</w:t>
      </w:r>
      <w:r w:rsidRPr="001D7C88">
        <w:rPr>
          <w:rFonts w:hint="default"/>
        </w:rPr>
        <w:t>uje prostrední</w:t>
      </w:r>
      <w:r w:rsidRPr="001D7C88">
        <w:rPr>
          <w:rFonts w:hint="default"/>
        </w:rPr>
        <w:t>ctvom systé</w:t>
      </w:r>
      <w:r w:rsidRPr="001D7C88">
        <w:rPr>
          <w:rFonts w:hint="default"/>
        </w:rPr>
        <w:t xml:space="preserve">mu ochrany vkladov </w:t>
      </w:r>
      <w:r w:rsidRPr="001D7C88">
        <w:rPr>
          <w:rFonts w:hint="default"/>
        </w:rPr>
        <w:t>iné</w:t>
      </w:r>
      <w:r w:rsidRPr="001D7C88">
        <w:rPr>
          <w:rFonts w:hint="default"/>
        </w:rPr>
        <w:t>ho č</w:t>
      </w:r>
      <w:r w:rsidRPr="001D7C88">
        <w:rPr>
          <w:rFonts w:hint="default"/>
        </w:rPr>
        <w:t>lenské</w:t>
      </w:r>
      <w:r w:rsidRPr="001D7C88">
        <w:rPr>
          <w:rFonts w:hint="default"/>
        </w:rPr>
        <w:t>ho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tu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10 ods. 13,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f) je voč</w:t>
      </w:r>
      <w:r w:rsidRPr="001D7C88">
        <w:rPr>
          <w:rFonts w:hint="default"/>
        </w:rPr>
        <w:t>i vkladateľ</w:t>
      </w:r>
      <w:r w:rsidRPr="001D7C88">
        <w:rPr>
          <w:rFonts w:hint="default"/>
        </w:rPr>
        <w:t>ovi alebo inej osobe ná</w:t>
      </w:r>
      <w:r w:rsidRPr="001D7C88">
        <w:rPr>
          <w:rFonts w:hint="default"/>
        </w:rPr>
        <w:t>rokujú</w:t>
      </w:r>
      <w:r w:rsidRPr="001D7C88">
        <w:rPr>
          <w:rFonts w:hint="default"/>
        </w:rPr>
        <w:t>cej si ná</w:t>
      </w:r>
      <w:r w:rsidRPr="001D7C88">
        <w:rPr>
          <w:rFonts w:hint="default"/>
        </w:rPr>
        <w:t>hradu vedené</w:t>
      </w:r>
      <w:r w:rsidRPr="001D7C88">
        <w:rPr>
          <w:rFonts w:hint="default"/>
        </w:rPr>
        <w:t xml:space="preserve"> trestné</w:t>
      </w:r>
      <w:r w:rsidRPr="001D7C88">
        <w:rPr>
          <w:rFonts w:hint="default"/>
        </w:rPr>
        <w:t xml:space="preserve"> konanie v sú</w:t>
      </w:r>
      <w:r w:rsidRPr="001D7C88">
        <w:rPr>
          <w:rFonts w:hint="default"/>
        </w:rPr>
        <w:t>vislosti s legalizá</w:t>
      </w:r>
      <w:r w:rsidRPr="001D7C88">
        <w:rPr>
          <w:rFonts w:hint="default"/>
        </w:rPr>
        <w:t>ciou prí</w:t>
      </w:r>
      <w:r w:rsidRPr="001D7C88">
        <w:rPr>
          <w:rFonts w:hint="default"/>
        </w:rPr>
        <w:t>jmu z trestnej č</w:t>
      </w:r>
      <w:r w:rsidRPr="001D7C88">
        <w:rPr>
          <w:rFonts w:hint="default"/>
        </w:rPr>
        <w:t>innosti, a to až</w:t>
      </w:r>
      <w:r w:rsidRPr="001D7C88">
        <w:rPr>
          <w:rFonts w:hint="default"/>
        </w:rPr>
        <w:t xml:space="preserve"> do rozhodnutia sú</w:t>
      </w:r>
      <w:r w:rsidRPr="001D7C88">
        <w:rPr>
          <w:rFonts w:hint="default"/>
        </w:rPr>
        <w:t>du.</w:t>
      </w:r>
    </w:p>
    <w:p w:rsidR="005A0FB7" w:rsidRPr="001D7C88">
      <w:pPr>
        <w:bidi w:val="0"/>
        <w:ind w:firstLine="708"/>
        <w:jc w:val="both"/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(9) Fond nevyplatí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>hradu za nedostupný</w:t>
      </w:r>
      <w:r w:rsidRPr="001D7C88">
        <w:rPr>
          <w:rFonts w:hint="default"/>
        </w:rPr>
        <w:t xml:space="preserve"> </w:t>
      </w:r>
      <w:r w:rsidRPr="001D7C88">
        <w:rPr>
          <w:rFonts w:hint="default"/>
        </w:rPr>
        <w:t>vklad, ak sa poč</w:t>
      </w:r>
      <w:r w:rsidRPr="001D7C88">
        <w:rPr>
          <w:rFonts w:hint="default"/>
        </w:rPr>
        <w:t>as 24 mesiacov pred vyhlá</w:t>
      </w:r>
      <w:r w:rsidRPr="001D7C88">
        <w:rPr>
          <w:rFonts w:hint="default"/>
        </w:rPr>
        <w:t>sení</w:t>
      </w:r>
      <w:r w:rsidRPr="001D7C88">
        <w:rPr>
          <w:rFonts w:hint="default"/>
        </w:rPr>
        <w:t>m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8 ods. 3 alebo pred rozhodnutí</w:t>
      </w:r>
      <w:r w:rsidRPr="001D7C88">
        <w:rPr>
          <w:rFonts w:hint="default"/>
        </w:rPr>
        <w:t>m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3 ods. 5 pí</w:t>
      </w:r>
      <w:r w:rsidRPr="001D7C88">
        <w:rPr>
          <w:rFonts w:hint="default"/>
        </w:rPr>
        <w:t>sm. b) s </w:t>
      </w:r>
      <w:r w:rsidRPr="001D7C88">
        <w:rPr>
          <w:rFonts w:hint="default"/>
        </w:rPr>
        <w:t>tý</w:t>
      </w:r>
      <w:r w:rsidRPr="001D7C88">
        <w:rPr>
          <w:rFonts w:hint="default"/>
        </w:rPr>
        <w:t>mto vkladom nenakladalo a </w:t>
      </w:r>
      <w:r w:rsidRPr="001D7C88">
        <w:rPr>
          <w:rFonts w:hint="default"/>
        </w:rPr>
        <w:t>výš</w:t>
      </w:r>
      <w:r w:rsidRPr="001D7C88">
        <w:rPr>
          <w:rFonts w:hint="default"/>
        </w:rPr>
        <w:t>ka tejto ná</w:t>
      </w:r>
      <w:r w:rsidRPr="001D7C88">
        <w:rPr>
          <w:rFonts w:hint="default"/>
        </w:rPr>
        <w:t>hrady je nižš</w:t>
      </w:r>
      <w:r w:rsidRPr="001D7C88">
        <w:rPr>
          <w:rFonts w:hint="default"/>
        </w:rPr>
        <w:t>ia ako skutoč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>klady, ktoré</w:t>
      </w:r>
      <w:r w:rsidRPr="001D7C88">
        <w:rPr>
          <w:rFonts w:hint="default"/>
        </w:rPr>
        <w:t xml:space="preserve"> by fondu vznikli v </w:t>
      </w:r>
      <w:r w:rsidRPr="001D7C88">
        <w:rPr>
          <w:rFonts w:hint="default"/>
        </w:rPr>
        <w:t>sú</w:t>
      </w:r>
      <w:r w:rsidRPr="001D7C88">
        <w:rPr>
          <w:rFonts w:hint="default"/>
        </w:rPr>
        <w:t>vislosti s vyplatení</w:t>
      </w:r>
      <w:r w:rsidRPr="001D7C88">
        <w:rPr>
          <w:rFonts w:hint="default"/>
        </w:rPr>
        <w:t>m tejto ná</w:t>
      </w:r>
      <w:r w:rsidRPr="001D7C88">
        <w:rPr>
          <w:rFonts w:hint="default"/>
        </w:rPr>
        <w:t>hra</w:t>
      </w:r>
      <w:r w:rsidRPr="001D7C88">
        <w:rPr>
          <w:rFonts w:hint="default"/>
        </w:rPr>
        <w:t>d</w:t>
      </w:r>
      <w:r w:rsidRPr="001D7C88">
        <w:rPr>
          <w:rFonts w:hint="default"/>
        </w:rPr>
        <w:t>y.“.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</w:t>
      </w:r>
      <w:r w:rsidR="001B1FB5">
        <w:t>y</w:t>
      </w:r>
      <w:r w:rsidRPr="001D7C88">
        <w:rPr>
          <w:rFonts w:hint="default"/>
        </w:rPr>
        <w:t xml:space="preserve"> pod č</w:t>
      </w:r>
      <w:r w:rsidRPr="001D7C88">
        <w:rPr>
          <w:rFonts w:hint="default"/>
        </w:rPr>
        <w:t>iarou k </w:t>
      </w:r>
      <w:r w:rsidRPr="001D7C88">
        <w:rPr>
          <w:rFonts w:hint="default"/>
        </w:rPr>
        <w:t>odkazom 14a a 15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14a</w:t>
      </w:r>
      <w:r w:rsidRPr="001D7C88">
        <w:rPr>
          <w:rFonts w:hint="default"/>
        </w:rPr>
        <w:t>) §</w:t>
      </w:r>
      <w:r w:rsidRPr="001D7C88">
        <w:rPr>
          <w:rFonts w:hint="default"/>
        </w:rPr>
        <w:t xml:space="preserve"> 29 ods. 3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43/2004 Z. z. v znení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 xml:space="preserve">. 183/2014 Z. z.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§</w:t>
      </w:r>
      <w:r w:rsidRPr="001D7C88">
        <w:rPr>
          <w:rFonts w:hint="default"/>
        </w:rPr>
        <w:t xml:space="preserve"> 15 pí</w:t>
      </w:r>
      <w:r w:rsidRPr="001D7C88">
        <w:rPr>
          <w:rFonts w:hint="default"/>
        </w:rPr>
        <w:t>sm. c)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650/2004 Z. z.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15</w:t>
      </w:r>
      <w:r w:rsidRPr="001D7C88">
        <w:rPr>
          <w:rFonts w:hint="default"/>
        </w:rPr>
        <w:t>) Naprí</w:t>
      </w:r>
      <w:r w:rsidRPr="001D7C88">
        <w:rPr>
          <w:rFonts w:hint="default"/>
        </w:rPr>
        <w:t>klad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126/2011 Z. z. o vykoná</w:t>
      </w:r>
      <w:r w:rsidRPr="001D7C88">
        <w:rPr>
          <w:rFonts w:hint="default"/>
        </w:rPr>
        <w:t>vaní</w:t>
      </w:r>
      <w:r w:rsidRPr="001D7C88">
        <w:rPr>
          <w:rFonts w:hint="default"/>
        </w:rPr>
        <w:t xml:space="preserve"> medziná</w:t>
      </w:r>
      <w:r w:rsidRPr="001D7C88">
        <w:rPr>
          <w:rFonts w:hint="default"/>
        </w:rPr>
        <w:t>rodný</w:t>
      </w:r>
      <w:r w:rsidRPr="001D7C88">
        <w:rPr>
          <w:rFonts w:hint="default"/>
        </w:rPr>
        <w:t>ch sankcií</w:t>
      </w:r>
      <w:r w:rsidRPr="001D7C88">
        <w:rPr>
          <w:rFonts w:hint="default"/>
        </w:rPr>
        <w:t xml:space="preserve"> v znení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 xml:space="preserve">kona </w:t>
      </w:r>
      <w:r w:rsidRPr="001D7C88">
        <w:rPr>
          <w:rFonts w:hint="default"/>
        </w:rPr>
        <w:t>č</w:t>
      </w:r>
      <w:r w:rsidRPr="001D7C88">
        <w:rPr>
          <w:rFonts w:hint="default"/>
        </w:rPr>
        <w:t>. 394/2011 Z. z.“.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rPr>
          <w:rFonts w:hint="default"/>
        </w:rPr>
      </w:pPr>
      <w:r w:rsidRPr="001D7C88">
        <w:rPr>
          <w:rFonts w:hint="default"/>
        </w:rPr>
        <w:t>22. V §</w:t>
      </w:r>
      <w:r w:rsidRPr="001D7C88">
        <w:rPr>
          <w:rFonts w:hint="default"/>
        </w:rPr>
        <w:t xml:space="preserve"> 10 ods. 2 prvej vete sa čí</w:t>
      </w:r>
      <w:r w:rsidRPr="001D7C88">
        <w:rPr>
          <w:rFonts w:hint="default"/>
        </w:rPr>
        <w:t>slo „</w:t>
      </w:r>
      <w:r w:rsidRPr="001D7C88">
        <w:rPr>
          <w:rFonts w:hint="default"/>
        </w:rPr>
        <w:t>20“</w:t>
      </w:r>
      <w:r w:rsidRPr="001D7C88">
        <w:rPr>
          <w:rFonts w:hint="default"/>
        </w:rPr>
        <w:t xml:space="preserve"> nahrá</w:t>
      </w:r>
      <w:r w:rsidRPr="001D7C88">
        <w:rPr>
          <w:rFonts w:hint="default"/>
        </w:rPr>
        <w:t>dza slovom „</w:t>
      </w:r>
      <w:r w:rsidRPr="001D7C88">
        <w:rPr>
          <w:rFonts w:hint="default"/>
        </w:rPr>
        <w:t>siedmich“</w:t>
      </w:r>
      <w:r w:rsidRPr="001D7C88">
        <w:rPr>
          <w:rFonts w:hint="default"/>
        </w:rPr>
        <w:t xml:space="preserve"> a </w:t>
      </w:r>
      <w:r w:rsidRPr="001D7C88">
        <w:rPr>
          <w:rFonts w:hint="default"/>
        </w:rPr>
        <w:t>na konci sa bodka nahrá</w:t>
      </w:r>
      <w:r w:rsidRPr="001D7C88">
        <w:rPr>
          <w:rFonts w:hint="default"/>
        </w:rPr>
        <w:t>dza č</w:t>
      </w:r>
      <w:r w:rsidRPr="001D7C88">
        <w:rPr>
          <w:rFonts w:hint="default"/>
        </w:rPr>
        <w:t>iarkou a </w:t>
      </w:r>
      <w:r w:rsidRPr="001D7C88">
        <w:rPr>
          <w:rFonts w:hint="default"/>
        </w:rPr>
        <w:t>pripá</w:t>
      </w:r>
      <w:r w:rsidRPr="001D7C88">
        <w:rPr>
          <w:rFonts w:hint="default"/>
        </w:rPr>
        <w:t>jajú</w:t>
      </w:r>
      <w:r w:rsidRPr="001D7C88">
        <w:rPr>
          <w:rFonts w:hint="default"/>
        </w:rPr>
        <w:t xml:space="preserve"> sa tieto slová</w:t>
      </w:r>
      <w:r w:rsidRPr="001D7C88">
        <w:rPr>
          <w:rFonts w:hint="default"/>
        </w:rPr>
        <w:t>: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ak §</w:t>
      </w:r>
      <w:r w:rsidRPr="001D7C88">
        <w:rPr>
          <w:rFonts w:hint="default"/>
        </w:rPr>
        <w:t xml:space="preserve"> 28bf ods. 8 neustanovuje inak.“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23. V §</w:t>
      </w:r>
      <w:r w:rsidRPr="001D7C88">
        <w:rPr>
          <w:rFonts w:hint="default"/>
        </w:rPr>
        <w:t xml:space="preserve"> 10 ods. 2 druhej vete sa na konci bodka nahrá</w:t>
      </w:r>
      <w:r w:rsidRPr="001D7C88">
        <w:rPr>
          <w:rFonts w:hint="default"/>
        </w:rPr>
        <w:t>dza č</w:t>
      </w:r>
      <w:r w:rsidRPr="001D7C88">
        <w:rPr>
          <w:rFonts w:hint="default"/>
        </w:rPr>
        <w:t>iarkou a </w:t>
      </w:r>
      <w:r w:rsidRPr="001D7C88">
        <w:rPr>
          <w:rFonts w:hint="default"/>
        </w:rPr>
        <w:t>pripá</w:t>
      </w:r>
      <w:r w:rsidRPr="001D7C88">
        <w:rPr>
          <w:rFonts w:hint="default"/>
        </w:rPr>
        <w:t>jajú</w:t>
      </w:r>
      <w:r w:rsidRPr="001D7C88">
        <w:rPr>
          <w:rFonts w:hint="default"/>
        </w:rPr>
        <w:t xml:space="preserve"> sa tieto slová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ak ide o osoby podľ</w:t>
      </w:r>
      <w:r w:rsidRPr="001D7C88">
        <w:rPr>
          <w:rFonts w:hint="default"/>
        </w:rPr>
        <w:t>a odseku 5 okrem vkladateľ</w:t>
      </w:r>
      <w:r w:rsidRPr="001D7C88">
        <w:rPr>
          <w:rFonts w:hint="default"/>
        </w:rPr>
        <w:t>a vrá</w:t>
      </w:r>
      <w:r w:rsidRPr="001D7C88">
        <w:rPr>
          <w:rFonts w:hint="default"/>
        </w:rPr>
        <w:t>tane zá</w:t>
      </w:r>
      <w:r w:rsidRPr="001D7C88">
        <w:rPr>
          <w:rFonts w:hint="default"/>
        </w:rPr>
        <w:t>stupcov vkladateľ</w:t>
      </w:r>
      <w:r w:rsidRPr="001D7C88">
        <w:rPr>
          <w:rFonts w:hint="default"/>
        </w:rPr>
        <w:t>a na zá</w:t>
      </w:r>
      <w:r w:rsidRPr="001D7C88">
        <w:rPr>
          <w:rFonts w:hint="default"/>
        </w:rPr>
        <w:t>klade plnomocenstva</w:t>
      </w:r>
      <w:r w:rsidRPr="001D7C88">
        <w:rPr>
          <w:vertAlign w:val="superscript"/>
        </w:rPr>
        <w:t>15aaa</w:t>
      </w:r>
      <w:r w:rsidRPr="001D7C88">
        <w:t>) alebo poverenia</w:t>
      </w:r>
      <w:r w:rsidRPr="001D7C88">
        <w:rPr>
          <w:vertAlign w:val="superscript"/>
        </w:rPr>
        <w:t>15aab</w:t>
      </w:r>
      <w:r w:rsidRPr="001D7C88">
        <w:rPr>
          <w:rFonts w:hint="default"/>
        </w:rPr>
        <w:t>) vkladateľ</w:t>
      </w:r>
      <w:r w:rsidRPr="001D7C88">
        <w:rPr>
          <w:rFonts w:hint="default"/>
        </w:rPr>
        <w:t>a.“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mky pod č</w:t>
      </w:r>
      <w:r w:rsidRPr="001D7C88">
        <w:rPr>
          <w:rFonts w:hint="default"/>
        </w:rPr>
        <w:t>iarou k odkazom 15aaa a 15aab znejú</w:t>
      </w:r>
      <w:r w:rsidRPr="001D7C88">
        <w:rPr>
          <w:rFonts w:hint="default"/>
        </w:rPr>
        <w:t xml:space="preserve">: </w:t>
      </w:r>
    </w:p>
    <w:p w:rsidR="005A0FB7" w:rsidRPr="001D7C88">
      <w:pPr>
        <w:bidi w:val="0"/>
        <w:jc w:val="both"/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15aaa</w:t>
      </w:r>
      <w:r w:rsidRPr="001D7C88">
        <w:rPr>
          <w:rFonts w:hint="default"/>
        </w:rPr>
        <w:t>) §</w:t>
      </w:r>
      <w:r w:rsidRPr="001D7C88">
        <w:rPr>
          <w:rFonts w:hint="default"/>
        </w:rPr>
        <w:t xml:space="preserve"> 22 ods. 2 a §</w:t>
      </w:r>
      <w:r w:rsidRPr="001D7C88">
        <w:rPr>
          <w:rFonts w:hint="default"/>
        </w:rPr>
        <w:t xml:space="preserve"> 31 až</w:t>
      </w:r>
      <w:r w:rsidRPr="001D7C88">
        <w:rPr>
          <w:rFonts w:hint="default"/>
        </w:rPr>
        <w:t xml:space="preserve"> 33b Obč</w:t>
      </w:r>
      <w:r w:rsidRPr="001D7C88">
        <w:rPr>
          <w:rFonts w:hint="default"/>
        </w:rPr>
        <w:t>ianskeho zá</w:t>
      </w:r>
      <w:r w:rsidRPr="001D7C88">
        <w:rPr>
          <w:rFonts w:hint="default"/>
        </w:rPr>
        <w:t>konní</w:t>
      </w:r>
      <w:r w:rsidRPr="001D7C88">
        <w:rPr>
          <w:rFonts w:hint="default"/>
        </w:rPr>
        <w:t>ka</w:t>
      </w:r>
      <w:r w:rsidR="001B1FB5">
        <w:t xml:space="preserve"> v </w:t>
      </w:r>
      <w:r w:rsidR="001B1FB5">
        <w:rPr>
          <w:rFonts w:hint="default"/>
        </w:rPr>
        <w:t>znení</w:t>
      </w:r>
      <w:r w:rsidR="001B1FB5">
        <w:rPr>
          <w:rFonts w:hint="default"/>
        </w:rPr>
        <w:t xml:space="preserve"> zá</w:t>
      </w:r>
      <w:r w:rsidR="001B1FB5">
        <w:rPr>
          <w:rFonts w:hint="default"/>
        </w:rPr>
        <w:t>kona č</w:t>
      </w:r>
      <w:r w:rsidR="001B1FB5">
        <w:rPr>
          <w:rFonts w:hint="default"/>
        </w:rPr>
        <w:t>. 509/1991 Zb</w:t>
      </w:r>
      <w:r w:rsidRPr="001D7C88">
        <w:t xml:space="preserve">.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vertAlign w:val="superscript"/>
        </w:rPr>
        <w:t>15aab</w:t>
      </w:r>
      <w:r w:rsidRPr="001D7C88">
        <w:rPr>
          <w:rFonts w:hint="default"/>
        </w:rPr>
        <w:t>) §</w:t>
      </w:r>
      <w:r w:rsidRPr="001D7C88">
        <w:rPr>
          <w:rFonts w:hint="default"/>
        </w:rPr>
        <w:t xml:space="preserve"> 20 ods. 2 Obč</w:t>
      </w:r>
      <w:r w:rsidRPr="001D7C88">
        <w:rPr>
          <w:rFonts w:hint="default"/>
        </w:rPr>
        <w:t>ianskeho zá</w:t>
      </w:r>
      <w:r w:rsidRPr="001D7C88">
        <w:rPr>
          <w:rFonts w:hint="default"/>
        </w:rPr>
        <w:t>konní</w:t>
      </w:r>
      <w:r w:rsidRPr="001D7C88">
        <w:rPr>
          <w:rFonts w:hint="default"/>
        </w:rPr>
        <w:t>ka</w:t>
      </w:r>
      <w:r w:rsidR="001B1FB5">
        <w:t xml:space="preserve"> v </w:t>
      </w:r>
      <w:r w:rsidR="001B1FB5">
        <w:rPr>
          <w:rFonts w:hint="default"/>
        </w:rPr>
        <w:t>znení</w:t>
      </w:r>
      <w:r w:rsidR="001B1FB5">
        <w:rPr>
          <w:rFonts w:hint="default"/>
        </w:rPr>
        <w:t xml:space="preserve"> zá</w:t>
      </w:r>
      <w:r w:rsidR="001B1FB5">
        <w:rPr>
          <w:rFonts w:hint="default"/>
        </w:rPr>
        <w:t>kona č</w:t>
      </w:r>
      <w:r w:rsidR="001B1FB5">
        <w:rPr>
          <w:rFonts w:hint="default"/>
        </w:rPr>
        <w:t>. 509/1991 Zb</w:t>
      </w:r>
      <w:r w:rsidRPr="001D7C88">
        <w:rPr>
          <w:rFonts w:hint="default"/>
        </w:rPr>
        <w:t>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b/>
          <w:bCs/>
        </w:rPr>
        <w:tab/>
      </w:r>
      <w:r w:rsidRPr="001D7C88">
        <w:rPr>
          <w:rFonts w:hint="default"/>
        </w:rPr>
        <w:t>24. V §</w:t>
      </w:r>
      <w:r w:rsidRPr="001D7C88">
        <w:rPr>
          <w:rFonts w:hint="default"/>
        </w:rPr>
        <w:t xml:space="preserve"> 10 ods. 4 druhej vete sa na konci bodka nahrá</w:t>
      </w:r>
      <w:r w:rsidRPr="001D7C88">
        <w:rPr>
          <w:rFonts w:hint="default"/>
        </w:rPr>
        <w:t>dza č</w:t>
      </w:r>
      <w:r w:rsidRPr="001D7C88">
        <w:rPr>
          <w:rFonts w:hint="default"/>
        </w:rPr>
        <w:t>iarkou a </w:t>
      </w:r>
      <w:r w:rsidRPr="001D7C88">
        <w:rPr>
          <w:rFonts w:hint="default"/>
        </w:rPr>
        <w:t>pripá</w:t>
      </w:r>
      <w:r w:rsidRPr="001D7C88">
        <w:rPr>
          <w:rFonts w:hint="default"/>
        </w:rPr>
        <w:t>jajú</w:t>
      </w:r>
      <w:r w:rsidRPr="001D7C88">
        <w:rPr>
          <w:rFonts w:hint="default"/>
        </w:rPr>
        <w:t xml:space="preserve"> sa tieto slová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ak odsek 15 neustanov</w:t>
      </w:r>
      <w:r w:rsidRPr="001D7C88">
        <w:rPr>
          <w:rFonts w:hint="default"/>
        </w:rPr>
        <w:t>uje inak.“.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25. V §</w:t>
      </w:r>
      <w:r w:rsidRPr="001D7C88">
        <w:rPr>
          <w:rFonts w:hint="default"/>
        </w:rPr>
        <w:t xml:space="preserve"> 10 ods. 5 </w:t>
      </w:r>
      <w:r w:rsidR="001B1FB5">
        <w:t xml:space="preserve">celom texte </w:t>
      </w:r>
      <w:r w:rsidRPr="001D7C88">
        <w:rPr>
          <w:rFonts w:hint="default"/>
        </w:rPr>
        <w:t>sa slovo „</w:t>
      </w:r>
      <w:r w:rsidRPr="001D7C88">
        <w:rPr>
          <w:rFonts w:hint="default"/>
        </w:rPr>
        <w:t>splnomocnenie“</w:t>
      </w:r>
      <w:r w:rsidRPr="001D7C88">
        <w:rPr>
          <w:rFonts w:hint="default"/>
        </w:rPr>
        <w:t xml:space="preserve"> vo vš</w:t>
      </w:r>
      <w:r w:rsidRPr="001D7C88">
        <w:rPr>
          <w:rFonts w:hint="default"/>
        </w:rPr>
        <w:t>etký</w:t>
      </w:r>
      <w:r w:rsidRPr="001D7C88">
        <w:rPr>
          <w:rFonts w:hint="default"/>
        </w:rPr>
        <w:t>ch tvaroch nahrá</w:t>
      </w:r>
      <w:r w:rsidRPr="001D7C88">
        <w:rPr>
          <w:rFonts w:hint="default"/>
        </w:rPr>
        <w:t>dza slovom „</w:t>
      </w:r>
      <w:r w:rsidRPr="001D7C88">
        <w:rPr>
          <w:rFonts w:hint="default"/>
        </w:rPr>
        <w:t>plnomocenstvo“</w:t>
      </w:r>
      <w:r w:rsidRPr="001D7C88">
        <w:rPr>
          <w:rFonts w:hint="default"/>
        </w:rPr>
        <w:t xml:space="preserve"> v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nom tvare.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26. V §</w:t>
      </w:r>
      <w:r w:rsidRPr="001D7C88">
        <w:rPr>
          <w:rFonts w:hint="default"/>
        </w:rPr>
        <w:t xml:space="preserve"> 10 ods. 9 sa vypúšť</w:t>
      </w:r>
      <w:r w:rsidRPr="001D7C88">
        <w:rPr>
          <w:rFonts w:hint="default"/>
        </w:rPr>
        <w:t>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z hodnoverne preuká</w:t>
      </w:r>
      <w:r w:rsidRPr="001D7C88">
        <w:rPr>
          <w:rFonts w:hint="default"/>
        </w:rPr>
        <w:t>zaný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važ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zdravotný</w:t>
      </w:r>
      <w:r w:rsidRPr="001D7C88">
        <w:rPr>
          <w:rFonts w:hint="default"/>
        </w:rPr>
        <w:t>ch alebo iný</w:t>
      </w:r>
      <w:r w:rsidRPr="001D7C88">
        <w:rPr>
          <w:rFonts w:hint="default"/>
        </w:rPr>
        <w:t>ch dô</w:t>
      </w:r>
      <w:r w:rsidRPr="001D7C88">
        <w:rPr>
          <w:rFonts w:hint="default"/>
        </w:rPr>
        <w:t>vodov</w:t>
      </w:r>
      <w:r w:rsidRPr="001D7C88">
        <w:rPr>
          <w:vertAlign w:val="superscript"/>
        </w:rPr>
        <w:t>15e</w:t>
      </w:r>
      <w:r w:rsidRPr="001D7C88">
        <w:rPr>
          <w:rFonts w:hint="default"/>
        </w:rPr>
        <w:t>)“</w:t>
      </w:r>
      <w:r w:rsidRPr="001D7C88">
        <w:rPr>
          <w:rFonts w:hint="default"/>
        </w:rPr>
        <w:t xml:space="preserve"> a sl</w:t>
      </w:r>
      <w:r w:rsidRPr="001D7C88">
        <w:rPr>
          <w:rFonts w:hint="default"/>
        </w:rPr>
        <w:t>ovo „</w:t>
      </w:r>
      <w:r w:rsidRPr="001D7C88">
        <w:rPr>
          <w:rFonts w:hint="default"/>
        </w:rPr>
        <w:t>odô</w:t>
      </w:r>
      <w:r w:rsidRPr="001D7C88">
        <w:rPr>
          <w:rFonts w:hint="default"/>
        </w:rPr>
        <w:t>vodnenej“.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 </w:t>
      </w:r>
      <w:r w:rsidRPr="001D7C88">
        <w:rPr>
          <w:rFonts w:hint="default"/>
        </w:rPr>
        <w:t>odkazu 15e sa vypúšť</w:t>
      </w:r>
      <w:r w:rsidRPr="001D7C88">
        <w:rPr>
          <w:rFonts w:hint="default"/>
        </w:rPr>
        <w:t>a.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27. §</w:t>
      </w:r>
      <w:r w:rsidRPr="001D7C88">
        <w:rPr>
          <w:rFonts w:hint="default"/>
        </w:rPr>
        <w:t xml:space="preserve"> 10 sa dopĺň</w:t>
      </w:r>
      <w:r w:rsidRPr="001D7C88">
        <w:rPr>
          <w:rFonts w:hint="default"/>
        </w:rPr>
        <w:t>a odsekmi 12 až</w:t>
      </w:r>
      <w:r w:rsidRPr="001D7C88">
        <w:rPr>
          <w:rFonts w:hint="default"/>
        </w:rPr>
        <w:t xml:space="preserve"> 17, ktoré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(12) Ak sa v </w:t>
      </w:r>
      <w:r w:rsidRPr="001D7C88">
        <w:rPr>
          <w:rFonts w:hint="default"/>
        </w:rPr>
        <w:t>období</w:t>
      </w:r>
      <w:r w:rsidRPr="001D7C88">
        <w:rPr>
          <w:rFonts w:hint="default"/>
        </w:rPr>
        <w:t xml:space="preserve"> do 31. decembra 2023 vyplá</w:t>
      </w:r>
      <w:r w:rsidRPr="001D7C88">
        <w:rPr>
          <w:rFonts w:hint="default"/>
        </w:rPr>
        <w:t>canie ná</w:t>
      </w:r>
      <w:r w:rsidRPr="001D7C88">
        <w:rPr>
          <w:rFonts w:hint="default"/>
        </w:rPr>
        <w:t>hrad neskončí</w:t>
      </w:r>
      <w:r w:rsidRPr="001D7C88">
        <w:rPr>
          <w:rFonts w:hint="default"/>
        </w:rPr>
        <w:t xml:space="preserve"> do siedmich pracovný</w:t>
      </w:r>
      <w:r w:rsidRPr="001D7C88">
        <w:rPr>
          <w:rFonts w:hint="default"/>
        </w:rPr>
        <w:t>ch dní</w:t>
      </w:r>
      <w:r w:rsidRPr="001D7C88">
        <w:rPr>
          <w:rFonts w:hint="default"/>
        </w:rPr>
        <w:t xml:space="preserve"> od vyhlá</w:t>
      </w:r>
      <w:r w:rsidRPr="001D7C88">
        <w:rPr>
          <w:rFonts w:hint="default"/>
        </w:rPr>
        <w:t>senia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8 ods. 3 alebo od rozh</w:t>
      </w:r>
      <w:r w:rsidRPr="001D7C88">
        <w:rPr>
          <w:rFonts w:hint="default"/>
        </w:rPr>
        <w:t>odnutia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3 ods. 5 pí</w:t>
      </w:r>
      <w:r w:rsidRPr="001D7C88">
        <w:rPr>
          <w:rFonts w:hint="default"/>
        </w:rPr>
        <w:t>sm. b), fond na zá</w:t>
      </w:r>
      <w:r w:rsidRPr="001D7C88">
        <w:rPr>
          <w:rFonts w:hint="default"/>
        </w:rPr>
        <w:t>klade ú</w:t>
      </w:r>
      <w:r w:rsidRPr="001D7C88">
        <w:rPr>
          <w:rFonts w:hint="default"/>
        </w:rPr>
        <w:t>dajov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12 ods. 1 zabezpečí</w:t>
      </w:r>
      <w:r w:rsidRPr="001D7C88">
        <w:rPr>
          <w:rFonts w:hint="default"/>
        </w:rPr>
        <w:t>, aby mali vkladatelia do piatich pracovný</w:t>
      </w:r>
      <w:r w:rsidRPr="001D7C88">
        <w:rPr>
          <w:rFonts w:hint="default"/>
        </w:rPr>
        <w:t>ch dní</w:t>
      </w:r>
      <w:r w:rsidRPr="001D7C88">
        <w:rPr>
          <w:rFonts w:hint="default"/>
        </w:rPr>
        <w:t xml:space="preserve"> po podaní</w:t>
      </w:r>
      <w:r w:rsidRPr="001D7C88">
        <w:rPr>
          <w:rFonts w:hint="default"/>
        </w:rPr>
        <w:t xml:space="preserve"> ž</w:t>
      </w:r>
      <w:r w:rsidRPr="001D7C88">
        <w:rPr>
          <w:rFonts w:hint="default"/>
        </w:rPr>
        <w:t>iadosti o </w:t>
      </w:r>
      <w:r w:rsidRPr="001D7C88">
        <w:rPr>
          <w:rFonts w:hint="default"/>
        </w:rPr>
        <w:t>č</w:t>
      </w:r>
      <w:r w:rsidRPr="001D7C88">
        <w:rPr>
          <w:rFonts w:hint="default"/>
        </w:rPr>
        <w:t>asť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>hrady vyplatenú</w:t>
      </w:r>
      <w:r w:rsidRPr="001D7C88">
        <w:rPr>
          <w:rFonts w:hint="default"/>
        </w:rPr>
        <w:t xml:space="preserve"> aspoň</w:t>
      </w:r>
      <w:r w:rsidRPr="001D7C88">
        <w:rPr>
          <w:rFonts w:hint="default"/>
        </w:rPr>
        <w:t xml:space="preserve"> č</w:t>
      </w:r>
      <w:r w:rsidRPr="001D7C88">
        <w:rPr>
          <w:rFonts w:hint="default"/>
        </w:rPr>
        <w:t>asť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 xml:space="preserve">hrady </w:t>
      </w:r>
      <w:r w:rsidR="00D97981">
        <w:t xml:space="preserve">najmenej </w:t>
      </w:r>
      <w:r w:rsidRPr="001D7C88">
        <w:rPr>
          <w:rFonts w:hint="default"/>
        </w:rPr>
        <w:t>do výš</w:t>
      </w:r>
      <w:r w:rsidRPr="001D7C88">
        <w:rPr>
          <w:rFonts w:hint="default"/>
        </w:rPr>
        <w:t>ky priemernej mesač</w:t>
      </w:r>
      <w:r w:rsidRPr="001D7C88">
        <w:rPr>
          <w:rFonts w:hint="default"/>
        </w:rPr>
        <w:t>nej nominá</w:t>
      </w:r>
      <w:r w:rsidRPr="001D7C88">
        <w:rPr>
          <w:rFonts w:hint="default"/>
        </w:rPr>
        <w:t>lnej mzdy zames</w:t>
      </w:r>
      <w:r w:rsidRPr="001D7C88">
        <w:rPr>
          <w:rFonts w:hint="default"/>
        </w:rPr>
        <w:t>tnanca v ná</w:t>
      </w:r>
      <w:r w:rsidRPr="001D7C88">
        <w:rPr>
          <w:rFonts w:hint="default"/>
        </w:rPr>
        <w:t>rodnom hospodá</w:t>
      </w:r>
      <w:r w:rsidRPr="001D7C88">
        <w:rPr>
          <w:rFonts w:hint="default"/>
        </w:rPr>
        <w:t>rstve Slovenskej republiky zistenej Š</w:t>
      </w:r>
      <w:r w:rsidRPr="001D7C88">
        <w:rPr>
          <w:rFonts w:hint="default"/>
        </w:rPr>
        <w:t>tatistický</w:t>
      </w:r>
      <w:r w:rsidRPr="001D7C88">
        <w:rPr>
          <w:rFonts w:hint="default"/>
        </w:rPr>
        <w:t>m ú</w:t>
      </w:r>
      <w:r w:rsidRPr="001D7C88">
        <w:rPr>
          <w:rFonts w:hint="default"/>
        </w:rPr>
        <w:t>radom Slovenskej republiky za kalendá</w:t>
      </w:r>
      <w:r w:rsidRPr="001D7C88">
        <w:rPr>
          <w:rFonts w:hint="default"/>
        </w:rPr>
        <w:t>rny š</w:t>
      </w:r>
      <w:r w:rsidRPr="001D7C88">
        <w:rPr>
          <w:rFonts w:hint="default"/>
        </w:rPr>
        <w:t>tvrť</w:t>
      </w:r>
      <w:r w:rsidRPr="001D7C88">
        <w:rPr>
          <w:rFonts w:hint="default"/>
        </w:rPr>
        <w:t>rok predchá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>ci kalendá</w:t>
      </w:r>
      <w:r w:rsidRPr="001D7C88">
        <w:rPr>
          <w:rFonts w:hint="default"/>
        </w:rPr>
        <w:t>rnemu š</w:t>
      </w:r>
      <w:r w:rsidRPr="001D7C88">
        <w:rPr>
          <w:rFonts w:hint="default"/>
        </w:rPr>
        <w:t>tvrť</w:t>
      </w:r>
      <w:r w:rsidRPr="001D7C88">
        <w:rPr>
          <w:rFonts w:hint="default"/>
        </w:rPr>
        <w:t>roku, ktorý</w:t>
      </w:r>
      <w:r w:rsidRPr="001D7C88">
        <w:rPr>
          <w:rFonts w:hint="default"/>
        </w:rPr>
        <w:t xml:space="preserve"> predchá</w:t>
      </w:r>
      <w:r w:rsidRPr="001D7C88">
        <w:rPr>
          <w:rFonts w:hint="default"/>
        </w:rPr>
        <w:t>dza kalendá</w:t>
      </w:r>
      <w:r w:rsidRPr="001D7C88">
        <w:rPr>
          <w:rFonts w:hint="default"/>
        </w:rPr>
        <w:t>rnemu š</w:t>
      </w:r>
      <w:r w:rsidRPr="001D7C88">
        <w:rPr>
          <w:rFonts w:hint="default"/>
        </w:rPr>
        <w:t>tvrť</w:t>
      </w:r>
      <w:r w:rsidRPr="001D7C88">
        <w:rPr>
          <w:rFonts w:hint="default"/>
        </w:rPr>
        <w:t>roku, v ktorom bola podaná</w:t>
      </w:r>
      <w:r w:rsidRPr="001D7C88">
        <w:rPr>
          <w:rFonts w:hint="default"/>
        </w:rPr>
        <w:t xml:space="preserve"> tá</w:t>
      </w:r>
      <w:r w:rsidRPr="001D7C88">
        <w:rPr>
          <w:rFonts w:hint="default"/>
        </w:rPr>
        <w:t>to ž</w:t>
      </w:r>
      <w:r w:rsidRPr="001D7C88">
        <w:rPr>
          <w:rFonts w:hint="default"/>
        </w:rPr>
        <w:t>iadosť</w:t>
      </w:r>
      <w:r w:rsidRPr="001D7C88">
        <w:rPr>
          <w:rFonts w:hint="default"/>
        </w:rPr>
        <w:t xml:space="preserve">. </w:t>
      </w:r>
      <w:r w:rsidR="00D97981">
        <w:t>R</w:t>
      </w:r>
      <w:r w:rsidRPr="001D7C88">
        <w:t>ozdiel medzi ta</w:t>
      </w:r>
      <w:r w:rsidRPr="001D7C88">
        <w:rPr>
          <w:rFonts w:hint="default"/>
        </w:rPr>
        <w:t>kto vyplatenou ná</w:t>
      </w:r>
      <w:r w:rsidRPr="001D7C88">
        <w:rPr>
          <w:rFonts w:hint="default"/>
        </w:rPr>
        <w:t>hradou a </w:t>
      </w:r>
      <w:r w:rsidRPr="001D7C88">
        <w:rPr>
          <w:rFonts w:hint="default"/>
        </w:rPr>
        <w:t>ná</w:t>
      </w:r>
      <w:r w:rsidRPr="001D7C88">
        <w:rPr>
          <w:rFonts w:hint="default"/>
        </w:rPr>
        <w:t>hradou, ktorá</w:t>
      </w:r>
      <w:r w:rsidRPr="001D7C88">
        <w:rPr>
          <w:rFonts w:hint="default"/>
        </w:rPr>
        <w:t xml:space="preserve"> patrí</w:t>
      </w:r>
      <w:r w:rsidRPr="001D7C88">
        <w:rPr>
          <w:rFonts w:hint="default"/>
        </w:rPr>
        <w:t xml:space="preserve"> vkladateľ</w:t>
      </w:r>
      <w:r w:rsidRPr="001D7C88">
        <w:rPr>
          <w:rFonts w:hint="default"/>
        </w:rPr>
        <w:t>ovi, sa vyplatí</w:t>
      </w:r>
      <w:r w:rsidRPr="001D7C88">
        <w:rPr>
          <w:rFonts w:hint="default"/>
        </w:rPr>
        <w:t xml:space="preserve"> podľ</w:t>
      </w:r>
      <w:r w:rsidRPr="001D7C88">
        <w:rPr>
          <w:rFonts w:hint="default"/>
        </w:rPr>
        <w:t>a odseku 2. Ustanoveniami tohto odseku nie sú</w:t>
      </w:r>
      <w:r w:rsidRPr="001D7C88">
        <w:rPr>
          <w:rFonts w:hint="default"/>
        </w:rPr>
        <w:t xml:space="preserve"> dotknuté</w:t>
      </w:r>
      <w:r w:rsidRPr="001D7C88">
        <w:rPr>
          <w:rFonts w:hint="default"/>
        </w:rPr>
        <w:t xml:space="preserve"> </w:t>
      </w:r>
      <w:r w:rsidR="001B1FB5">
        <w:rPr>
          <w:rFonts w:hint="default"/>
        </w:rPr>
        <w:t>lehoty na vyplá</w:t>
      </w:r>
      <w:r w:rsidR="001B1FB5">
        <w:rPr>
          <w:rFonts w:hint="default"/>
        </w:rPr>
        <w:t>canie ná</w:t>
      </w:r>
      <w:r w:rsidR="001B1FB5">
        <w:rPr>
          <w:rFonts w:hint="default"/>
        </w:rPr>
        <w:t>hrad uvedené</w:t>
      </w:r>
      <w:r w:rsidR="001B1FB5">
        <w:rPr>
          <w:rFonts w:hint="default"/>
        </w:rPr>
        <w:t xml:space="preserve"> v</w:t>
      </w:r>
      <w:r w:rsidRPr="001D7C88">
        <w:rPr>
          <w:rFonts w:hint="default"/>
        </w:rPr>
        <w:t xml:space="preserve"> §</w:t>
      </w:r>
      <w:r w:rsidRPr="001D7C88">
        <w:rPr>
          <w:rFonts w:hint="default"/>
        </w:rPr>
        <w:t xml:space="preserve"> 28bf ods. 8.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t>(13) Fond komunikuje s </w:t>
      </w:r>
      <w:r w:rsidRPr="001D7C88">
        <w:rPr>
          <w:rFonts w:hint="default"/>
        </w:rPr>
        <w:t>vkladateľ</w:t>
      </w:r>
      <w:r w:rsidRPr="001D7C88">
        <w:rPr>
          <w:rFonts w:hint="default"/>
        </w:rPr>
        <w:t>om v slovenskom jazyku.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t>(14) Fond vyp</w:t>
      </w:r>
      <w:r w:rsidRPr="001D7C88">
        <w:rPr>
          <w:rFonts w:hint="default"/>
        </w:rPr>
        <w:t>lá</w:t>
      </w:r>
      <w:r w:rsidRPr="001D7C88">
        <w:rPr>
          <w:rFonts w:hint="default"/>
        </w:rPr>
        <w:t>ca ná</w:t>
      </w:r>
      <w:r w:rsidRPr="001D7C88">
        <w:rPr>
          <w:rFonts w:hint="default"/>
        </w:rPr>
        <w:t>hrady za nedostupné</w:t>
      </w:r>
      <w:r w:rsidRPr="001D7C88">
        <w:rPr>
          <w:rFonts w:hint="default"/>
        </w:rPr>
        <w:t xml:space="preserve"> vklady v </w:t>
      </w:r>
      <w:r w:rsidRPr="001D7C88">
        <w:rPr>
          <w:rFonts w:hint="default"/>
        </w:rPr>
        <w:t>poboč</w:t>
      </w:r>
      <w:r w:rsidRPr="001D7C88">
        <w:rPr>
          <w:rFonts w:hint="default"/>
        </w:rPr>
        <w:t>ke banky umiestnenej v </w:t>
      </w:r>
      <w:r w:rsidRPr="001D7C88">
        <w:rPr>
          <w:rFonts w:hint="default"/>
        </w:rPr>
        <w:t>inom č</w:t>
      </w:r>
      <w:r w:rsidRPr="001D7C88">
        <w:rPr>
          <w:rFonts w:hint="default"/>
        </w:rPr>
        <w:t>lenskom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te vo svojom mene prostrední</w:t>
      </w:r>
      <w:r w:rsidRPr="001D7C88">
        <w:rPr>
          <w:rFonts w:hint="default"/>
        </w:rPr>
        <w:t>ctvom systé</w:t>
      </w:r>
      <w:r w:rsidRPr="001D7C88">
        <w:rPr>
          <w:rFonts w:hint="default"/>
        </w:rPr>
        <w:t>mu ochrany vkladov tohto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tu; fond udelí</w:t>
      </w:r>
      <w:r w:rsidRPr="001D7C88">
        <w:rPr>
          <w:rFonts w:hint="default"/>
        </w:rPr>
        <w:t xml:space="preserve"> systé</w:t>
      </w:r>
      <w:r w:rsidRPr="001D7C88">
        <w:rPr>
          <w:rFonts w:hint="default"/>
        </w:rPr>
        <w:t>mu ochrany vkladov iné</w:t>
      </w:r>
      <w:r w:rsidRPr="001D7C88">
        <w:rPr>
          <w:rFonts w:hint="default"/>
        </w:rPr>
        <w:t>ho č</w:t>
      </w:r>
      <w:r w:rsidRPr="001D7C88">
        <w:rPr>
          <w:rFonts w:hint="default"/>
        </w:rPr>
        <w:t>lenské</w:t>
      </w:r>
      <w:r w:rsidRPr="001D7C88">
        <w:rPr>
          <w:rFonts w:hint="default"/>
        </w:rPr>
        <w:t>ho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tu pokyny a finanč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prostriedky na vyplatenie ná</w:t>
      </w:r>
      <w:r w:rsidRPr="001D7C88">
        <w:rPr>
          <w:rFonts w:hint="default"/>
        </w:rPr>
        <w:t>h</w:t>
      </w:r>
      <w:r w:rsidRPr="001D7C88">
        <w:rPr>
          <w:rFonts w:hint="default"/>
        </w:rPr>
        <w:t>rad eš</w:t>
      </w:r>
      <w:r w:rsidRPr="001D7C88">
        <w:rPr>
          <w:rFonts w:hint="default"/>
        </w:rPr>
        <w:t>te pred uskutoč</w:t>
      </w:r>
      <w:r w:rsidRPr="001D7C88">
        <w:rPr>
          <w:rFonts w:hint="default"/>
        </w:rPr>
        <w:t>není</w:t>
      </w:r>
      <w:r w:rsidRPr="001D7C88">
        <w:rPr>
          <w:rFonts w:hint="default"/>
        </w:rPr>
        <w:t>m vý</w:t>
      </w:r>
      <w:r w:rsidRPr="001D7C88">
        <w:rPr>
          <w:rFonts w:hint="default"/>
        </w:rPr>
        <w:t>platy a </w:t>
      </w:r>
      <w:r w:rsidRPr="001D7C88">
        <w:rPr>
          <w:rFonts w:hint="default"/>
        </w:rPr>
        <w:t>uhradí</w:t>
      </w:r>
      <w:r w:rsidRPr="001D7C88">
        <w:rPr>
          <w:rFonts w:hint="default"/>
        </w:rPr>
        <w:t xml:space="preserve"> mu ná</w:t>
      </w:r>
      <w:r w:rsidRPr="001D7C88">
        <w:rPr>
          <w:rFonts w:hint="default"/>
        </w:rPr>
        <w:t>klady na vý</w:t>
      </w:r>
      <w:r w:rsidRPr="001D7C88">
        <w:rPr>
          <w:rFonts w:hint="default"/>
        </w:rPr>
        <w:t>platu.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(15) Fond sprostredkuje vyplá</w:t>
      </w:r>
      <w:r w:rsidRPr="001D7C88">
        <w:rPr>
          <w:rFonts w:hint="default"/>
        </w:rPr>
        <w:t>canie ná</w:t>
      </w:r>
      <w:r w:rsidRPr="001D7C88">
        <w:rPr>
          <w:rFonts w:hint="default"/>
        </w:rPr>
        <w:t>hrad za nedostupné</w:t>
      </w:r>
      <w:r w:rsidRPr="001D7C88">
        <w:rPr>
          <w:rFonts w:hint="default"/>
        </w:rPr>
        <w:t xml:space="preserve"> vklady v </w:t>
      </w:r>
      <w:r w:rsidRPr="001D7C88">
        <w:rPr>
          <w:rFonts w:hint="default"/>
        </w:rPr>
        <w:t>poboč</w:t>
      </w:r>
      <w:r w:rsidRPr="001D7C88">
        <w:rPr>
          <w:rFonts w:hint="default"/>
        </w:rPr>
        <w:t>ke zahranič</w:t>
      </w:r>
      <w:r w:rsidRPr="001D7C88">
        <w:rPr>
          <w:rFonts w:hint="default"/>
        </w:rPr>
        <w:t>nej banky z </w:t>
      </w:r>
      <w:r w:rsidRPr="001D7C88">
        <w:rPr>
          <w:rFonts w:hint="default"/>
        </w:rPr>
        <w:t>iné</w:t>
      </w:r>
      <w:r w:rsidRPr="001D7C88">
        <w:rPr>
          <w:rFonts w:hint="default"/>
        </w:rPr>
        <w:t>ho č</w:t>
      </w:r>
      <w:r w:rsidRPr="001D7C88">
        <w:rPr>
          <w:rFonts w:hint="default"/>
        </w:rPr>
        <w:t>lenské</w:t>
      </w:r>
      <w:r w:rsidRPr="001D7C88">
        <w:rPr>
          <w:rFonts w:hint="default"/>
        </w:rPr>
        <w:t>ho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tu podľ</w:t>
      </w:r>
      <w:r w:rsidRPr="001D7C88">
        <w:rPr>
          <w:rFonts w:hint="default"/>
        </w:rPr>
        <w:t>a pokynov systé</w:t>
      </w:r>
      <w:r w:rsidRPr="001D7C88">
        <w:rPr>
          <w:rFonts w:hint="default"/>
        </w:rPr>
        <w:t>mu ochrany vkladov tohto č</w:t>
      </w:r>
      <w:r w:rsidRPr="001D7C88">
        <w:rPr>
          <w:rFonts w:hint="default"/>
        </w:rPr>
        <w:t>lenské</w:t>
      </w:r>
      <w:r w:rsidRPr="001D7C88">
        <w:rPr>
          <w:rFonts w:hint="default"/>
        </w:rPr>
        <w:t>ho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tu, a to po </w:t>
      </w:r>
      <w:r w:rsidRPr="001D7C88">
        <w:rPr>
          <w:rFonts w:hint="default"/>
        </w:rPr>
        <w:t>zí</w:t>
      </w:r>
      <w:r w:rsidRPr="001D7C88">
        <w:rPr>
          <w:rFonts w:hint="default"/>
        </w:rPr>
        <w:t>sk</w:t>
      </w:r>
      <w:r w:rsidRPr="001D7C88">
        <w:rPr>
          <w:rFonts w:hint="default"/>
        </w:rPr>
        <w:t>aní</w:t>
      </w:r>
      <w:r w:rsidRPr="001D7C88">
        <w:rPr>
          <w:rFonts w:hint="default"/>
        </w:rPr>
        <w:t xml:space="preserve">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na vyplá</w:t>
      </w:r>
      <w:r w:rsidRPr="001D7C88">
        <w:rPr>
          <w:rFonts w:hint="default"/>
        </w:rPr>
        <w:t>canie ná</w:t>
      </w:r>
      <w:r w:rsidRPr="001D7C88">
        <w:rPr>
          <w:rFonts w:hint="default"/>
        </w:rPr>
        <w:t>hrad od tohto systé</w:t>
      </w:r>
      <w:r w:rsidRPr="001D7C88">
        <w:rPr>
          <w:rFonts w:hint="default"/>
        </w:rPr>
        <w:t>mu ochrany vkladov; fond nenesie zodpovednosť</w:t>
      </w:r>
      <w:r w:rsidRPr="001D7C88">
        <w:rPr>
          <w:rFonts w:hint="default"/>
        </w:rPr>
        <w:t xml:space="preserve"> v </w:t>
      </w:r>
      <w:r w:rsidRPr="001D7C88">
        <w:rPr>
          <w:rFonts w:hint="default"/>
        </w:rPr>
        <w:t>sú</w:t>
      </w:r>
      <w:r w:rsidRPr="001D7C88">
        <w:rPr>
          <w:rFonts w:hint="default"/>
        </w:rPr>
        <w:t>vislosti s </w:t>
      </w:r>
      <w:r w:rsidRPr="001D7C88">
        <w:rPr>
          <w:rFonts w:hint="default"/>
        </w:rPr>
        <w:t>vyplá</w:t>
      </w:r>
      <w:r w:rsidRPr="001D7C88">
        <w:rPr>
          <w:rFonts w:hint="default"/>
        </w:rPr>
        <w:t>caní</w:t>
      </w:r>
      <w:r w:rsidRPr="001D7C88">
        <w:rPr>
          <w:rFonts w:hint="default"/>
        </w:rPr>
        <w:t>m ná</w:t>
      </w:r>
      <w:r w:rsidRPr="001D7C88">
        <w:rPr>
          <w:rFonts w:hint="default"/>
        </w:rPr>
        <w:t>hrad podľ</w:t>
      </w:r>
      <w:r w:rsidRPr="001D7C88">
        <w:rPr>
          <w:rFonts w:hint="default"/>
        </w:rPr>
        <w:t>a tý</w:t>
      </w:r>
      <w:r w:rsidRPr="001D7C88">
        <w:rPr>
          <w:rFonts w:hint="default"/>
        </w:rPr>
        <w:t>chto pokynov a v </w:t>
      </w:r>
      <w:r w:rsidRPr="001D7C88">
        <w:rPr>
          <w:rFonts w:hint="default"/>
        </w:rPr>
        <w:t>mene tohto systé</w:t>
      </w:r>
      <w:r w:rsidRPr="001D7C88">
        <w:rPr>
          <w:rFonts w:hint="default"/>
        </w:rPr>
        <w:t>mu ochrany vkladov informuje vkladateľ</w:t>
      </w:r>
      <w:r w:rsidRPr="001D7C88">
        <w:rPr>
          <w:rFonts w:hint="default"/>
        </w:rPr>
        <w:t>ov o </w:t>
      </w:r>
      <w:r w:rsidRPr="001D7C88">
        <w:rPr>
          <w:rFonts w:hint="default"/>
        </w:rPr>
        <w:t>vyplá</w:t>
      </w:r>
      <w:r w:rsidRPr="001D7C88">
        <w:rPr>
          <w:rFonts w:hint="default"/>
        </w:rPr>
        <w:t>caní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>hrad a </w:t>
      </w:r>
      <w:r w:rsidRPr="001D7C88">
        <w:rPr>
          <w:rFonts w:hint="default"/>
        </w:rPr>
        <w:t>prijí</w:t>
      </w:r>
      <w:r w:rsidRPr="001D7C88">
        <w:rPr>
          <w:rFonts w:hint="default"/>
        </w:rPr>
        <w:t>ma od</w:t>
      </w:r>
      <w:r w:rsidRPr="001D7C88">
        <w:rPr>
          <w:rFonts w:hint="default"/>
        </w:rPr>
        <w:t xml:space="preserve"> </w:t>
      </w:r>
      <w:r w:rsidRPr="001D7C88">
        <w:rPr>
          <w:rFonts w:hint="default"/>
        </w:rPr>
        <w:t>nich pí</w:t>
      </w:r>
      <w:r w:rsidRPr="001D7C88">
        <w:rPr>
          <w:rFonts w:hint="default"/>
        </w:rPr>
        <w:t>somnosti.</w:t>
      </w:r>
    </w:p>
    <w:p w:rsidR="005A0FB7">
      <w:pPr>
        <w:bidi w:val="0"/>
        <w:jc w:val="both"/>
        <w:rPr>
          <w:b/>
          <w:bCs/>
        </w:rPr>
      </w:pPr>
    </w:p>
    <w:p w:rsidR="00E70D0E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(16) Osoba iná</w:t>
      </w:r>
      <w:r w:rsidRPr="001D7C88">
        <w:rPr>
          <w:rFonts w:hint="default"/>
        </w:rPr>
        <w:t xml:space="preserve"> ako vkladateľ</w:t>
      </w:r>
      <w:r w:rsidRPr="001D7C88">
        <w:rPr>
          <w:rFonts w:hint="default"/>
        </w:rPr>
        <w:t xml:space="preserve"> podľ</w:t>
      </w:r>
      <w:r w:rsidRPr="001D7C88">
        <w:rPr>
          <w:rFonts w:hint="default"/>
        </w:rPr>
        <w:t>a odseku 5, ktorá</w:t>
      </w:r>
      <w:r w:rsidRPr="001D7C88">
        <w:rPr>
          <w:rFonts w:hint="default"/>
        </w:rPr>
        <w:t xml:space="preserve"> si uplatň</w:t>
      </w:r>
      <w:r w:rsidRPr="001D7C88">
        <w:rPr>
          <w:rFonts w:hint="default"/>
        </w:rPr>
        <w:t>uje prá</w:t>
      </w:r>
      <w:r w:rsidRPr="001D7C88">
        <w:rPr>
          <w:rFonts w:hint="default"/>
        </w:rPr>
        <w:t>vo na ná</w:t>
      </w:r>
      <w:r w:rsidRPr="001D7C88">
        <w:rPr>
          <w:rFonts w:hint="default"/>
        </w:rPr>
        <w:t>hradu za nedostupný</w:t>
      </w:r>
      <w:r w:rsidRPr="001D7C88">
        <w:rPr>
          <w:rFonts w:hint="default"/>
        </w:rPr>
        <w:t xml:space="preserve"> vklad za vkladateľ</w:t>
      </w:r>
      <w:r w:rsidRPr="001D7C88">
        <w:rPr>
          <w:rFonts w:hint="default"/>
        </w:rPr>
        <w:t>a, je identifikovateľ</w:t>
      </w:r>
      <w:r w:rsidRPr="001D7C88">
        <w:rPr>
          <w:rFonts w:hint="default"/>
        </w:rPr>
        <w:t>ná</w:t>
      </w:r>
      <w:r w:rsidRPr="001D7C88">
        <w:rPr>
          <w:rFonts w:hint="default"/>
        </w:rPr>
        <w:t xml:space="preserve"> najneskô</w:t>
      </w:r>
      <w:r w:rsidRPr="001D7C88">
        <w:rPr>
          <w:rFonts w:hint="default"/>
        </w:rPr>
        <w:t>r ku dň</w:t>
      </w:r>
      <w:r w:rsidRPr="001D7C88">
        <w:rPr>
          <w:rFonts w:hint="default"/>
        </w:rPr>
        <w:t>u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8 ods. 3 alebo ku dň</w:t>
      </w:r>
      <w:r w:rsidRPr="001D7C88">
        <w:rPr>
          <w:rFonts w:hint="default"/>
        </w:rPr>
        <w:t>u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3 ods. 5 pí</w:t>
      </w:r>
      <w:r w:rsidRPr="001D7C88">
        <w:rPr>
          <w:rFonts w:hint="default"/>
        </w:rPr>
        <w:t>sm. b)</w:t>
      </w:r>
      <w:r w:rsidR="001A37B6">
        <w:rPr>
          <w:rFonts w:hint="default"/>
        </w:rPr>
        <w:t>, prič</w:t>
      </w:r>
      <w:r w:rsidR="001A37B6">
        <w:rPr>
          <w:rFonts w:hint="default"/>
        </w:rPr>
        <w:t>om a</w:t>
      </w:r>
      <w:r w:rsidRPr="001D7C88">
        <w:rPr>
          <w:rFonts w:hint="default"/>
        </w:rPr>
        <w:t>k je tý</w:t>
      </w:r>
      <w:r w:rsidRPr="001D7C88">
        <w:rPr>
          <w:rFonts w:hint="default"/>
        </w:rPr>
        <w:t>chto osô</w:t>
      </w:r>
      <w:r w:rsidRPr="001D7C88">
        <w:rPr>
          <w:rFonts w:hint="default"/>
        </w:rPr>
        <w:t>b niekoľ</w:t>
      </w:r>
      <w:r w:rsidRPr="001D7C88">
        <w:rPr>
          <w:rFonts w:hint="default"/>
        </w:rPr>
        <w:t>ko, vzť</w:t>
      </w:r>
      <w:r w:rsidRPr="001D7C88">
        <w:rPr>
          <w:rFonts w:hint="default"/>
        </w:rPr>
        <w:t>ahuje sa na ne ustanovenie §</w:t>
      </w:r>
      <w:r w:rsidRPr="001D7C88">
        <w:rPr>
          <w:rFonts w:hint="default"/>
        </w:rPr>
        <w:t xml:space="preserve"> 9 ods. 3 druhej vety</w:t>
      </w:r>
      <w:r w:rsidR="001A37B6">
        <w:t>;</w:t>
      </w:r>
      <w:r w:rsidRPr="001D7C88">
        <w:t xml:space="preserve"> </w:t>
      </w:r>
      <w:r w:rsidR="001A37B6">
        <w:rPr>
          <w:rFonts w:hint="default"/>
        </w:rPr>
        <w:t>tý</w:t>
      </w:r>
      <w:r w:rsidR="001A37B6">
        <w:rPr>
          <w:rFonts w:hint="default"/>
        </w:rPr>
        <w:t xml:space="preserve">m </w:t>
      </w:r>
      <w:r w:rsidRPr="001D7C88">
        <w:rPr>
          <w:rFonts w:hint="default"/>
        </w:rPr>
        <w:t>nie je dotknuté</w:t>
      </w:r>
      <w:r w:rsidRPr="001D7C88">
        <w:rPr>
          <w:rFonts w:hint="default"/>
        </w:rPr>
        <w:t xml:space="preserve"> ustanovenie odseku 5 š</w:t>
      </w:r>
      <w:r w:rsidRPr="001D7C88">
        <w:rPr>
          <w:rFonts w:hint="default"/>
        </w:rPr>
        <w:t>iestej vety.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(17) Na úč</w:t>
      </w:r>
      <w:r w:rsidRPr="001D7C88">
        <w:rPr>
          <w:rFonts w:hint="default"/>
        </w:rPr>
        <w:t>ely odsekov 14 a </w:t>
      </w:r>
      <w:r w:rsidRPr="001D7C88">
        <w:rPr>
          <w:rFonts w:hint="default"/>
        </w:rPr>
        <w:t>15 a §</w:t>
      </w:r>
      <w:r w:rsidRPr="001D7C88">
        <w:rPr>
          <w:rFonts w:hint="default"/>
        </w:rPr>
        <w:t xml:space="preserve"> 13 ods. 7 sa vyž</w:t>
      </w:r>
      <w:r w:rsidRPr="001D7C88">
        <w:rPr>
          <w:rFonts w:hint="default"/>
        </w:rPr>
        <w:t>aduje pí</w:t>
      </w:r>
      <w:r w:rsidRPr="001D7C88">
        <w:rPr>
          <w:rFonts w:hint="default"/>
        </w:rPr>
        <w:t>somná</w:t>
      </w:r>
      <w:r w:rsidRPr="001D7C88">
        <w:rPr>
          <w:rFonts w:hint="default"/>
        </w:rPr>
        <w:t xml:space="preserve"> zmluva medzi fondom a </w:t>
      </w:r>
      <w:r w:rsidRPr="001D7C88">
        <w:rPr>
          <w:rFonts w:hint="default"/>
        </w:rPr>
        <w:t>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ný</w:t>
      </w:r>
      <w:r w:rsidRPr="001D7C88">
        <w:rPr>
          <w:rFonts w:hint="default"/>
        </w:rPr>
        <w:t>m systé</w:t>
      </w:r>
      <w:r w:rsidRPr="001D7C88">
        <w:rPr>
          <w:rFonts w:hint="default"/>
        </w:rPr>
        <w:t>mom ochrany vkladov iné</w:t>
      </w:r>
      <w:r w:rsidRPr="001D7C88">
        <w:rPr>
          <w:rFonts w:hint="default"/>
        </w:rPr>
        <w:t>ho č</w:t>
      </w:r>
      <w:r w:rsidRPr="001D7C88">
        <w:rPr>
          <w:rFonts w:hint="default"/>
        </w:rPr>
        <w:t>lensk</w:t>
      </w:r>
      <w:r w:rsidRPr="001D7C88">
        <w:rPr>
          <w:rFonts w:hint="default"/>
        </w:rPr>
        <w:t>é</w:t>
      </w:r>
      <w:r w:rsidRPr="001D7C88">
        <w:rPr>
          <w:rFonts w:hint="default"/>
        </w:rPr>
        <w:t>ho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tu</w:t>
      </w:r>
      <w:r w:rsidR="001A37B6">
        <w:rPr>
          <w:rFonts w:hint="default"/>
        </w:rPr>
        <w:t>, prič</w:t>
      </w:r>
      <w:r w:rsidR="001A37B6">
        <w:rPr>
          <w:rFonts w:hint="default"/>
        </w:rPr>
        <w:t>om povinnosť</w:t>
      </w:r>
      <w:r w:rsidR="001A37B6">
        <w:rPr>
          <w:rFonts w:hint="default"/>
        </w:rPr>
        <w:t xml:space="preserve"> mlč</w:t>
      </w:r>
      <w:r w:rsidR="001A37B6">
        <w:rPr>
          <w:rFonts w:hint="default"/>
        </w:rPr>
        <w:t>anlivosti podľ</w:t>
      </w:r>
      <w:r w:rsidR="001A37B6">
        <w:rPr>
          <w:rFonts w:hint="default"/>
        </w:rPr>
        <w:t>a</w:t>
      </w:r>
      <w:r w:rsidRPr="001D7C88">
        <w:rPr>
          <w:rFonts w:hint="default"/>
        </w:rPr>
        <w:t xml:space="preserve"> §</w:t>
      </w:r>
      <w:r w:rsidRPr="001D7C88">
        <w:rPr>
          <w:rFonts w:hint="default"/>
        </w:rPr>
        <w:t xml:space="preserve"> 27</w:t>
      </w:r>
      <w:r w:rsidR="001A37B6">
        <w:rPr>
          <w:rFonts w:hint="default"/>
        </w:rPr>
        <w:t xml:space="preserve"> zostá</w:t>
      </w:r>
      <w:r w:rsidR="001A37B6">
        <w:rPr>
          <w:rFonts w:hint="default"/>
        </w:rPr>
        <w:t>va zachovaná</w:t>
      </w:r>
      <w:r w:rsidRPr="001D7C88">
        <w:rPr>
          <w:rFonts w:hint="default"/>
        </w:rPr>
        <w:t>. Fond oznamuje uzavretie tejto zmluvy Euró</w:t>
      </w:r>
      <w:r w:rsidRPr="001D7C88">
        <w:rPr>
          <w:rFonts w:hint="default"/>
        </w:rPr>
        <w:t>pskemu orgá</w:t>
      </w:r>
      <w:r w:rsidRPr="001D7C88">
        <w:rPr>
          <w:rFonts w:hint="default"/>
        </w:rPr>
        <w:t>nu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pskemu orgá</w:t>
      </w:r>
      <w:r w:rsidRPr="001D7C88">
        <w:rPr>
          <w:rFonts w:hint="default"/>
        </w:rPr>
        <w:t>nu pre bankovní</w:t>
      </w:r>
      <w:r w:rsidRPr="001D7C88">
        <w:rPr>
          <w:rFonts w:hint="default"/>
        </w:rPr>
        <w:t>ctvo). Ak je pri uzatvá</w:t>
      </w:r>
      <w:r w:rsidRPr="001D7C88">
        <w:rPr>
          <w:rFonts w:hint="default"/>
        </w:rPr>
        <w:t>raní</w:t>
      </w:r>
      <w:r w:rsidRPr="001D7C88">
        <w:rPr>
          <w:rFonts w:hint="default"/>
        </w:rPr>
        <w:t xml:space="preserve"> tejto zmluvy potrebná</w:t>
      </w:r>
      <w:r w:rsidRPr="001D7C88">
        <w:rPr>
          <w:rFonts w:hint="default"/>
        </w:rPr>
        <w:t xml:space="preserve"> pomoc alebo vznikol pri vý</w:t>
      </w:r>
      <w:r w:rsidRPr="001D7C88">
        <w:rPr>
          <w:rFonts w:hint="default"/>
        </w:rPr>
        <w:t>klade tejto zml</w:t>
      </w:r>
      <w:r w:rsidRPr="001D7C88">
        <w:rPr>
          <w:rFonts w:hint="default"/>
        </w:rPr>
        <w:t>uvy spor, fond môž</w:t>
      </w:r>
      <w:r w:rsidRPr="001D7C88">
        <w:rPr>
          <w:rFonts w:hint="default"/>
        </w:rPr>
        <w:t>e pož</w:t>
      </w:r>
      <w:r w:rsidRPr="001D7C88">
        <w:rPr>
          <w:rFonts w:hint="default"/>
        </w:rPr>
        <w:t>iadať</w:t>
      </w:r>
      <w:r w:rsidRPr="001D7C88">
        <w:rPr>
          <w:rFonts w:hint="default"/>
        </w:rPr>
        <w:t xml:space="preserve"> 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psky orgá</w:t>
      </w:r>
      <w:r w:rsidRPr="001D7C88">
        <w:rPr>
          <w:rFonts w:hint="default"/>
        </w:rPr>
        <w:t>nu pre bankovní</w:t>
      </w:r>
      <w:r w:rsidRPr="001D7C88">
        <w:rPr>
          <w:rFonts w:hint="default"/>
        </w:rPr>
        <w:t>ctvo) o pomoc v </w:t>
      </w:r>
      <w:r w:rsidRPr="001D7C88">
        <w:rPr>
          <w:rFonts w:hint="default"/>
        </w:rPr>
        <w:t>sú</w:t>
      </w:r>
      <w:r w:rsidRPr="001D7C88">
        <w:rPr>
          <w:rFonts w:hint="default"/>
        </w:rPr>
        <w:t>lade s </w:t>
      </w:r>
      <w:r w:rsidRPr="001D7C88">
        <w:rPr>
          <w:rFonts w:hint="default"/>
        </w:rPr>
        <w:t>osobitný</w:t>
      </w:r>
      <w:r w:rsidRPr="001D7C88">
        <w:rPr>
          <w:rFonts w:hint="default"/>
        </w:rPr>
        <w:t>m predpisom.</w:t>
      </w:r>
      <w:r w:rsidRPr="001D7C88">
        <w:rPr>
          <w:vertAlign w:val="superscript"/>
        </w:rPr>
        <w:t>15eab</w:t>
      </w:r>
      <w:r w:rsidRPr="001D7C88">
        <w:rPr>
          <w:rFonts w:hint="default"/>
        </w:rPr>
        <w:t>) Neuzavretí</w:t>
      </w:r>
      <w:r w:rsidRPr="001D7C88">
        <w:rPr>
          <w:rFonts w:hint="default"/>
        </w:rPr>
        <w:t>m tejto zmluvy nie je dotknutá</w:t>
      </w:r>
      <w:r w:rsidRPr="001D7C88">
        <w:rPr>
          <w:rFonts w:hint="default"/>
        </w:rPr>
        <w:t xml:space="preserve"> ochrana vkladov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kona.“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k odkazu 15eab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15eab</w:t>
      </w:r>
      <w:r w:rsidRPr="001D7C88">
        <w:rPr>
          <w:rFonts w:hint="default"/>
        </w:rPr>
        <w:t>) Č</w:t>
      </w:r>
      <w:r w:rsidRPr="001D7C88">
        <w:rPr>
          <w:rFonts w:hint="default"/>
        </w:rPr>
        <w:t xml:space="preserve">l. </w:t>
      </w:r>
      <w:r w:rsidRPr="001D7C88">
        <w:rPr>
          <w:rFonts w:hint="default"/>
        </w:rPr>
        <w:t>19 nariadenia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1093/2010 v </w:t>
      </w:r>
      <w:r w:rsidRPr="001D7C88">
        <w:rPr>
          <w:rFonts w:hint="default"/>
        </w:rPr>
        <w:t>platnom znení.“.</w:t>
      </w:r>
    </w:p>
    <w:p w:rsidR="005A0FB7" w:rsidRPr="001D7C88">
      <w:pPr>
        <w:bidi w:val="0"/>
        <w:ind w:firstLine="708"/>
        <w:jc w:val="both"/>
      </w:pPr>
    </w:p>
    <w:p w:rsidR="005A0FB7" w:rsidRPr="001D7C88">
      <w:pPr>
        <w:bidi w:val="0"/>
        <w:ind w:firstLine="708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28. V §</w:t>
      </w:r>
      <w:r w:rsidRPr="001D7C88">
        <w:rPr>
          <w:rFonts w:hint="default"/>
        </w:rPr>
        <w:t xml:space="preserve"> 12 ods. 1 prvej vete sa na konci pripá</w:t>
      </w:r>
      <w:r w:rsidRPr="001D7C88">
        <w:rPr>
          <w:rFonts w:hint="default"/>
        </w:rPr>
        <w:t>jajú</w:t>
      </w:r>
      <w:r w:rsidRPr="001D7C88">
        <w:rPr>
          <w:rFonts w:hint="default"/>
        </w:rPr>
        <w:t xml:space="preserve"> tieto slová</w:t>
      </w:r>
      <w:r w:rsidRPr="001D7C88">
        <w:rPr>
          <w:rFonts w:hint="default"/>
        </w:rPr>
        <w:t xml:space="preserve">: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 xml:space="preserve">kona alebo </w:t>
      </w:r>
      <w:r w:rsidR="00F4505F">
        <w:rPr>
          <w:rFonts w:hint="default"/>
        </w:rPr>
        <w:t>podľ</w:t>
      </w:r>
      <w:r w:rsidR="00F4505F">
        <w:rPr>
          <w:rFonts w:hint="default"/>
        </w:rPr>
        <w:t xml:space="preserve">a </w:t>
      </w:r>
      <w:r w:rsidRPr="001D7C88">
        <w:rPr>
          <w:rFonts w:hint="default"/>
        </w:rPr>
        <w:t>osobitný</w:t>
      </w:r>
      <w:r w:rsidRPr="001D7C88">
        <w:rPr>
          <w:rFonts w:hint="default"/>
        </w:rPr>
        <w:t>ch predpisov</w:t>
      </w:r>
      <w:r w:rsidRPr="001D7C88">
        <w:rPr>
          <w:vertAlign w:val="superscript"/>
        </w:rPr>
        <w:t>15fa</w:t>
      </w:r>
      <w:r w:rsidRPr="001D7C88">
        <w:rPr>
          <w:rFonts w:hint="default"/>
        </w:rPr>
        <w:t>)“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ind w:firstLine="708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 odkazu 15fa znie:</w:t>
      </w: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15fa</w:t>
      </w:r>
      <w:r w:rsidRPr="001D7C88">
        <w:rPr>
          <w:rFonts w:hint="default"/>
        </w:rPr>
        <w:t>) Naprí</w:t>
      </w:r>
      <w:r w:rsidRPr="001D7C88">
        <w:rPr>
          <w:rFonts w:hint="default"/>
        </w:rPr>
        <w:t>klad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371/2014 Z</w:t>
      </w:r>
      <w:r w:rsidRPr="001D7C88">
        <w:rPr>
          <w:rFonts w:hint="default"/>
        </w:rPr>
        <w:t>. z. v znení</w:t>
      </w:r>
      <w:r w:rsidRPr="001D7C88">
        <w:rPr>
          <w:rFonts w:hint="default"/>
        </w:rPr>
        <w:t xml:space="preserve"> neskorší</w:t>
      </w:r>
      <w:r w:rsidRPr="001D7C88">
        <w:rPr>
          <w:rFonts w:hint="default"/>
        </w:rPr>
        <w:t>ch predpisov, č</w:t>
      </w:r>
      <w:r w:rsidRPr="001D7C88">
        <w:rPr>
          <w:rFonts w:hint="default"/>
        </w:rPr>
        <w:t>l. 16 ods. 1 delegované</w:t>
      </w:r>
      <w:r w:rsidRPr="001D7C88">
        <w:rPr>
          <w:rFonts w:hint="default"/>
        </w:rPr>
        <w:t>ho nariadenia Komisie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2015/63 z 21. októ</w:t>
      </w:r>
      <w:r w:rsidRPr="001D7C88">
        <w:rPr>
          <w:rFonts w:hint="default"/>
        </w:rPr>
        <w:t>bra 2014, ktorý</w:t>
      </w:r>
      <w:r w:rsidRPr="001D7C88">
        <w:rPr>
          <w:rFonts w:hint="default"/>
        </w:rPr>
        <w:t>m sa dopĺň</w:t>
      </w:r>
      <w:r w:rsidRPr="001D7C88">
        <w:rPr>
          <w:rFonts w:hint="default"/>
        </w:rPr>
        <w:t>a smernica Euró</w:t>
      </w:r>
      <w:r w:rsidRPr="001D7C88">
        <w:rPr>
          <w:rFonts w:hint="default"/>
        </w:rPr>
        <w:t>pskeho parlamentu a Rady 2014/59/EÚ</w:t>
      </w:r>
      <w:r w:rsidRPr="001D7C88">
        <w:rPr>
          <w:rFonts w:hint="default"/>
        </w:rPr>
        <w:t>, pokiaľ</w:t>
      </w:r>
      <w:r w:rsidRPr="001D7C88">
        <w:rPr>
          <w:rFonts w:hint="default"/>
        </w:rPr>
        <w:t xml:space="preserve"> ide o prí</w:t>
      </w:r>
      <w:r w:rsidRPr="001D7C88">
        <w:rPr>
          <w:rFonts w:hint="default"/>
        </w:rPr>
        <w:t>spevky ex ante do mechanizmov financovania rieš</w:t>
      </w:r>
      <w:r w:rsidRPr="001D7C88">
        <w:rPr>
          <w:rFonts w:hint="default"/>
        </w:rPr>
        <w:t>enia krí</w:t>
      </w:r>
      <w:r w:rsidRPr="001D7C88">
        <w:rPr>
          <w:rFonts w:hint="default"/>
        </w:rPr>
        <w:t>z</w:t>
      </w:r>
      <w:r w:rsidRPr="001D7C88">
        <w:rPr>
          <w:rFonts w:hint="default"/>
        </w:rPr>
        <w:t>ový</w:t>
      </w:r>
      <w:r w:rsidRPr="001D7C88">
        <w:rPr>
          <w:rFonts w:hint="default"/>
        </w:rPr>
        <w:t>ch situá</w:t>
      </w:r>
      <w:r w:rsidRPr="001D7C88">
        <w:rPr>
          <w:rFonts w:hint="default"/>
        </w:rPr>
        <w:t>cií</w:t>
      </w:r>
      <w:r w:rsidRPr="001D7C88">
        <w:rPr>
          <w:rFonts w:hint="default"/>
        </w:rPr>
        <w:t xml:space="preserve"> (Ú</w:t>
      </w:r>
      <w:r w:rsidRPr="001D7C88">
        <w:rPr>
          <w:rFonts w:hint="default"/>
        </w:rPr>
        <w:t>. v. EÚ</w:t>
      </w:r>
      <w:r w:rsidRPr="001D7C88">
        <w:rPr>
          <w:rFonts w:hint="default"/>
        </w:rPr>
        <w:t xml:space="preserve"> L 11, 17. 1. 2015).“.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29. V §</w:t>
      </w:r>
      <w:r w:rsidRPr="001D7C88">
        <w:rPr>
          <w:rFonts w:hint="default"/>
        </w:rPr>
        <w:t xml:space="preserve"> 12 ods. 4 pí</w:t>
      </w:r>
      <w:r w:rsidRPr="001D7C88">
        <w:rPr>
          <w:rFonts w:hint="default"/>
        </w:rPr>
        <w:t>sm. e) sa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vklady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tý</w:t>
      </w:r>
      <w:r w:rsidRPr="001D7C88">
        <w:rPr>
          <w:rFonts w:hint="default"/>
        </w:rPr>
        <w:t>mto zá</w:t>
      </w:r>
      <w:r w:rsidRPr="001D7C88">
        <w:rPr>
          <w:rFonts w:hint="default"/>
        </w:rPr>
        <w:t>konom“</w:t>
      </w:r>
      <w:r w:rsidRPr="001D7C88">
        <w:rPr>
          <w:rFonts w:hint="default"/>
        </w:rPr>
        <w:t xml:space="preserve"> nahrá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 xml:space="preserve"> slovami „</w:t>
      </w:r>
      <w:r w:rsidRPr="001D7C88">
        <w:rPr>
          <w:rFonts w:hint="default"/>
        </w:rPr>
        <w:t>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vklady a kryté</w:t>
      </w:r>
      <w:r w:rsidRPr="001D7C88">
        <w:rPr>
          <w:rFonts w:hint="default"/>
        </w:rPr>
        <w:t xml:space="preserve"> vklady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kona“.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30. V §</w:t>
      </w:r>
      <w:r w:rsidRPr="001D7C88">
        <w:rPr>
          <w:rFonts w:hint="default"/>
        </w:rPr>
        <w:t xml:space="preserve"> 12 sa odsek 4 dopĺň</w:t>
      </w:r>
      <w:r w:rsidRPr="001D7C88">
        <w:rPr>
          <w:rFonts w:hint="default"/>
        </w:rPr>
        <w:t>a pí</w:t>
      </w:r>
      <w:r w:rsidRPr="001D7C88">
        <w:rPr>
          <w:rFonts w:hint="default"/>
        </w:rPr>
        <w:t>smenami f) až </w:t>
      </w:r>
      <w:r w:rsidRPr="001D7C88">
        <w:rPr>
          <w:rFonts w:hint="default"/>
        </w:rPr>
        <w:t>h), ktoré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 xml:space="preserve">f) </w:t>
      </w:r>
      <w:r w:rsidRPr="001D7C88" w:rsidR="00847B75">
        <w:t>p</w:t>
      </w:r>
      <w:r w:rsidRPr="001D7C88" w:rsidR="00847B75">
        <w:rPr>
          <w:rFonts w:hint="default"/>
        </w:rPr>
        <w:t>oskytnúť</w:t>
      </w:r>
      <w:r w:rsidRPr="001D7C88" w:rsidR="00847B75">
        <w:rPr>
          <w:rFonts w:hint="default"/>
        </w:rPr>
        <w:t xml:space="preserve"> vkladateľ</w:t>
      </w:r>
      <w:r w:rsidRPr="001D7C88" w:rsidR="00847B75">
        <w:rPr>
          <w:rFonts w:hint="default"/>
        </w:rPr>
        <w:t xml:space="preserve">ovi </w:t>
      </w:r>
      <w:r w:rsidRPr="001D7C88">
        <w:rPr>
          <w:rFonts w:hint="default"/>
        </w:rPr>
        <w:t>pred uzatvorení</w:t>
      </w:r>
      <w:r w:rsidRPr="001D7C88">
        <w:rPr>
          <w:rFonts w:hint="default"/>
        </w:rPr>
        <w:t>m zmluvy o vklade a </w:t>
      </w:r>
      <w:r w:rsidRPr="001D7C88">
        <w:rPr>
          <w:rFonts w:hint="default"/>
        </w:rPr>
        <w:t>ná</w:t>
      </w:r>
      <w:r w:rsidRPr="001D7C88">
        <w:rPr>
          <w:rFonts w:hint="default"/>
        </w:rPr>
        <w:t>sledne raz roč</w:t>
      </w:r>
      <w:r w:rsidRPr="001D7C88">
        <w:rPr>
          <w:rFonts w:hint="default"/>
        </w:rPr>
        <w:t>ne poč</w:t>
      </w:r>
      <w:r w:rsidRPr="001D7C88">
        <w:rPr>
          <w:rFonts w:hint="default"/>
        </w:rPr>
        <w:t>as vedenia vkladu informá</w:t>
      </w:r>
      <w:r w:rsidRPr="001D7C88">
        <w:rPr>
          <w:rFonts w:hint="default"/>
        </w:rPr>
        <w:t>ciu podľ</w:t>
      </w:r>
      <w:r w:rsidRPr="001D7C88">
        <w:rPr>
          <w:rFonts w:hint="default"/>
        </w:rPr>
        <w:t>a pí</w:t>
      </w:r>
      <w:r w:rsidRPr="001D7C88">
        <w:rPr>
          <w:rFonts w:hint="default"/>
        </w:rPr>
        <w:t>smena c) prostrední</w:t>
      </w:r>
      <w:r w:rsidRPr="001D7C88">
        <w:rPr>
          <w:rFonts w:hint="default"/>
        </w:rPr>
        <w:t>ctvom formulá</w:t>
      </w:r>
      <w:r w:rsidRPr="001D7C88">
        <w:rPr>
          <w:rFonts w:hint="default"/>
        </w:rPr>
        <w:t>ra uvedené</w:t>
      </w:r>
      <w:r w:rsidRPr="001D7C88">
        <w:rPr>
          <w:rFonts w:hint="default"/>
        </w:rPr>
        <w:t>ho v </w:t>
      </w:r>
      <w:r w:rsidRPr="001D7C88">
        <w:rPr>
          <w:rFonts w:hint="default"/>
        </w:rPr>
        <w:t>prí</w:t>
      </w:r>
      <w:r w:rsidRPr="001D7C88">
        <w:rPr>
          <w:rFonts w:hint="default"/>
        </w:rPr>
        <w:t>lohe č. </w:t>
      </w:r>
      <w:r w:rsidRPr="001D7C88">
        <w:rPr>
          <w:rFonts w:hint="default"/>
        </w:rPr>
        <w:t>2, v </w:t>
      </w:r>
      <w:r w:rsidRPr="001D7C88">
        <w:rPr>
          <w:rFonts w:hint="default"/>
        </w:rPr>
        <w:t>ktorom sa uvedie adresa webové</w:t>
      </w:r>
      <w:r w:rsidRPr="001D7C88">
        <w:rPr>
          <w:rFonts w:hint="default"/>
        </w:rPr>
        <w:t>ho sí</w:t>
      </w:r>
      <w:r w:rsidRPr="001D7C88">
        <w:rPr>
          <w:rFonts w:hint="default"/>
        </w:rPr>
        <w:t>dla fondu, a to v listinnej podobe alebo v</w:t>
      </w:r>
      <w:r w:rsidRPr="001D7C88">
        <w:rPr>
          <w:rFonts w:hint="default"/>
        </w:rPr>
        <w:t xml:space="preserve"> podobe zá</w:t>
      </w:r>
      <w:r w:rsidRPr="001D7C88">
        <w:rPr>
          <w:rFonts w:hint="default"/>
        </w:rPr>
        <w:t>pisu na inom trvanlivom mé</w:t>
      </w:r>
      <w:r w:rsidRPr="001D7C88">
        <w:rPr>
          <w:rFonts w:hint="default"/>
        </w:rPr>
        <w:t>diu, ktoré</w:t>
      </w:r>
      <w:r w:rsidRPr="001D7C88">
        <w:rPr>
          <w:rFonts w:hint="default"/>
        </w:rPr>
        <w:t xml:space="preserve"> je dostupné</w:t>
      </w:r>
      <w:r w:rsidRPr="001D7C88">
        <w:rPr>
          <w:rFonts w:hint="default"/>
        </w:rPr>
        <w:t xml:space="preserve"> vkladateľ</w:t>
      </w:r>
      <w:r w:rsidRPr="001D7C88">
        <w:rPr>
          <w:rFonts w:hint="default"/>
        </w:rPr>
        <w:t>ovi, prič</w:t>
      </w:r>
      <w:r w:rsidRPr="001D7C88">
        <w:rPr>
          <w:rFonts w:hint="default"/>
        </w:rPr>
        <w:t>om vkladateľ</w:t>
      </w:r>
      <w:r w:rsidRPr="001D7C88">
        <w:rPr>
          <w:rFonts w:hint="default"/>
        </w:rPr>
        <w:t xml:space="preserve"> potvrdí</w:t>
      </w:r>
      <w:r w:rsidRPr="001D7C88">
        <w:rPr>
          <w:rFonts w:hint="default"/>
        </w:rPr>
        <w:t xml:space="preserve"> prijatie  informá</w:t>
      </w:r>
      <w:r w:rsidRPr="001D7C88">
        <w:rPr>
          <w:rFonts w:hint="default"/>
        </w:rPr>
        <w:t>cie len pred uzatvorení</w:t>
      </w:r>
      <w:r w:rsidRPr="001D7C88">
        <w:rPr>
          <w:rFonts w:hint="default"/>
        </w:rPr>
        <w:t>m zmluvy o vklade,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g) poskytnúť</w:t>
      </w:r>
      <w:r w:rsidRPr="001D7C88">
        <w:rPr>
          <w:rFonts w:hint="default"/>
        </w:rPr>
        <w:t xml:space="preserve"> vkladateľ</w:t>
      </w:r>
      <w:r w:rsidRPr="001D7C88">
        <w:rPr>
          <w:rFonts w:hint="default"/>
        </w:rPr>
        <w:t>ovi potvrdenie, ž</w:t>
      </w:r>
      <w:r w:rsidRPr="001D7C88">
        <w:rPr>
          <w:rFonts w:hint="default"/>
        </w:rPr>
        <w:t>e jeho vklad je chrá</w:t>
      </w:r>
      <w:r w:rsidRPr="001D7C88">
        <w:rPr>
          <w:rFonts w:hint="default"/>
        </w:rPr>
        <w:t>nený</w:t>
      </w:r>
      <w:r w:rsidRPr="001D7C88">
        <w:rPr>
          <w:rFonts w:hint="default"/>
        </w:rPr>
        <w:t xml:space="preserve"> alebo nie je chrá</w:t>
      </w:r>
      <w:r w:rsidRPr="001D7C88">
        <w:rPr>
          <w:rFonts w:hint="default"/>
        </w:rPr>
        <w:t>nený</w:t>
      </w:r>
      <w:r w:rsidR="0073736B">
        <w:t>,</w:t>
      </w:r>
      <w:r w:rsidRPr="001D7C88">
        <w:t xml:space="preserve"> a to v </w:t>
      </w:r>
      <w:r w:rsidRPr="001D7C88">
        <w:rPr>
          <w:rFonts w:hint="default"/>
        </w:rPr>
        <w:t>kaž</w:t>
      </w:r>
      <w:r w:rsidRPr="001D7C88">
        <w:rPr>
          <w:rFonts w:hint="default"/>
        </w:rPr>
        <w:t>do</w:t>
      </w:r>
      <w:r w:rsidRPr="001D7C88">
        <w:rPr>
          <w:rFonts w:hint="default"/>
        </w:rPr>
        <w:t>m jeho vý</w:t>
      </w:r>
      <w:r w:rsidRPr="001D7C88">
        <w:rPr>
          <w:rFonts w:hint="default"/>
        </w:rPr>
        <w:t>pise z </w:t>
      </w:r>
      <w:r w:rsidRPr="001D7C88">
        <w:rPr>
          <w:rFonts w:hint="default"/>
        </w:rPr>
        <w:t>úč</w:t>
      </w:r>
      <w:r w:rsidRPr="001D7C88">
        <w:rPr>
          <w:rFonts w:hint="default"/>
        </w:rPr>
        <w:t>tu s </w:t>
      </w:r>
      <w:r w:rsidRPr="001D7C88">
        <w:rPr>
          <w:rFonts w:hint="default"/>
        </w:rPr>
        <w:t>odkazom na formulá</w:t>
      </w:r>
      <w:r w:rsidRPr="001D7C88">
        <w:rPr>
          <w:rFonts w:hint="default"/>
        </w:rPr>
        <w:t>r uvedený</w:t>
      </w:r>
      <w:r w:rsidRPr="001D7C88">
        <w:rPr>
          <w:rFonts w:hint="default"/>
        </w:rPr>
        <w:t xml:space="preserve"> v </w:t>
      </w:r>
      <w:r w:rsidRPr="001D7C88">
        <w:rPr>
          <w:rFonts w:hint="default"/>
        </w:rPr>
        <w:t>prí</w:t>
      </w:r>
      <w:r w:rsidRPr="001D7C88">
        <w:rPr>
          <w:rFonts w:hint="default"/>
        </w:rPr>
        <w:t>lohe č</w:t>
      </w:r>
      <w:r w:rsidRPr="001D7C88">
        <w:rPr>
          <w:rFonts w:hint="default"/>
        </w:rPr>
        <w:t>. 2,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 xml:space="preserve">h) </w:t>
      </w:r>
      <w:r w:rsidRPr="001D7C88" w:rsidR="00847B75">
        <w:rPr>
          <w:rFonts w:hint="default"/>
        </w:rPr>
        <w:t>poskytnúť</w:t>
      </w:r>
      <w:r w:rsidRPr="001D7C88" w:rsidR="00847B75">
        <w:rPr>
          <w:rFonts w:hint="default"/>
        </w:rPr>
        <w:t xml:space="preserve"> vkladateľ</w:t>
      </w:r>
      <w:r w:rsidRPr="001D7C88" w:rsidR="00847B75">
        <w:rPr>
          <w:rFonts w:hint="default"/>
        </w:rPr>
        <w:t xml:space="preserve">ovi </w:t>
      </w:r>
      <w:r w:rsidRPr="001D7C88">
        <w:rPr>
          <w:rFonts w:hint="default"/>
        </w:rPr>
        <w:t>pred uzatvorení</w:t>
      </w:r>
      <w:r w:rsidRPr="001D7C88">
        <w:rPr>
          <w:rFonts w:hint="default"/>
        </w:rPr>
        <w:t>m zmluvy o </w:t>
      </w:r>
      <w:r w:rsidRPr="001D7C88">
        <w:rPr>
          <w:rFonts w:hint="default"/>
        </w:rPr>
        <w:t>vklade informá</w:t>
      </w:r>
      <w:r w:rsidRPr="001D7C88">
        <w:rPr>
          <w:rFonts w:hint="default"/>
        </w:rPr>
        <w:t>ciu o </w:t>
      </w:r>
      <w:r w:rsidRPr="001D7C88">
        <w:rPr>
          <w:rFonts w:hint="default"/>
        </w:rPr>
        <w:t>skutoč</w:t>
      </w:r>
      <w:r w:rsidRPr="001D7C88">
        <w:rPr>
          <w:rFonts w:hint="default"/>
        </w:rPr>
        <w:t>nostiach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9 ods. 3.“.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31. V §</w:t>
      </w:r>
      <w:r w:rsidRPr="001D7C88">
        <w:rPr>
          <w:rFonts w:hint="default"/>
        </w:rPr>
        <w:t xml:space="preserve"> 12 ods. 5 sa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pí</w:t>
      </w:r>
      <w:r w:rsidRPr="001D7C88">
        <w:rPr>
          <w:rFonts w:hint="default"/>
        </w:rPr>
        <w:t>sm. c)“</w:t>
      </w:r>
      <w:r w:rsidRPr="001D7C88">
        <w:rPr>
          <w:rFonts w:hint="default"/>
        </w:rPr>
        <w:t xml:space="preserve"> nahrá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 xml:space="preserve"> slovami „</w:t>
      </w:r>
      <w:r w:rsidRPr="001D7C88">
        <w:rPr>
          <w:rFonts w:hint="default"/>
        </w:rPr>
        <w:t xml:space="preserve"> pí</w:t>
      </w:r>
      <w:r w:rsidRPr="001D7C88">
        <w:rPr>
          <w:rFonts w:hint="default"/>
        </w:rPr>
        <w:t>sm. c), f) až </w:t>
      </w:r>
      <w:r w:rsidRPr="001D7C88">
        <w:rPr>
          <w:rFonts w:hint="default"/>
        </w:rPr>
        <w:t>h)“.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32. V §</w:t>
      </w:r>
      <w:r w:rsidRPr="001D7C88">
        <w:rPr>
          <w:rFonts w:hint="default"/>
        </w:rPr>
        <w:t xml:space="preserve"> 12 ods. 6 sa za slovo „</w:t>
      </w:r>
      <w:r w:rsidRPr="001D7C88">
        <w:rPr>
          <w:rFonts w:hint="default"/>
        </w:rPr>
        <w:t>Slovenska,“</w:t>
      </w:r>
      <w:r w:rsidRPr="001D7C88">
        <w:rPr>
          <w:rFonts w:hint="default"/>
        </w:rPr>
        <w:t xml:space="preserve"> vkladajú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s Euró</w:t>
      </w:r>
      <w:r w:rsidRPr="001D7C88">
        <w:rPr>
          <w:rFonts w:hint="default"/>
        </w:rPr>
        <w:t>pskym orgá</w:t>
      </w:r>
      <w:r w:rsidRPr="001D7C88">
        <w:rPr>
          <w:rFonts w:hint="default"/>
        </w:rPr>
        <w:t>nom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pskym orgá</w:t>
      </w:r>
      <w:r w:rsidRPr="001D7C88">
        <w:rPr>
          <w:rFonts w:hint="default"/>
        </w:rPr>
        <w:t>nom pre bankovní</w:t>
      </w:r>
      <w:r w:rsidRPr="001D7C88">
        <w:rPr>
          <w:rFonts w:hint="default"/>
        </w:rPr>
        <w:t>ctvo), Radou pre rieš</w:t>
      </w:r>
      <w:r w:rsidRPr="001D7C88">
        <w:rPr>
          <w:rFonts w:hint="default"/>
        </w:rPr>
        <w:t>enie krí</w:t>
      </w:r>
      <w:r w:rsidRPr="001D7C88">
        <w:rPr>
          <w:rFonts w:hint="default"/>
        </w:rPr>
        <w:t>zový</w:t>
      </w:r>
      <w:r w:rsidRPr="001D7C88">
        <w:rPr>
          <w:rFonts w:hint="default"/>
        </w:rPr>
        <w:t>ch situá</w:t>
      </w:r>
      <w:r w:rsidRPr="001D7C88">
        <w:rPr>
          <w:rFonts w:hint="default"/>
        </w:rPr>
        <w:t>cií,“</w:t>
      </w:r>
      <w:r w:rsidRPr="001D7C88">
        <w:rPr>
          <w:rFonts w:hint="default"/>
        </w:rPr>
        <w:t xml:space="preserve"> a na konci sa pripá</w:t>
      </w:r>
      <w:r w:rsidRPr="001D7C88">
        <w:rPr>
          <w:rFonts w:hint="default"/>
        </w:rPr>
        <w:t>jajú</w:t>
      </w:r>
      <w:r w:rsidRPr="001D7C88">
        <w:rPr>
          <w:rFonts w:hint="default"/>
        </w:rPr>
        <w:t xml:space="preserve"> tieto vety: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 w:rsidR="001A37B6">
        <w:rPr>
          <w:rFonts w:hint="default"/>
        </w:rPr>
        <w:t>Ná</w:t>
      </w:r>
      <w:r w:rsidRPr="001D7C88" w:rsidR="001A37B6">
        <w:rPr>
          <w:rFonts w:hint="default"/>
        </w:rPr>
        <w:t>rodn</w:t>
      </w:r>
      <w:r w:rsidR="001A37B6">
        <w:rPr>
          <w:rFonts w:hint="default"/>
        </w:rPr>
        <w:t>á</w:t>
      </w:r>
      <w:r w:rsidRPr="001D7C88" w:rsidR="001A37B6">
        <w:t xml:space="preserve"> bank</w:t>
      </w:r>
      <w:r w:rsidR="001A37B6">
        <w:t>a</w:t>
      </w:r>
      <w:r w:rsidRPr="001D7C88" w:rsidR="001A37B6">
        <w:t xml:space="preserve"> Slovenska a Rad</w:t>
      </w:r>
      <w:r w:rsidR="001A37B6">
        <w:t>a</w:t>
      </w:r>
      <w:r w:rsidRPr="001D7C88" w:rsidR="001A37B6">
        <w:rPr>
          <w:rFonts w:hint="default"/>
        </w:rPr>
        <w:t xml:space="preserve"> pre rieš</w:t>
      </w:r>
      <w:r w:rsidRPr="001D7C88" w:rsidR="001A37B6">
        <w:rPr>
          <w:rFonts w:hint="default"/>
        </w:rPr>
        <w:t>enie krí</w:t>
      </w:r>
      <w:r w:rsidRPr="001D7C88" w:rsidR="001A37B6">
        <w:rPr>
          <w:rFonts w:hint="default"/>
        </w:rPr>
        <w:t>zový</w:t>
      </w:r>
      <w:r w:rsidRPr="001D7C88" w:rsidR="001A37B6">
        <w:rPr>
          <w:rFonts w:hint="default"/>
        </w:rPr>
        <w:t>ch</w:t>
      </w:r>
      <w:r w:rsidRPr="001D7C88" w:rsidR="001A37B6">
        <w:rPr>
          <w:rFonts w:hint="default"/>
        </w:rPr>
        <w:t xml:space="preserve"> situá</w:t>
      </w:r>
      <w:r w:rsidRPr="001D7C88" w:rsidR="001A37B6">
        <w:rPr>
          <w:rFonts w:hint="default"/>
        </w:rPr>
        <w:t>cií</w:t>
      </w:r>
      <w:r w:rsidR="001A37B6">
        <w:rPr>
          <w:rFonts w:hint="default"/>
        </w:rPr>
        <w:t xml:space="preserve"> poskytne fondu na jeho pož</w:t>
      </w:r>
      <w:r w:rsidR="001A37B6">
        <w:rPr>
          <w:rFonts w:hint="default"/>
        </w:rPr>
        <w:t>iadanie</w:t>
      </w:r>
      <w:r w:rsidRPr="001A37B6" w:rsidR="001A37B6">
        <w:t xml:space="preserve"> </w:t>
      </w:r>
      <w:r w:rsidRPr="001D7C88" w:rsidR="001A37B6">
        <w:rPr>
          <w:rFonts w:hint="default"/>
        </w:rPr>
        <w:t>metodiku slúž</w:t>
      </w:r>
      <w:r w:rsidRPr="001D7C88" w:rsidR="001A37B6">
        <w:rPr>
          <w:rFonts w:hint="default"/>
        </w:rPr>
        <w:t>iacu na zisť</w:t>
      </w:r>
      <w:r w:rsidRPr="001D7C88" w:rsidR="001A37B6">
        <w:rPr>
          <w:rFonts w:hint="default"/>
        </w:rPr>
        <w:t>ovanie rizikové</w:t>
      </w:r>
      <w:r w:rsidRPr="001D7C88" w:rsidR="001A37B6">
        <w:rPr>
          <w:rFonts w:hint="default"/>
        </w:rPr>
        <w:t>ho profilu a ú</w:t>
      </w:r>
      <w:r w:rsidRPr="001D7C88" w:rsidR="001A37B6">
        <w:rPr>
          <w:rFonts w:hint="default"/>
        </w:rPr>
        <w:t>daje o zistenom a zohľ</w:t>
      </w:r>
      <w:r w:rsidRPr="001D7C88" w:rsidR="001A37B6">
        <w:rPr>
          <w:rFonts w:hint="default"/>
        </w:rPr>
        <w:t>adň</w:t>
      </w:r>
      <w:r w:rsidRPr="001D7C88" w:rsidR="001A37B6">
        <w:rPr>
          <w:rFonts w:hint="default"/>
        </w:rPr>
        <w:t>ovanom rizikovom profile na úč</w:t>
      </w:r>
      <w:r w:rsidRPr="001D7C88" w:rsidR="001A37B6">
        <w:rPr>
          <w:rFonts w:hint="default"/>
        </w:rPr>
        <w:t>ely ustanovené</w:t>
      </w:r>
      <w:r w:rsidRPr="001D7C88" w:rsidR="001A37B6">
        <w:rPr>
          <w:rFonts w:hint="default"/>
        </w:rPr>
        <w:t xml:space="preserve"> osobitný</w:t>
      </w:r>
      <w:r w:rsidRPr="001D7C88" w:rsidR="001A37B6">
        <w:rPr>
          <w:rFonts w:hint="default"/>
        </w:rPr>
        <w:t>m zá</w:t>
      </w:r>
      <w:r w:rsidRPr="001D7C88" w:rsidR="001A37B6">
        <w:rPr>
          <w:rFonts w:hint="default"/>
        </w:rPr>
        <w:t>konom</w:t>
      </w:r>
      <w:r w:rsidR="001A37B6">
        <w:t>,</w:t>
      </w:r>
      <w:r w:rsidRPr="001D7C88" w:rsidR="001A37B6">
        <w:rPr>
          <w:vertAlign w:val="superscript"/>
        </w:rPr>
        <w:t>1a</w:t>
      </w:r>
      <w:r w:rsidRPr="001D7C88" w:rsidR="001A37B6">
        <w:t>)</w:t>
      </w:r>
      <w:r w:rsidR="001A37B6">
        <w:t xml:space="preserve"> a </w:t>
      </w:r>
      <w:r w:rsidR="001A37B6">
        <w:rPr>
          <w:rFonts w:hint="default"/>
        </w:rPr>
        <w:t>to na úč</w:t>
      </w:r>
      <w:r w:rsidR="001A37B6">
        <w:rPr>
          <w:rFonts w:hint="default"/>
        </w:rPr>
        <w:t>ely vý</w:t>
      </w:r>
      <w:r w:rsidR="001A37B6">
        <w:rPr>
          <w:rFonts w:hint="default"/>
        </w:rPr>
        <w:t>konu jeho pô</w:t>
      </w:r>
      <w:r w:rsidR="001A37B6">
        <w:rPr>
          <w:rFonts w:hint="default"/>
        </w:rPr>
        <w:t>sobnosti a </w:t>
      </w:r>
      <w:r w:rsidR="001A37B6">
        <w:rPr>
          <w:rFonts w:hint="default"/>
        </w:rPr>
        <w:t>č</w:t>
      </w:r>
      <w:r w:rsidR="001A37B6">
        <w:rPr>
          <w:rFonts w:hint="default"/>
        </w:rPr>
        <w:t>inností</w:t>
      </w:r>
      <w:r w:rsidR="001A37B6">
        <w:rPr>
          <w:rFonts w:hint="default"/>
        </w:rPr>
        <w:t xml:space="preserve"> </w:t>
      </w:r>
      <w:r w:rsidRPr="001D7C88" w:rsidR="001A37B6">
        <w:rPr>
          <w:rFonts w:hint="default"/>
        </w:rPr>
        <w:t>podľ</w:t>
      </w:r>
      <w:r w:rsidRPr="001D7C88" w:rsidR="001A37B6">
        <w:rPr>
          <w:rFonts w:hint="default"/>
        </w:rPr>
        <w:t>a tohto zá</w:t>
      </w:r>
      <w:r w:rsidRPr="001D7C88" w:rsidR="001A37B6">
        <w:rPr>
          <w:rFonts w:hint="default"/>
        </w:rPr>
        <w:t>kona</w:t>
      </w:r>
      <w:r w:rsidRPr="001D7C88" w:rsidR="001A37B6">
        <w:rPr>
          <w:rFonts w:hint="default"/>
        </w:rPr>
        <w:t xml:space="preserve"> a osobitné</w:t>
      </w:r>
      <w:r w:rsidRPr="001D7C88" w:rsidR="001A37B6">
        <w:rPr>
          <w:rFonts w:hint="default"/>
        </w:rPr>
        <w:t>ho zá</w:t>
      </w:r>
      <w:r w:rsidRPr="001D7C88" w:rsidR="001A37B6">
        <w:rPr>
          <w:rFonts w:hint="default"/>
        </w:rPr>
        <w:t>kona</w:t>
      </w:r>
      <w:r w:rsidR="001A37B6">
        <w:t>.</w:t>
      </w:r>
      <w:r w:rsidRPr="001D7C88" w:rsidR="001A37B6">
        <w:rPr>
          <w:vertAlign w:val="superscript"/>
        </w:rPr>
        <w:t>1a</w:t>
      </w:r>
      <w:r w:rsidRPr="001D7C88" w:rsidR="001A37B6">
        <w:t>)</w:t>
      </w:r>
      <w:r w:rsidR="001A37B6">
        <w:t xml:space="preserve"> </w:t>
      </w:r>
      <w:r w:rsidRPr="001D7C88">
        <w:rPr>
          <w:rFonts w:hint="default"/>
        </w:rPr>
        <w:t>Na vý</w:t>
      </w:r>
      <w:r w:rsidRPr="001D7C88">
        <w:rPr>
          <w:rFonts w:hint="default"/>
        </w:rPr>
        <w:t>menu informá</w:t>
      </w:r>
      <w:r w:rsidRPr="001D7C88">
        <w:rPr>
          <w:rFonts w:hint="default"/>
        </w:rPr>
        <w:t>cii fondu s Euró</w:t>
      </w:r>
      <w:r w:rsidRPr="001D7C88">
        <w:rPr>
          <w:rFonts w:hint="default"/>
        </w:rPr>
        <w:t>pskym orgá</w:t>
      </w:r>
      <w:r w:rsidRPr="001D7C88">
        <w:rPr>
          <w:rFonts w:hint="default"/>
        </w:rPr>
        <w:t>nom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pskym orgá</w:t>
      </w:r>
      <w:r w:rsidRPr="001D7C88">
        <w:rPr>
          <w:rFonts w:hint="default"/>
        </w:rPr>
        <w:t>nom pre bankovní</w:t>
      </w:r>
      <w:r w:rsidRPr="001D7C88">
        <w:rPr>
          <w:rFonts w:hint="default"/>
        </w:rPr>
        <w:t>ctvo) sa vzť</w:t>
      </w:r>
      <w:r w:rsidRPr="001D7C88">
        <w:rPr>
          <w:rFonts w:hint="default"/>
        </w:rPr>
        <w:t>ahuje ustanovenie osobitné</w:t>
      </w:r>
      <w:r w:rsidRPr="001D7C88">
        <w:rPr>
          <w:rFonts w:hint="default"/>
        </w:rPr>
        <w:t>ho predpisu.</w:t>
      </w:r>
      <w:r w:rsidRPr="001D7C88">
        <w:rPr>
          <w:vertAlign w:val="superscript"/>
        </w:rPr>
        <w:t>15ga</w:t>
      </w:r>
      <w:r w:rsidRPr="001D7C88">
        <w:rPr>
          <w:rFonts w:hint="default"/>
        </w:rPr>
        <w:t>)“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 xml:space="preserve">iarou k odkazu 15ga znie: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15ga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l. 70 nariadenia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1093/2010 v platnom znení.“.</w:t>
      </w:r>
    </w:p>
    <w:p w:rsidR="005A0FB7" w:rsidRPr="001D7C88">
      <w:pPr>
        <w:bidi w:val="0"/>
        <w:ind w:firstLine="708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33. V §</w:t>
      </w:r>
      <w:r w:rsidRPr="001D7C88">
        <w:rPr>
          <w:rFonts w:hint="default"/>
        </w:rPr>
        <w:t xml:space="preserve"> 12 odsek 7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(7) Fond vykoná</w:t>
      </w:r>
      <w:r w:rsidRPr="001D7C88">
        <w:rPr>
          <w:rFonts w:hint="default"/>
        </w:rPr>
        <w:t>va pravidelne, najmenej raz za tri roky, stresové</w:t>
      </w:r>
      <w:r w:rsidRPr="001D7C88">
        <w:rPr>
          <w:rFonts w:hint="default"/>
        </w:rPr>
        <w:t xml:space="preserve"> testovanie systé</w:t>
      </w:r>
      <w:r w:rsidRPr="001D7C88">
        <w:rPr>
          <w:rFonts w:hint="default"/>
        </w:rPr>
        <w:t>mu ochrany vkladov; pritom fond spolupracuje s Ná</w:t>
      </w:r>
      <w:r w:rsidRPr="001D7C88">
        <w:rPr>
          <w:rFonts w:hint="default"/>
        </w:rPr>
        <w:t>rodnou bankou Slovenska, Ministerstvom financií</w:t>
      </w:r>
      <w:r w:rsidRPr="001D7C88">
        <w:rPr>
          <w:rFonts w:hint="default"/>
        </w:rPr>
        <w:t xml:space="preserve"> Slovenskej republiky</w:t>
      </w:r>
      <w:r w:rsidRPr="001D7C88">
        <w:rPr>
          <w:rFonts w:hint="default"/>
        </w:rPr>
        <w:t xml:space="preserve"> (ď</w:t>
      </w:r>
      <w:r w:rsidRPr="001D7C88">
        <w:rPr>
          <w:rFonts w:hint="default"/>
        </w:rPr>
        <w:t>alej len „</w:t>
      </w:r>
      <w:r w:rsidRPr="001D7C88">
        <w:rPr>
          <w:rFonts w:hint="default"/>
        </w:rPr>
        <w:t>ministerstvo financií“</w:t>
      </w:r>
      <w:r w:rsidRPr="001D7C88">
        <w:rPr>
          <w:rFonts w:hint="default"/>
        </w:rPr>
        <w:t>) a bankami. Na zabezpeč</w:t>
      </w:r>
      <w:r w:rsidRPr="001D7C88">
        <w:rPr>
          <w:rFonts w:hint="default"/>
        </w:rPr>
        <w:t xml:space="preserve">enie plnenia </w:t>
      </w:r>
      <w:r w:rsidR="001A37B6">
        <w:t xml:space="preserve">tejto </w:t>
      </w:r>
      <w:r w:rsidRPr="001D7C88">
        <w:rPr>
          <w:rFonts w:hint="default"/>
        </w:rPr>
        <w:t>ú</w:t>
      </w:r>
      <w:r w:rsidRPr="001D7C88">
        <w:rPr>
          <w:rFonts w:hint="default"/>
        </w:rPr>
        <w:t>lohy fondu sú</w:t>
      </w:r>
      <w:r w:rsidRPr="001D7C88">
        <w:rPr>
          <w:rFonts w:hint="default"/>
        </w:rPr>
        <w:t xml:space="preserve"> banky povinné</w:t>
      </w:r>
      <w:r w:rsidRPr="001D7C88">
        <w:rPr>
          <w:rFonts w:hint="default"/>
        </w:rPr>
        <w:t xml:space="preserve"> fondu na pož</w:t>
      </w:r>
      <w:r w:rsidRPr="001D7C88">
        <w:rPr>
          <w:rFonts w:hint="default"/>
        </w:rPr>
        <w:t>iadanie a v ní</w:t>
      </w:r>
      <w:r w:rsidRPr="001D7C88">
        <w:rPr>
          <w:rFonts w:hint="default"/>
        </w:rPr>
        <w:t>m urč</w:t>
      </w:r>
      <w:r w:rsidRPr="001D7C88">
        <w:rPr>
          <w:rFonts w:hint="default"/>
        </w:rPr>
        <w:t>enej lehote poskytnúť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daje podľ</w:t>
      </w:r>
      <w:r w:rsidRPr="001D7C88">
        <w:rPr>
          <w:rFonts w:hint="default"/>
        </w:rPr>
        <w:t>a odseku 1; tieto ú</w:t>
      </w:r>
      <w:r w:rsidRPr="001D7C88">
        <w:rPr>
          <w:rFonts w:hint="default"/>
        </w:rPr>
        <w:t>daje fond využí</w:t>
      </w:r>
      <w:r w:rsidRPr="001D7C88">
        <w:rPr>
          <w:rFonts w:hint="default"/>
        </w:rPr>
        <w:t>va len na úč</w:t>
      </w:r>
      <w:r w:rsidRPr="001D7C88">
        <w:rPr>
          <w:rFonts w:hint="default"/>
        </w:rPr>
        <w:t>ely podľ</w:t>
      </w:r>
      <w:r w:rsidRPr="001D7C88">
        <w:rPr>
          <w:rFonts w:hint="default"/>
        </w:rPr>
        <w:t>a prvej vety a uchová</w:t>
      </w:r>
      <w:r w:rsidRPr="001D7C88">
        <w:rPr>
          <w:rFonts w:hint="default"/>
        </w:rPr>
        <w:t xml:space="preserve">va ich len </w:t>
      </w:r>
      <w:r w:rsidRPr="001D7C88">
        <w:rPr>
          <w:rFonts w:hint="default"/>
        </w:rPr>
        <w:t>na nevyhnutný</w:t>
      </w:r>
      <w:r w:rsidRPr="001D7C88">
        <w:rPr>
          <w:rFonts w:hint="default"/>
        </w:rPr>
        <w:t xml:space="preserve"> č</w:t>
      </w:r>
      <w:r w:rsidRPr="001D7C88">
        <w:rPr>
          <w:rFonts w:hint="default"/>
        </w:rPr>
        <w:t>as. Fond vypracú</w:t>
      </w:r>
      <w:r w:rsidRPr="001D7C88">
        <w:rPr>
          <w:rFonts w:hint="default"/>
        </w:rPr>
        <w:t>va sprá</w:t>
      </w:r>
      <w:r w:rsidRPr="001D7C88">
        <w:rPr>
          <w:rFonts w:hint="default"/>
        </w:rPr>
        <w:t>vu o </w:t>
      </w:r>
      <w:r w:rsidRPr="001D7C88">
        <w:rPr>
          <w:rFonts w:hint="default"/>
        </w:rPr>
        <w:t>vý</w:t>
      </w:r>
      <w:r w:rsidRPr="001D7C88">
        <w:rPr>
          <w:rFonts w:hint="default"/>
        </w:rPr>
        <w:t>sledku také</w:t>
      </w:r>
      <w:r w:rsidRPr="001D7C88">
        <w:rPr>
          <w:rFonts w:hint="default"/>
        </w:rPr>
        <w:t>hoto testovania systé</w:t>
      </w:r>
      <w:r w:rsidRPr="001D7C88">
        <w:rPr>
          <w:rFonts w:hint="default"/>
        </w:rPr>
        <w:t>mu ochrany vkladov a </w:t>
      </w:r>
      <w:r w:rsidRPr="001D7C88">
        <w:rPr>
          <w:rFonts w:hint="default"/>
        </w:rPr>
        <w:t>predkladá</w:t>
      </w:r>
      <w:r w:rsidRPr="001D7C88">
        <w:rPr>
          <w:rFonts w:hint="default"/>
        </w:rPr>
        <w:t xml:space="preserve"> ju Ná</w:t>
      </w:r>
      <w:r w:rsidRPr="001D7C88">
        <w:rPr>
          <w:rFonts w:hint="default"/>
        </w:rPr>
        <w:t>rodnej banke Slovenska a </w:t>
      </w:r>
      <w:r w:rsidRPr="001D7C88">
        <w:rPr>
          <w:rFonts w:hint="default"/>
        </w:rPr>
        <w:t>ministerstvu financií</w:t>
      </w:r>
      <w:r w:rsidRPr="001D7C88">
        <w:rPr>
          <w:rFonts w:hint="default"/>
        </w:rPr>
        <w:t xml:space="preserve"> bezodkladne po jej vypracovaní.“.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34. §</w:t>
      </w:r>
      <w:r w:rsidRPr="001D7C88">
        <w:rPr>
          <w:rFonts w:hint="default"/>
        </w:rPr>
        <w:t xml:space="preserve"> 12 sa dopĺň</w:t>
      </w:r>
      <w:r w:rsidRPr="001D7C88">
        <w:rPr>
          <w:rFonts w:hint="default"/>
        </w:rPr>
        <w:t>a odsekmi 8 až</w:t>
      </w:r>
      <w:r w:rsidRPr="001D7C88">
        <w:rPr>
          <w:rFonts w:hint="default"/>
        </w:rPr>
        <w:t xml:space="preserve"> 11, ktoré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>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(8) Fond je</w:t>
      </w:r>
      <w:r w:rsidRPr="001D7C88">
        <w:rPr>
          <w:rFonts w:hint="default"/>
        </w:rPr>
        <w:t xml:space="preserve"> povinný</w:t>
      </w:r>
      <w:r w:rsidRPr="001D7C88">
        <w:rPr>
          <w:rFonts w:hint="default"/>
        </w:rPr>
        <w:t xml:space="preserve"> kaž</w:t>
      </w:r>
      <w:r w:rsidRPr="001D7C88">
        <w:rPr>
          <w:rFonts w:hint="default"/>
        </w:rPr>
        <w:t>doroč</w:t>
      </w:r>
      <w:r w:rsidRPr="001D7C88">
        <w:rPr>
          <w:rFonts w:hint="default"/>
        </w:rPr>
        <w:t>ne do 31. marca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kalendá</w:t>
      </w:r>
      <w:r w:rsidRPr="001D7C88">
        <w:rPr>
          <w:rFonts w:hint="default"/>
        </w:rPr>
        <w:t>rneho roka predlož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 Euró</w:t>
      </w:r>
      <w:r w:rsidRPr="001D7C88">
        <w:rPr>
          <w:rFonts w:hint="default"/>
        </w:rPr>
        <w:t>pskemu orgá</w:t>
      </w:r>
      <w:r w:rsidRPr="001D7C88">
        <w:rPr>
          <w:rFonts w:hint="default"/>
        </w:rPr>
        <w:t>nu dohľ</w:t>
      </w:r>
      <w:r w:rsidRPr="001D7C88">
        <w:rPr>
          <w:rFonts w:hint="default"/>
        </w:rPr>
        <w:t>adu (Euró</w:t>
      </w:r>
      <w:r w:rsidRPr="001D7C88">
        <w:rPr>
          <w:rFonts w:hint="default"/>
        </w:rPr>
        <w:t>pskemu orgá</w:t>
      </w:r>
      <w:r w:rsidRPr="001D7C88">
        <w:rPr>
          <w:rFonts w:hint="default"/>
        </w:rPr>
        <w:t>nu pre bankovní</w:t>
      </w:r>
      <w:r w:rsidRPr="001D7C88">
        <w:rPr>
          <w:rFonts w:hint="default"/>
        </w:rPr>
        <w:t>ctvo) informá</w:t>
      </w:r>
      <w:r w:rsidRPr="001D7C88">
        <w:rPr>
          <w:rFonts w:hint="default"/>
        </w:rPr>
        <w:t>ciu podľ</w:t>
      </w:r>
      <w:r w:rsidRPr="001D7C88">
        <w:rPr>
          <w:rFonts w:hint="default"/>
        </w:rPr>
        <w:t>a stavu k 31. decembru predchá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>ceho kalendá</w:t>
      </w:r>
      <w:r w:rsidRPr="001D7C88">
        <w:rPr>
          <w:rFonts w:hint="default"/>
        </w:rPr>
        <w:t>rneho roka o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a) celkovej sume krytý</w:t>
      </w:r>
      <w:r w:rsidRPr="001D7C88">
        <w:rPr>
          <w:rFonts w:hint="default"/>
        </w:rPr>
        <w:t>ch vkladov v Slovenske</w:t>
      </w:r>
      <w:r w:rsidRPr="001D7C88">
        <w:rPr>
          <w:rFonts w:hint="default"/>
        </w:rPr>
        <w:t>j republike,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b) sume vš</w:t>
      </w:r>
      <w:r w:rsidRPr="001D7C88">
        <w:rPr>
          <w:rFonts w:hint="default"/>
        </w:rPr>
        <w:t>etký</w:t>
      </w:r>
      <w:r w:rsidRPr="001D7C88">
        <w:rPr>
          <w:rFonts w:hint="default"/>
        </w:rPr>
        <w:t>ch uhradený</w:t>
      </w:r>
      <w:r w:rsidRPr="001D7C88">
        <w:rPr>
          <w:rFonts w:hint="default"/>
        </w:rPr>
        <w:t>ch prí</w:t>
      </w:r>
      <w:r w:rsidRPr="001D7C88">
        <w:rPr>
          <w:rFonts w:hint="default"/>
        </w:rPr>
        <w:t>spevkov.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(9) Fond na svojom webovom sí</w:t>
      </w:r>
      <w:r w:rsidRPr="001D7C88">
        <w:rPr>
          <w:rFonts w:hint="default"/>
        </w:rPr>
        <w:t>dle informuje o </w:t>
      </w:r>
      <w:r w:rsidRPr="001D7C88">
        <w:rPr>
          <w:rFonts w:hint="default"/>
        </w:rPr>
        <w:t>ochrane vkladov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kona, a </w:t>
      </w:r>
      <w:r w:rsidRPr="001D7C88">
        <w:rPr>
          <w:rFonts w:hint="default"/>
        </w:rPr>
        <w:t>to najmä</w:t>
      </w:r>
      <w:r w:rsidRPr="001D7C88">
        <w:rPr>
          <w:rFonts w:hint="default"/>
        </w:rPr>
        <w:t xml:space="preserve"> o </w:t>
      </w:r>
      <w:r w:rsidRPr="001D7C88">
        <w:rPr>
          <w:rFonts w:hint="default"/>
        </w:rPr>
        <w:t>postupe vyplá</w:t>
      </w:r>
      <w:r w:rsidRPr="001D7C88">
        <w:rPr>
          <w:rFonts w:hint="default"/>
        </w:rPr>
        <w:t>cania ná</w:t>
      </w:r>
      <w:r w:rsidRPr="001D7C88">
        <w:rPr>
          <w:rFonts w:hint="default"/>
        </w:rPr>
        <w:t>hrad za nedostupné</w:t>
      </w:r>
      <w:r w:rsidRPr="001D7C88">
        <w:rPr>
          <w:rFonts w:hint="default"/>
        </w:rPr>
        <w:t xml:space="preserve"> vklady a </w:t>
      </w:r>
      <w:r w:rsidRPr="001D7C88">
        <w:rPr>
          <w:rFonts w:hint="default"/>
        </w:rPr>
        <w:t>podmienkach sú</w:t>
      </w:r>
      <w:r w:rsidRPr="001D7C88">
        <w:rPr>
          <w:rFonts w:hint="default"/>
        </w:rPr>
        <w:t>visiacich s ochranou vkladov.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 xml:space="preserve">(10) Ak banka </w:t>
      </w:r>
      <w:r w:rsidRPr="001D7C88">
        <w:rPr>
          <w:rFonts w:hint="default"/>
        </w:rPr>
        <w:t>pri vykoná</w:t>
      </w:r>
      <w:r w:rsidRPr="001D7C88">
        <w:rPr>
          <w:rFonts w:hint="default"/>
        </w:rPr>
        <w:t>vaní</w:t>
      </w:r>
      <w:r w:rsidRPr="001D7C88">
        <w:rPr>
          <w:rFonts w:hint="default"/>
        </w:rPr>
        <w:t xml:space="preserve"> svojej č</w:t>
      </w:r>
      <w:r w:rsidRPr="001D7C88">
        <w:rPr>
          <w:rFonts w:hint="default"/>
        </w:rPr>
        <w:t>innosti použí</w:t>
      </w:r>
      <w:r w:rsidRPr="001D7C88">
        <w:rPr>
          <w:rFonts w:hint="default"/>
        </w:rPr>
        <w:t>va viacero ochranný</w:t>
      </w:r>
      <w:r w:rsidRPr="001D7C88">
        <w:rPr>
          <w:rFonts w:hint="default"/>
        </w:rPr>
        <w:t>ch zná</w:t>
      </w:r>
      <w:r w:rsidRPr="001D7C88">
        <w:rPr>
          <w:rFonts w:hint="default"/>
        </w:rPr>
        <w:t>mok podľ</w:t>
      </w:r>
      <w:r w:rsidRPr="001D7C88">
        <w:rPr>
          <w:rFonts w:hint="default"/>
        </w:rPr>
        <w:t>a osobitné</w:t>
      </w:r>
      <w:r w:rsidRPr="001D7C88">
        <w:rPr>
          <w:rFonts w:hint="default"/>
        </w:rPr>
        <w:t>ho predpisu,</w:t>
      </w:r>
      <w:r w:rsidRPr="001D7C88">
        <w:rPr>
          <w:vertAlign w:val="superscript"/>
        </w:rPr>
        <w:t>15gb</w:t>
      </w:r>
      <w:r w:rsidRPr="001D7C88">
        <w:rPr>
          <w:rFonts w:hint="default"/>
        </w:rPr>
        <w:t>) je povinná</w:t>
      </w:r>
      <w:r w:rsidRPr="001D7C88">
        <w:rPr>
          <w:rFonts w:hint="default"/>
        </w:rPr>
        <w:t xml:space="preserve"> vkladateľ</w:t>
      </w:r>
      <w:r w:rsidRPr="001D7C88">
        <w:rPr>
          <w:rFonts w:hint="default"/>
        </w:rPr>
        <w:t>a zrozumiteľ</w:t>
      </w:r>
      <w:r w:rsidRPr="001D7C88">
        <w:rPr>
          <w:rFonts w:hint="default"/>
        </w:rPr>
        <w:t>ne informovať</w:t>
      </w:r>
      <w:r w:rsidRPr="001D7C88">
        <w:rPr>
          <w:rFonts w:hint="default"/>
        </w:rPr>
        <w:t xml:space="preserve"> o tejto skutoč</w:t>
      </w:r>
      <w:r w:rsidRPr="001D7C88">
        <w:rPr>
          <w:rFonts w:hint="default"/>
        </w:rPr>
        <w:t>nosti a o skutoč</w:t>
      </w:r>
      <w:r w:rsidRPr="001D7C88">
        <w:rPr>
          <w:rFonts w:hint="default"/>
        </w:rPr>
        <w:t>nosti, ž</w:t>
      </w:r>
      <w:r w:rsidRPr="001D7C88">
        <w:rPr>
          <w:rFonts w:hint="default"/>
        </w:rPr>
        <w:t>e pri ná</w:t>
      </w:r>
      <w:r w:rsidRPr="001D7C88">
        <w:rPr>
          <w:rFonts w:hint="default"/>
        </w:rPr>
        <w:t>hrade za nedostupný</w:t>
      </w:r>
      <w:r w:rsidRPr="001D7C88">
        <w:rPr>
          <w:rFonts w:hint="default"/>
        </w:rPr>
        <w:t xml:space="preserve"> vklad sa postupuje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9.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(11) Ak má</w:t>
      </w:r>
      <w:r w:rsidRPr="001D7C88">
        <w:rPr>
          <w:rFonts w:hint="default"/>
        </w:rPr>
        <w:t xml:space="preserve"> vklad</w:t>
      </w:r>
      <w:r w:rsidRPr="001D7C88">
        <w:rPr>
          <w:rFonts w:hint="default"/>
        </w:rPr>
        <w:t>ateľ</w:t>
      </w:r>
      <w:r w:rsidRPr="001D7C88">
        <w:rPr>
          <w:rFonts w:hint="default"/>
        </w:rPr>
        <w:t xml:space="preserve"> v banke zriadený</w:t>
      </w:r>
      <w:r w:rsidRPr="001D7C88">
        <w:rPr>
          <w:rFonts w:hint="default"/>
        </w:rPr>
        <w:t xml:space="preserve"> internetbanking alebo inú</w:t>
      </w:r>
      <w:r w:rsidRPr="001D7C88">
        <w:rPr>
          <w:rFonts w:hint="default"/>
        </w:rPr>
        <w:t xml:space="preserve"> apliká</w:t>
      </w:r>
      <w:r w:rsidRPr="001D7C88">
        <w:rPr>
          <w:rFonts w:hint="default"/>
        </w:rPr>
        <w:t>ciu elektronické</w:t>
      </w:r>
      <w:r w:rsidRPr="001D7C88">
        <w:rPr>
          <w:rFonts w:hint="default"/>
        </w:rPr>
        <w:t>ho bankovní</w:t>
      </w:r>
      <w:r w:rsidRPr="001D7C88">
        <w:rPr>
          <w:rFonts w:hint="default"/>
        </w:rPr>
        <w:t>ctva, informá</w:t>
      </w:r>
      <w:r w:rsidRPr="001D7C88">
        <w:rPr>
          <w:rFonts w:hint="default"/>
        </w:rPr>
        <w:t>cie podľ</w:t>
      </w:r>
      <w:r w:rsidRPr="001D7C88">
        <w:rPr>
          <w:rFonts w:hint="default"/>
        </w:rPr>
        <w:t>a odseku 4 pí</w:t>
      </w:r>
      <w:r w:rsidRPr="001D7C88">
        <w:rPr>
          <w:rFonts w:hint="default"/>
        </w:rPr>
        <w:t>sm. f) až</w:t>
      </w:r>
      <w:r w:rsidRPr="001D7C88">
        <w:rPr>
          <w:rFonts w:hint="default"/>
        </w:rPr>
        <w:t xml:space="preserve"> h)</w:t>
      </w:r>
      <w:r w:rsidR="00EE4C22">
        <w:t>,</w:t>
      </w:r>
      <w:r w:rsidRPr="001D7C88">
        <w:rPr>
          <w:rFonts w:hint="default"/>
        </w:rPr>
        <w:t xml:space="preserve"> §</w:t>
      </w:r>
      <w:r w:rsidRPr="001D7C88">
        <w:rPr>
          <w:rFonts w:hint="default"/>
        </w:rPr>
        <w:t xml:space="preserve"> 22c ods. 2 pí</w:t>
      </w:r>
      <w:r w:rsidRPr="001D7C88">
        <w:rPr>
          <w:rFonts w:hint="default"/>
        </w:rPr>
        <w:t>sm. b) a §</w:t>
      </w:r>
      <w:r w:rsidRPr="001D7C88">
        <w:rPr>
          <w:rFonts w:hint="default"/>
        </w:rPr>
        <w:t xml:space="preserve"> 22d môž</w:t>
      </w:r>
      <w:r w:rsidRPr="001D7C88">
        <w:rPr>
          <w:rFonts w:hint="default"/>
        </w:rPr>
        <w:t>e banka poskytnúť</w:t>
      </w:r>
      <w:r w:rsidRPr="001D7C88">
        <w:rPr>
          <w:rFonts w:hint="default"/>
        </w:rPr>
        <w:t xml:space="preserve"> vkladateľ</w:t>
      </w:r>
      <w:r w:rsidRPr="001D7C88">
        <w:rPr>
          <w:rFonts w:hint="default"/>
        </w:rPr>
        <w:t xml:space="preserve">ovi </w:t>
      </w:r>
      <w:r w:rsidRPr="005B54B3" w:rsidR="005B54B3">
        <w:rPr>
          <w:rFonts w:hint="default"/>
        </w:rPr>
        <w:t>v elektronickej podobe a rovnaký</w:t>
      </w:r>
      <w:r w:rsidRPr="005B54B3" w:rsidR="005B54B3">
        <w:rPr>
          <w:rFonts w:hint="default"/>
        </w:rPr>
        <w:t>m spô</w:t>
      </w:r>
      <w:r w:rsidRPr="005B54B3" w:rsidR="005B54B3">
        <w:rPr>
          <w:rFonts w:hint="default"/>
        </w:rPr>
        <w:t>sobom ako vkladateľ</w:t>
      </w:r>
      <w:r w:rsidRPr="005B54B3" w:rsidR="005B54B3">
        <w:rPr>
          <w:rFonts w:hint="default"/>
        </w:rPr>
        <w:t>ovi pos</w:t>
      </w:r>
      <w:r w:rsidRPr="005B54B3" w:rsidR="005B54B3">
        <w:rPr>
          <w:rFonts w:hint="default"/>
        </w:rPr>
        <w:t>kytuje iné</w:t>
      </w:r>
      <w:r w:rsidRPr="005B54B3" w:rsidR="005B54B3">
        <w:rPr>
          <w:rFonts w:hint="default"/>
        </w:rPr>
        <w:t xml:space="preserve"> informá</w:t>
      </w:r>
      <w:r w:rsidRPr="005B54B3" w:rsidR="005B54B3">
        <w:rPr>
          <w:rFonts w:hint="default"/>
        </w:rPr>
        <w:t>cie tý</w:t>
      </w:r>
      <w:r w:rsidRPr="005B54B3" w:rsidR="005B54B3">
        <w:rPr>
          <w:rFonts w:hint="default"/>
        </w:rPr>
        <w:t>kajú</w:t>
      </w:r>
      <w:r w:rsidRPr="005B54B3" w:rsidR="005B54B3">
        <w:rPr>
          <w:rFonts w:hint="default"/>
        </w:rPr>
        <w:t>ce sa jeho vkladu</w:t>
      </w:r>
      <w:r w:rsidRPr="001D7C88">
        <w:t>. Ak o </w:t>
      </w:r>
      <w:r w:rsidRPr="001D7C88">
        <w:rPr>
          <w:rFonts w:hint="default"/>
        </w:rPr>
        <w:t>to vkladateľ</w:t>
      </w:r>
      <w:r w:rsidRPr="001D7C88">
        <w:rPr>
          <w:rFonts w:hint="default"/>
        </w:rPr>
        <w:t xml:space="preserve"> pož</w:t>
      </w:r>
      <w:r w:rsidRPr="001D7C88">
        <w:rPr>
          <w:rFonts w:hint="default"/>
        </w:rPr>
        <w:t>iada, informá</w:t>
      </w:r>
      <w:r w:rsidRPr="001D7C88">
        <w:rPr>
          <w:rFonts w:hint="default"/>
        </w:rPr>
        <w:t>cie podľ</w:t>
      </w:r>
      <w:r w:rsidRPr="001D7C88">
        <w:rPr>
          <w:rFonts w:hint="default"/>
        </w:rPr>
        <w:t>a prvej vety banka poskytne vkladateľ</w:t>
      </w:r>
      <w:r w:rsidRPr="001D7C88">
        <w:rPr>
          <w:rFonts w:hint="default"/>
        </w:rPr>
        <w:t>ovi aj v </w:t>
      </w:r>
      <w:r w:rsidRPr="001D7C88">
        <w:rPr>
          <w:rFonts w:hint="default"/>
        </w:rPr>
        <w:t>listinnej podobe.“.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 odkazu 15gb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15gb</w:t>
      </w:r>
      <w:r w:rsidRPr="001D7C88">
        <w:rPr>
          <w:rFonts w:hint="default"/>
        </w:rPr>
        <w:t>) 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506/2009 Z. z. o </w:t>
      </w:r>
      <w:r w:rsidRPr="001D7C88">
        <w:rPr>
          <w:rFonts w:hint="default"/>
        </w:rPr>
        <w:t>ochranný</w:t>
      </w:r>
      <w:r w:rsidRPr="001D7C88">
        <w:rPr>
          <w:rFonts w:hint="default"/>
        </w:rPr>
        <w:t>ch zná</w:t>
      </w:r>
      <w:r w:rsidRPr="001D7C88">
        <w:rPr>
          <w:rFonts w:hint="default"/>
        </w:rPr>
        <w:t>mkach.“.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t>35.</w:t>
      </w:r>
      <w:r w:rsidRPr="001D7C88">
        <w:rPr>
          <w:rFonts w:hint="default"/>
        </w:rPr>
        <w:t xml:space="preserve"> V §</w:t>
      </w:r>
      <w:r w:rsidRPr="001D7C88">
        <w:rPr>
          <w:rFonts w:hint="default"/>
        </w:rPr>
        <w:t xml:space="preserve"> 13 ods. 4 pí</w:t>
      </w:r>
      <w:r w:rsidRPr="001D7C88">
        <w:rPr>
          <w:rFonts w:hint="default"/>
        </w:rPr>
        <w:t>smeno g)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g) financovanie rieš</w:t>
      </w:r>
      <w:r w:rsidRPr="001D7C88">
        <w:rPr>
          <w:rFonts w:hint="default"/>
        </w:rPr>
        <w:t>enia krí</w:t>
      </w:r>
      <w:r w:rsidRPr="001D7C88">
        <w:rPr>
          <w:rFonts w:hint="default"/>
        </w:rPr>
        <w:t>zovej situá</w:t>
      </w:r>
      <w:r w:rsidRPr="001D7C88">
        <w:rPr>
          <w:rFonts w:hint="default"/>
        </w:rPr>
        <w:t>cie podľ</w:t>
      </w:r>
      <w:r w:rsidRPr="001D7C88">
        <w:rPr>
          <w:rFonts w:hint="default"/>
        </w:rPr>
        <w:t>a osobitné</w:t>
      </w:r>
      <w:r w:rsidRPr="001D7C88">
        <w:rPr>
          <w:rFonts w:hint="default"/>
        </w:rPr>
        <w:t>ho zá</w:t>
      </w:r>
      <w:r w:rsidRPr="001D7C88">
        <w:rPr>
          <w:rFonts w:hint="default"/>
        </w:rPr>
        <w:t>kona</w:t>
      </w:r>
      <w:r w:rsidRPr="001D7C88">
        <w:rPr>
          <w:vertAlign w:val="superscript"/>
        </w:rPr>
        <w:t>1a</w:t>
      </w:r>
      <w:r w:rsidRPr="001D7C88">
        <w:rPr>
          <w:rFonts w:hint="default"/>
        </w:rPr>
        <w:t>) do výš</w:t>
      </w:r>
      <w:r w:rsidRPr="001D7C88">
        <w:rPr>
          <w:rFonts w:hint="default"/>
        </w:rPr>
        <w:t>ky maximá</w:t>
      </w:r>
      <w:r w:rsidRPr="001D7C88">
        <w:rPr>
          <w:rFonts w:hint="default"/>
        </w:rPr>
        <w:t>lne 50 % z </w:t>
      </w:r>
      <w:r w:rsidRPr="001D7C88">
        <w:rPr>
          <w:rFonts w:hint="default"/>
        </w:rPr>
        <w:t>cieľ</w:t>
      </w:r>
      <w:r w:rsidRPr="001D7C88">
        <w:rPr>
          <w:rFonts w:hint="default"/>
        </w:rPr>
        <w:t>ovej ú</w:t>
      </w:r>
      <w:r w:rsidRPr="001D7C88">
        <w:rPr>
          <w:rFonts w:hint="default"/>
        </w:rPr>
        <w:t>rovne, ak Rada fondu nerozhodne inak.“.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ab/>
      </w:r>
      <w:r w:rsidRPr="001D7C88">
        <w:rPr>
          <w:rFonts w:hint="default"/>
        </w:rPr>
        <w:t>36. V §</w:t>
      </w:r>
      <w:r w:rsidRPr="001D7C88">
        <w:rPr>
          <w:rFonts w:hint="default"/>
        </w:rPr>
        <w:t xml:space="preserve"> 13 odsek 5 znie: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(5) Ak sa prostriedky fondu zníž</w:t>
      </w:r>
      <w:r w:rsidRPr="001D7C88">
        <w:rPr>
          <w:rFonts w:hint="default"/>
        </w:rPr>
        <w:t>ia o viac ako je</w:t>
      </w:r>
      <w:r w:rsidRPr="001D7C88">
        <w:rPr>
          <w:rFonts w:hint="default"/>
        </w:rPr>
        <w:t>dnu tretinu z </w:t>
      </w:r>
      <w:r w:rsidRPr="001D7C88">
        <w:rPr>
          <w:rFonts w:hint="default"/>
        </w:rPr>
        <w:t>cieľ</w:t>
      </w:r>
      <w:r w:rsidRPr="001D7C88">
        <w:rPr>
          <w:rFonts w:hint="default"/>
        </w:rPr>
        <w:t>ovej ú</w:t>
      </w:r>
      <w:r w:rsidRPr="001D7C88">
        <w:rPr>
          <w:rFonts w:hint="default"/>
        </w:rPr>
        <w:t>rovne v dô</w:t>
      </w:r>
      <w:r w:rsidRPr="001D7C88">
        <w:rPr>
          <w:rFonts w:hint="default"/>
        </w:rPr>
        <w:t>sledku ich využ</w:t>
      </w:r>
      <w:r w:rsidRPr="001D7C88">
        <w:rPr>
          <w:rFonts w:hint="default"/>
        </w:rPr>
        <w:t>itia na úč</w:t>
      </w:r>
      <w:r w:rsidRPr="001D7C88">
        <w:rPr>
          <w:rFonts w:hint="default"/>
        </w:rPr>
        <w:t>ely podľ</w:t>
      </w:r>
      <w:r w:rsidRPr="001D7C88">
        <w:rPr>
          <w:rFonts w:hint="default"/>
        </w:rPr>
        <w:t>a odseku 4 pí</w:t>
      </w:r>
      <w:r w:rsidRPr="001D7C88">
        <w:rPr>
          <w:rFonts w:hint="default"/>
        </w:rPr>
        <w:t>sm. g), Rada fondu určí</w:t>
      </w:r>
      <w:r w:rsidRPr="001D7C88">
        <w:rPr>
          <w:rFonts w:hint="default"/>
        </w:rPr>
        <w:t xml:space="preserve"> roč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spevok v takej výš</w:t>
      </w:r>
      <w:r w:rsidRPr="001D7C88">
        <w:rPr>
          <w:rFonts w:hint="default"/>
        </w:rPr>
        <w:t>ke, aby sa dosiahla cieľ</w:t>
      </w:r>
      <w:r w:rsidRPr="001D7C88">
        <w:rPr>
          <w:rFonts w:hint="default"/>
        </w:rPr>
        <w:t>ová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do š</w:t>
      </w:r>
      <w:r w:rsidRPr="001D7C88">
        <w:rPr>
          <w:rFonts w:hint="default"/>
        </w:rPr>
        <w:t>iestich rokov od poklesu finanč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prostriedkov fondu o jednu tretinu.“.</w:t>
      </w:r>
    </w:p>
    <w:p w:rsidR="005A0FB7" w:rsidRPr="001D7C88">
      <w:pPr>
        <w:bidi w:val="0"/>
        <w:ind w:firstLine="708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37. §</w:t>
      </w:r>
      <w:r w:rsidRPr="001D7C88">
        <w:rPr>
          <w:rFonts w:hint="default"/>
        </w:rPr>
        <w:t xml:space="preserve"> 13 sa</w:t>
      </w:r>
      <w:r w:rsidRPr="001D7C88">
        <w:rPr>
          <w:rFonts w:hint="default"/>
        </w:rPr>
        <w:t xml:space="preserve"> dopĺň</w:t>
      </w:r>
      <w:r w:rsidRPr="001D7C88">
        <w:rPr>
          <w:rFonts w:hint="default"/>
        </w:rPr>
        <w:t>a odsekom 7, ktorý</w:t>
      </w:r>
      <w:r w:rsidRPr="001D7C88">
        <w:rPr>
          <w:rFonts w:hint="default"/>
        </w:rPr>
        <w:t xml:space="preserve"> znie:</w:t>
      </w:r>
    </w:p>
    <w:p w:rsidR="005A0FB7">
      <w:pPr>
        <w:bidi w:val="0"/>
        <w:jc w:val="both"/>
      </w:pPr>
      <w:r w:rsidRPr="001D7C88">
        <w:rPr>
          <w:rFonts w:hint="default"/>
        </w:rPr>
        <w:t>„</w:t>
      </w:r>
      <w:r w:rsidRPr="001D7C88">
        <w:rPr>
          <w:rFonts w:hint="default"/>
        </w:rPr>
        <w:t>(7) Fond je ku dň</w:t>
      </w:r>
      <w:r w:rsidRPr="001D7C88">
        <w:rPr>
          <w:rFonts w:hint="default"/>
        </w:rPr>
        <w:t>u zá</w:t>
      </w:r>
      <w:r w:rsidRPr="001D7C88">
        <w:rPr>
          <w:rFonts w:hint="default"/>
        </w:rPr>
        <w:t>niku úč</w:t>
      </w:r>
      <w:r w:rsidRPr="001D7C88">
        <w:rPr>
          <w:rFonts w:hint="default"/>
        </w:rPr>
        <w:t>asti banky v </w:t>
      </w:r>
      <w:r w:rsidRPr="001D7C88">
        <w:rPr>
          <w:rFonts w:hint="default"/>
        </w:rPr>
        <w:t>systé</w:t>
      </w:r>
      <w:r w:rsidRPr="001D7C88">
        <w:rPr>
          <w:rFonts w:hint="default"/>
        </w:rPr>
        <w:t xml:space="preserve">me ochrany vkladov v Slovenskej republike </w:t>
      </w:r>
      <w:r w:rsidRPr="001D7C88" w:rsidR="00CF511E">
        <w:rPr>
          <w:rFonts w:hint="default"/>
        </w:rPr>
        <w:t>povinný</w:t>
      </w:r>
      <w:r w:rsidRPr="001D7C88" w:rsidR="00CF511E">
        <w:rPr>
          <w:rFonts w:hint="default"/>
        </w:rPr>
        <w:t xml:space="preserve"> previesť</w:t>
      </w:r>
      <w:r w:rsidRPr="001D7C88" w:rsidR="00CF511E">
        <w:rPr>
          <w:rFonts w:hint="default"/>
        </w:rPr>
        <w:t xml:space="preserve"> </w:t>
      </w:r>
      <w:r w:rsidRPr="001D7C88">
        <w:rPr>
          <w:rFonts w:hint="default"/>
        </w:rPr>
        <w:t>jej prí</w:t>
      </w:r>
      <w:r w:rsidRPr="001D7C88">
        <w:rPr>
          <w:rFonts w:hint="default"/>
        </w:rPr>
        <w:t>spevky za posledný</w:t>
      </w:r>
      <w:r w:rsidRPr="001D7C88">
        <w:rPr>
          <w:rFonts w:hint="default"/>
        </w:rPr>
        <w:t>ch 12 mesiacov pred tý</w:t>
      </w:r>
      <w:r w:rsidRPr="001D7C88">
        <w:rPr>
          <w:rFonts w:hint="default"/>
        </w:rPr>
        <w:t>mto zá</w:t>
      </w:r>
      <w:r w:rsidRPr="001D7C88">
        <w:rPr>
          <w:rFonts w:hint="default"/>
        </w:rPr>
        <w:t>nikom úč</w:t>
      </w:r>
      <w:r w:rsidRPr="001D7C88">
        <w:rPr>
          <w:rFonts w:hint="default"/>
        </w:rPr>
        <w:t>asti, okrem mimoriadnych prí</w:t>
      </w:r>
      <w:r w:rsidRPr="001D7C88">
        <w:rPr>
          <w:rFonts w:hint="default"/>
        </w:rPr>
        <w:t>spevkov, a to do toho systé</w:t>
      </w:r>
      <w:r w:rsidRPr="001D7C88">
        <w:rPr>
          <w:rFonts w:hint="default"/>
        </w:rPr>
        <w:t xml:space="preserve">mu </w:t>
      </w:r>
      <w:r w:rsidRPr="001D7C88">
        <w:rPr>
          <w:rFonts w:hint="default"/>
        </w:rPr>
        <w:t>ochrany vkladov, na ktorom sa tá</w:t>
      </w:r>
      <w:r w:rsidRPr="001D7C88">
        <w:rPr>
          <w:rFonts w:hint="default"/>
        </w:rPr>
        <w:t>to banka zúč</w:t>
      </w:r>
      <w:r w:rsidRPr="001D7C88">
        <w:rPr>
          <w:rFonts w:hint="default"/>
        </w:rPr>
        <w:t>astň</w:t>
      </w:r>
      <w:r w:rsidRPr="001D7C88">
        <w:rPr>
          <w:rFonts w:hint="default"/>
        </w:rPr>
        <w:t>uje; to neplatí</w:t>
      </w:r>
      <w:r w:rsidRPr="001D7C88">
        <w:rPr>
          <w:rFonts w:hint="default"/>
        </w:rPr>
        <w:t>, ak bola banka vylúč</w:t>
      </w:r>
      <w:r w:rsidRPr="001D7C88">
        <w:rPr>
          <w:rFonts w:hint="default"/>
        </w:rPr>
        <w:t>ená</w:t>
      </w:r>
      <w:r w:rsidRPr="001D7C88">
        <w:rPr>
          <w:rFonts w:hint="default"/>
        </w:rPr>
        <w:t xml:space="preserve"> zo systé</w:t>
      </w:r>
      <w:r w:rsidRPr="001D7C88">
        <w:rPr>
          <w:rFonts w:hint="default"/>
        </w:rPr>
        <w:t>mu ochrany vkladov v </w:t>
      </w:r>
      <w:r w:rsidRPr="001D7C88">
        <w:rPr>
          <w:rFonts w:hint="default"/>
        </w:rPr>
        <w:t>Slovenskej republike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7 ods. 10. Ak sa niektoré</w:t>
      </w:r>
      <w:r w:rsidRPr="001D7C88">
        <w:rPr>
          <w:rFonts w:hint="default"/>
        </w:rPr>
        <w:t xml:space="preserve"> č</w:t>
      </w:r>
      <w:r w:rsidRPr="001D7C88">
        <w:rPr>
          <w:rFonts w:hint="default"/>
        </w:rPr>
        <w:t>innosti banky presunuli do iné</w:t>
      </w:r>
      <w:r w:rsidRPr="001D7C88">
        <w:rPr>
          <w:rFonts w:hint="default"/>
        </w:rPr>
        <w:t>ho č</w:t>
      </w:r>
      <w:r w:rsidRPr="001D7C88">
        <w:rPr>
          <w:rFonts w:hint="default"/>
        </w:rPr>
        <w:t>lenské</w:t>
      </w:r>
      <w:r w:rsidRPr="001D7C88">
        <w:rPr>
          <w:rFonts w:hint="default"/>
        </w:rPr>
        <w:t>ho 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tu, čí</w:t>
      </w:r>
      <w:r w:rsidRPr="001D7C88">
        <w:rPr>
          <w:rFonts w:hint="default"/>
        </w:rPr>
        <w:t>m jej vznikla úč</w:t>
      </w:r>
      <w:r w:rsidRPr="001D7C88">
        <w:rPr>
          <w:rFonts w:hint="default"/>
        </w:rPr>
        <w:t>asť</w:t>
      </w:r>
      <w:r w:rsidRPr="001D7C88">
        <w:rPr>
          <w:rFonts w:hint="default"/>
        </w:rPr>
        <w:t xml:space="preserve"> v inom sys</w:t>
      </w:r>
      <w:r w:rsidRPr="001D7C88">
        <w:rPr>
          <w:rFonts w:hint="default"/>
        </w:rPr>
        <w:t>t</w:t>
      </w:r>
      <w:r w:rsidRPr="001D7C88">
        <w:rPr>
          <w:rFonts w:hint="default"/>
        </w:rPr>
        <w:t>é</w:t>
      </w:r>
      <w:r w:rsidRPr="001D7C88">
        <w:rPr>
          <w:rFonts w:hint="default"/>
        </w:rPr>
        <w:t>me ochrany vkladov, fond je povinný</w:t>
      </w:r>
      <w:r w:rsidRPr="001D7C88">
        <w:rPr>
          <w:rFonts w:hint="default"/>
        </w:rPr>
        <w:t xml:space="preserve"> previesť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spevky banky za posledný</w:t>
      </w:r>
      <w:r w:rsidRPr="001D7C88">
        <w:rPr>
          <w:rFonts w:hint="default"/>
        </w:rPr>
        <w:t>ch 12 mesiacov pred touto zmenou, okrem mimoriadnych prí</w:t>
      </w:r>
      <w:r w:rsidRPr="001D7C88">
        <w:rPr>
          <w:rFonts w:hint="default"/>
        </w:rPr>
        <w:t>spevkov, a </w:t>
      </w:r>
      <w:r w:rsidRPr="001D7C88">
        <w:rPr>
          <w:rFonts w:hint="default"/>
        </w:rPr>
        <w:t>to do tohto iné</w:t>
      </w:r>
      <w:r w:rsidRPr="001D7C88">
        <w:rPr>
          <w:rFonts w:hint="default"/>
        </w:rPr>
        <w:t>ho systé</w:t>
      </w:r>
      <w:r w:rsidRPr="001D7C88">
        <w:rPr>
          <w:rFonts w:hint="default"/>
        </w:rPr>
        <w:t>mu ochrany vkladov, na ktorom sa tá</w:t>
      </w:r>
      <w:r w:rsidRPr="001D7C88">
        <w:rPr>
          <w:rFonts w:hint="default"/>
        </w:rPr>
        <w:t>to banka zúč</w:t>
      </w:r>
      <w:r w:rsidRPr="001D7C88">
        <w:rPr>
          <w:rFonts w:hint="default"/>
        </w:rPr>
        <w:t>astň</w:t>
      </w:r>
      <w:r w:rsidRPr="001D7C88">
        <w:rPr>
          <w:rFonts w:hint="default"/>
        </w:rPr>
        <w:t>uje, vo výš</w:t>
      </w:r>
      <w:r w:rsidRPr="001D7C88">
        <w:rPr>
          <w:rFonts w:hint="default"/>
        </w:rPr>
        <w:t>ke ú</w:t>
      </w:r>
      <w:r w:rsidRPr="001D7C88">
        <w:rPr>
          <w:rFonts w:hint="default"/>
        </w:rPr>
        <w:t>mernej k </w:t>
      </w:r>
      <w:r w:rsidRPr="001D7C88">
        <w:rPr>
          <w:rFonts w:hint="default"/>
        </w:rPr>
        <w:t>sume krytý</w:t>
      </w:r>
      <w:r w:rsidRPr="001D7C88">
        <w:rPr>
          <w:rFonts w:hint="default"/>
        </w:rPr>
        <w:t>ch vkla</w:t>
      </w:r>
      <w:r w:rsidRPr="001D7C88">
        <w:rPr>
          <w:rFonts w:hint="default"/>
        </w:rPr>
        <w:t>d</w:t>
      </w:r>
      <w:r w:rsidRPr="001D7C88">
        <w:rPr>
          <w:rFonts w:hint="default"/>
        </w:rPr>
        <w:t>ov, ktorý</w:t>
      </w:r>
      <w:r w:rsidRPr="001D7C88">
        <w:rPr>
          <w:rFonts w:hint="default"/>
        </w:rPr>
        <w:t>ch ochrana sa presunula do tohto iné</w:t>
      </w:r>
      <w:r w:rsidRPr="001D7C88">
        <w:rPr>
          <w:rFonts w:hint="default"/>
        </w:rPr>
        <w:t>ho systé</w:t>
      </w:r>
      <w:r w:rsidRPr="001D7C88">
        <w:rPr>
          <w:rFonts w:hint="default"/>
        </w:rPr>
        <w:t>mu ochrany vkladov.“.</w:t>
      </w:r>
    </w:p>
    <w:p w:rsidR="00112ADA" w:rsidRPr="001D7C88">
      <w:pPr>
        <w:bidi w:val="0"/>
        <w:jc w:val="both"/>
      </w:pP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38. V §</w:t>
      </w:r>
      <w:r w:rsidRPr="001D7C88">
        <w:rPr>
          <w:rFonts w:hint="default"/>
        </w:rPr>
        <w:t xml:space="preserve"> 17 ods. 1 pí</w:t>
      </w:r>
      <w:r w:rsidRPr="001D7C88">
        <w:rPr>
          <w:rFonts w:hint="default"/>
        </w:rPr>
        <w:t>sm. h) sa slovo „</w:t>
      </w:r>
      <w:r w:rsidRPr="001D7C88">
        <w:rPr>
          <w:rFonts w:hint="default"/>
        </w:rPr>
        <w:t>fond“</w:t>
      </w:r>
      <w:r w:rsidRPr="001D7C88">
        <w:rPr>
          <w:rFonts w:hint="default"/>
        </w:rPr>
        <w:t xml:space="preserve"> nahrá</w:t>
      </w:r>
      <w:r w:rsidRPr="001D7C88">
        <w:rPr>
          <w:rFonts w:hint="default"/>
        </w:rPr>
        <w:t>dza slovami „</w:t>
      </w:r>
      <w:r w:rsidRPr="001D7C88">
        <w:rPr>
          <w:rFonts w:hint="default"/>
        </w:rPr>
        <w:t>kaž</w:t>
      </w:r>
      <w:r w:rsidRPr="001D7C88">
        <w:rPr>
          <w:rFonts w:hint="default"/>
        </w:rPr>
        <w:t>doroč</w:t>
      </w:r>
      <w:r w:rsidRPr="001D7C88">
        <w:rPr>
          <w:rFonts w:hint="default"/>
        </w:rPr>
        <w:t>ne vypracú</w:t>
      </w:r>
      <w:r w:rsidRPr="001D7C88">
        <w:rPr>
          <w:rFonts w:hint="default"/>
        </w:rPr>
        <w:t>va fond a </w:t>
      </w:r>
      <w:r w:rsidRPr="001D7C88">
        <w:rPr>
          <w:rFonts w:hint="default"/>
        </w:rPr>
        <w:t>ktorú</w:t>
      </w:r>
      <w:r w:rsidRPr="001D7C88">
        <w:rPr>
          <w:rFonts w:hint="default"/>
        </w:rPr>
        <w:t xml:space="preserve"> fond po schvá</w:t>
      </w:r>
      <w:r w:rsidRPr="001D7C88">
        <w:rPr>
          <w:rFonts w:hint="default"/>
        </w:rPr>
        <w:t>lení“.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39. V §</w:t>
      </w:r>
      <w:r w:rsidRPr="001D7C88">
        <w:rPr>
          <w:rFonts w:hint="default"/>
        </w:rPr>
        <w:t xml:space="preserve"> 17 ods. 1 pí</w:t>
      </w:r>
      <w:r w:rsidRPr="001D7C88">
        <w:rPr>
          <w:rFonts w:hint="default"/>
        </w:rPr>
        <w:t>smeno j) znie:</w:t>
      </w: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j) urč</w:t>
      </w:r>
      <w:r w:rsidRPr="001D7C88">
        <w:rPr>
          <w:rFonts w:hint="default"/>
        </w:rPr>
        <w:t>ovať</w:t>
      </w:r>
      <w:r w:rsidRPr="001D7C88">
        <w:rPr>
          <w:rFonts w:hint="default"/>
        </w:rPr>
        <w:t xml:space="preserve"> výš</w:t>
      </w:r>
      <w:r w:rsidRPr="001D7C88">
        <w:rPr>
          <w:rFonts w:hint="default"/>
        </w:rPr>
        <w:t>ku roč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</w:t>
      </w:r>
      <w:r w:rsidRPr="001D7C88">
        <w:rPr>
          <w:rFonts w:hint="default"/>
        </w:rPr>
        <w:t>í</w:t>
      </w:r>
      <w:r w:rsidRPr="001D7C88">
        <w:rPr>
          <w:rFonts w:hint="default"/>
        </w:rPr>
        <w:t>spevkov a mimoriadnych prí</w:t>
      </w:r>
      <w:r w:rsidRPr="001D7C88">
        <w:rPr>
          <w:rFonts w:hint="default"/>
        </w:rPr>
        <w:t>spevkov, lehotu splatnosti mimoriadnych prí</w:t>
      </w:r>
      <w:r w:rsidRPr="001D7C88">
        <w:rPr>
          <w:rFonts w:hint="default"/>
        </w:rPr>
        <w:t>spevkov a metó</w:t>
      </w:r>
      <w:r w:rsidRPr="001D7C88">
        <w:rPr>
          <w:rFonts w:hint="default"/>
        </w:rPr>
        <w:t>du a </w:t>
      </w:r>
      <w:r w:rsidRPr="001D7C88">
        <w:rPr>
          <w:rFonts w:hint="default"/>
        </w:rPr>
        <w:t>metodiku vý</w:t>
      </w:r>
      <w:r w:rsidRPr="001D7C88">
        <w:rPr>
          <w:rFonts w:hint="default"/>
        </w:rPr>
        <w:t>poč</w:t>
      </w:r>
      <w:r w:rsidRPr="001D7C88">
        <w:rPr>
          <w:rFonts w:hint="default"/>
        </w:rPr>
        <w:t>tu prí</w:t>
      </w:r>
      <w:r w:rsidRPr="001D7C88">
        <w:rPr>
          <w:rFonts w:hint="default"/>
        </w:rPr>
        <w:t>spevkov,“.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40. V §</w:t>
      </w:r>
      <w:r w:rsidRPr="001D7C88">
        <w:rPr>
          <w:rFonts w:hint="default"/>
        </w:rPr>
        <w:t xml:space="preserve"> 22c ods. 2 sa vypúšť</w:t>
      </w:r>
      <w:r w:rsidRPr="001D7C88">
        <w:rPr>
          <w:rFonts w:hint="default"/>
        </w:rPr>
        <w:t>a pí</w:t>
      </w:r>
      <w:r w:rsidRPr="001D7C88">
        <w:rPr>
          <w:rFonts w:hint="default"/>
        </w:rPr>
        <w:t>smeno d).</w:t>
      </w:r>
    </w:p>
    <w:p w:rsidR="005A0FB7" w:rsidRPr="001D7C88">
      <w:pPr>
        <w:bidi w:val="0"/>
        <w:ind w:firstLine="708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41. §</w:t>
      </w:r>
      <w:r w:rsidRPr="001D7C88">
        <w:rPr>
          <w:rFonts w:hint="default"/>
        </w:rPr>
        <w:t xml:space="preserve"> 22c sa dopĺň</w:t>
      </w:r>
      <w:r w:rsidRPr="001D7C88">
        <w:rPr>
          <w:rFonts w:hint="default"/>
        </w:rPr>
        <w:t>a odsekom 6, ktorý</w:t>
      </w:r>
      <w:r w:rsidRPr="001D7C88">
        <w:rPr>
          <w:rFonts w:hint="default"/>
        </w:rPr>
        <w:t xml:space="preserve">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(6) Banka je povinná</w:t>
      </w:r>
      <w:r w:rsidRPr="001D7C88">
        <w:rPr>
          <w:rFonts w:hint="default"/>
        </w:rPr>
        <w:t xml:space="preserve"> poskytnúť</w:t>
      </w:r>
      <w:r w:rsidRPr="001D7C88">
        <w:rPr>
          <w:rFonts w:hint="default"/>
        </w:rPr>
        <w:t xml:space="preserve"> vkladateľ</w:t>
      </w:r>
      <w:r w:rsidRPr="001D7C88">
        <w:rPr>
          <w:rFonts w:hint="default"/>
        </w:rPr>
        <w:t xml:space="preserve">ovi tri </w:t>
      </w:r>
      <w:r w:rsidRPr="001D7C88">
        <w:rPr>
          <w:rFonts w:hint="default"/>
        </w:rPr>
        <w:t>mesiace po zverejnení</w:t>
      </w:r>
      <w:r w:rsidRPr="001D7C88">
        <w:rPr>
          <w:rFonts w:hint="default"/>
        </w:rPr>
        <w:t xml:space="preserve"> informá</w:t>
      </w:r>
      <w:r w:rsidRPr="001D7C88">
        <w:rPr>
          <w:rFonts w:hint="default"/>
        </w:rPr>
        <w:t>cie podľ</w:t>
      </w:r>
      <w:r w:rsidRPr="001D7C88">
        <w:rPr>
          <w:rFonts w:hint="default"/>
        </w:rPr>
        <w:t>a odseku 1 bezplatný</w:t>
      </w:r>
      <w:r w:rsidRPr="001D7C88">
        <w:rPr>
          <w:rFonts w:hint="default"/>
        </w:rPr>
        <w:t xml:space="preserve"> vý</w:t>
      </w:r>
      <w:r w:rsidRPr="001D7C88">
        <w:rPr>
          <w:rFonts w:hint="default"/>
        </w:rPr>
        <w:t>ber alebo prevod č</w:t>
      </w:r>
      <w:r w:rsidRPr="001D7C88">
        <w:rPr>
          <w:rFonts w:hint="default"/>
        </w:rPr>
        <w:t>asti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>ho vkladu presahujú</w:t>
      </w:r>
      <w:r w:rsidRPr="001D7C88">
        <w:rPr>
          <w:rFonts w:hint="default"/>
        </w:rPr>
        <w:t>cej výš</w:t>
      </w:r>
      <w:r w:rsidRPr="001D7C88">
        <w:rPr>
          <w:rFonts w:hint="default"/>
        </w:rPr>
        <w:t>ku ná</w:t>
      </w:r>
      <w:r w:rsidRPr="001D7C88">
        <w:rPr>
          <w:rFonts w:hint="default"/>
        </w:rPr>
        <w:t>hrady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9, vrá</w:t>
      </w:r>
      <w:r w:rsidRPr="001D7C88">
        <w:rPr>
          <w:rFonts w:hint="default"/>
        </w:rPr>
        <w:t>tane ú</w:t>
      </w:r>
      <w:r w:rsidRPr="001D7C88">
        <w:rPr>
          <w:rFonts w:hint="default"/>
        </w:rPr>
        <w:t>rokov a </w:t>
      </w:r>
      <w:r w:rsidRPr="001D7C88">
        <w:rPr>
          <w:rFonts w:hint="default"/>
        </w:rPr>
        <w:t>plnení</w:t>
      </w:r>
      <w:r w:rsidRPr="001D7C88">
        <w:rPr>
          <w:rFonts w:hint="default"/>
        </w:rPr>
        <w:t xml:space="preserve"> z </w:t>
      </w:r>
      <w:r w:rsidRPr="001D7C88">
        <w:rPr>
          <w:rFonts w:hint="default"/>
        </w:rPr>
        <w:t>tejto č</w:t>
      </w:r>
      <w:r w:rsidRPr="001D7C88">
        <w:rPr>
          <w:rFonts w:hint="default"/>
        </w:rPr>
        <w:t>asti vkladu.“.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ind w:firstLine="708"/>
        <w:rPr>
          <w:rFonts w:hint="default"/>
        </w:rPr>
      </w:pPr>
      <w:r w:rsidRPr="001D7C88">
        <w:rPr>
          <w:rFonts w:hint="default"/>
        </w:rPr>
        <w:t>42. Za §</w:t>
      </w:r>
      <w:r w:rsidRPr="001D7C88">
        <w:rPr>
          <w:rFonts w:hint="default"/>
        </w:rPr>
        <w:t xml:space="preserve"> 22c </w:t>
      </w:r>
      <w:r w:rsidRPr="001D7C88">
        <w:rPr>
          <w:rFonts w:hint="default"/>
        </w:rPr>
        <w:t>sa vkladá</w:t>
      </w:r>
      <w:r w:rsidRPr="001D7C88">
        <w:rPr>
          <w:rFonts w:hint="default"/>
        </w:rPr>
        <w:t xml:space="preserve"> §</w:t>
      </w:r>
      <w:r w:rsidRPr="001D7C88">
        <w:rPr>
          <w:rFonts w:hint="default"/>
        </w:rPr>
        <w:t xml:space="preserve"> 22d, ktorý</w:t>
      </w:r>
      <w:r w:rsidRPr="001D7C88">
        <w:rPr>
          <w:rFonts w:hint="default"/>
        </w:rPr>
        <w:t xml:space="preserve"> znie:</w:t>
      </w:r>
    </w:p>
    <w:p w:rsidR="005A0FB7" w:rsidRPr="001D7C88">
      <w:pPr>
        <w:bidi w:val="0"/>
        <w:ind w:firstLine="708"/>
        <w:jc w:val="center"/>
      </w:pPr>
    </w:p>
    <w:p w:rsidR="005A0FB7" w:rsidRPr="001D7C88">
      <w:pPr>
        <w:bidi w:val="0"/>
        <w:ind w:firstLine="708"/>
        <w:jc w:val="center"/>
        <w:rPr>
          <w:rFonts w:hint="default"/>
        </w:rPr>
      </w:pPr>
      <w:r w:rsidRPr="001D7C88">
        <w:rPr>
          <w:rFonts w:hint="default"/>
        </w:rPr>
        <w:t>„§</w:t>
      </w:r>
      <w:r w:rsidRPr="001D7C88">
        <w:rPr>
          <w:rFonts w:hint="default"/>
        </w:rPr>
        <w:t xml:space="preserve"> 22d</w:t>
      </w:r>
    </w:p>
    <w:p w:rsidR="005A0FB7" w:rsidRPr="001D7C88">
      <w:pPr>
        <w:bidi w:val="0"/>
        <w:ind w:firstLine="708"/>
        <w:jc w:val="center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Banka zrozumiteľ</w:t>
      </w:r>
      <w:r w:rsidRPr="001D7C88">
        <w:rPr>
          <w:rFonts w:hint="default"/>
        </w:rPr>
        <w:t>n</w:t>
      </w:r>
      <w:r w:rsidRPr="001D7C88">
        <w:rPr>
          <w:rFonts w:hint="default"/>
        </w:rPr>
        <w:t>e a v slovenskom jazyku pí</w:t>
      </w:r>
      <w:r w:rsidRPr="001D7C88">
        <w:rPr>
          <w:rFonts w:hint="default"/>
        </w:rPr>
        <w:t>somne informuje vkladateľ</w:t>
      </w:r>
      <w:r w:rsidRPr="001D7C88">
        <w:rPr>
          <w:rFonts w:hint="default"/>
        </w:rPr>
        <w:t>ov o ukonč</w:t>
      </w:r>
      <w:r w:rsidRPr="001D7C88">
        <w:rPr>
          <w:rFonts w:hint="default"/>
        </w:rPr>
        <w:t>ení</w:t>
      </w:r>
      <w:r w:rsidRPr="001D7C88">
        <w:rPr>
          <w:rFonts w:hint="default"/>
        </w:rPr>
        <w:t xml:space="preserve"> svojej úč</w:t>
      </w:r>
      <w:r w:rsidRPr="001D7C88">
        <w:rPr>
          <w:rFonts w:hint="default"/>
        </w:rPr>
        <w:t>asti v </w:t>
      </w:r>
      <w:r w:rsidRPr="001D7C88">
        <w:rPr>
          <w:rFonts w:hint="default"/>
        </w:rPr>
        <w:t>systé</w:t>
      </w:r>
      <w:r w:rsidRPr="001D7C88">
        <w:rPr>
          <w:rFonts w:hint="default"/>
        </w:rPr>
        <w:t>me ochrany vkladov alebo o </w:t>
      </w:r>
      <w:r w:rsidRPr="001D7C88">
        <w:rPr>
          <w:rFonts w:hint="default"/>
        </w:rPr>
        <w:t>jej vylúč</w:t>
      </w:r>
      <w:r w:rsidRPr="001D7C88">
        <w:rPr>
          <w:rFonts w:hint="default"/>
        </w:rPr>
        <w:t>ení</w:t>
      </w:r>
      <w:r w:rsidRPr="001D7C88">
        <w:rPr>
          <w:rFonts w:hint="default"/>
        </w:rPr>
        <w:t xml:space="preserve"> zo systé</w:t>
      </w:r>
      <w:r w:rsidRPr="001D7C88">
        <w:rPr>
          <w:rFonts w:hint="default"/>
        </w:rPr>
        <w:t>mu ochrany vkladov, a to do 48 hodí</w:t>
      </w:r>
      <w:r w:rsidRPr="001D7C88">
        <w:rPr>
          <w:rFonts w:hint="default"/>
        </w:rPr>
        <w:t>n po tomto ukonč</w:t>
      </w:r>
      <w:r w:rsidRPr="001D7C88">
        <w:rPr>
          <w:rFonts w:hint="default"/>
        </w:rPr>
        <w:t>ení</w:t>
      </w:r>
      <w:r w:rsidRPr="001D7C88">
        <w:rPr>
          <w:rFonts w:hint="default"/>
        </w:rPr>
        <w:t xml:space="preserve"> alebo vylúč</w:t>
      </w:r>
      <w:r w:rsidRPr="001D7C88">
        <w:rPr>
          <w:rFonts w:hint="default"/>
        </w:rPr>
        <w:t>ení.“.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ind w:firstLine="708"/>
        <w:rPr>
          <w:rFonts w:hint="default"/>
        </w:rPr>
      </w:pPr>
      <w:r w:rsidRPr="001D7C88">
        <w:rPr>
          <w:rFonts w:hint="default"/>
        </w:rPr>
        <w:t>43. V §</w:t>
      </w:r>
      <w:r w:rsidRPr="001D7C88">
        <w:rPr>
          <w:rFonts w:hint="default"/>
        </w:rPr>
        <w:t xml:space="preserve"> 26 sa vypúšť</w:t>
      </w:r>
      <w:r w:rsidRPr="001D7C88">
        <w:rPr>
          <w:rFonts w:hint="default"/>
        </w:rPr>
        <w:t>a odsek 5.</w:t>
      </w:r>
    </w:p>
    <w:p w:rsidR="005A0FB7" w:rsidRPr="001D7C88">
      <w:pPr>
        <w:bidi w:val="0"/>
        <w:ind w:firstLine="708"/>
        <w:rPr>
          <w:rFonts w:hint="default"/>
        </w:rPr>
      </w:pPr>
    </w:p>
    <w:p w:rsidR="005A0FB7" w:rsidRPr="001D7C88">
      <w:pPr>
        <w:bidi w:val="0"/>
        <w:ind w:firstLine="708"/>
        <w:rPr>
          <w:rFonts w:hint="default"/>
        </w:rPr>
      </w:pPr>
      <w:r w:rsidRPr="001D7C88">
        <w:rPr>
          <w:rFonts w:hint="default"/>
        </w:rPr>
        <w:t>44. §</w:t>
      </w:r>
      <w:r w:rsidRPr="001D7C88">
        <w:rPr>
          <w:rFonts w:hint="default"/>
        </w:rPr>
        <w:t xml:space="preserve"> 28 sa vypú</w:t>
      </w:r>
      <w:r w:rsidRPr="001D7C88">
        <w:rPr>
          <w:rFonts w:hint="default"/>
        </w:rPr>
        <w:t>šť</w:t>
      </w:r>
      <w:r w:rsidRPr="001D7C88">
        <w:rPr>
          <w:rFonts w:hint="default"/>
        </w:rPr>
        <w:t>a.</w:t>
      </w:r>
    </w:p>
    <w:p w:rsidR="005A0FB7" w:rsidRPr="001D7C88">
      <w:pPr>
        <w:bidi w:val="0"/>
        <w:ind w:firstLine="708"/>
        <w:rPr>
          <w:rFonts w:hint="default"/>
        </w:rPr>
      </w:pPr>
    </w:p>
    <w:p w:rsidR="005A0FB7" w:rsidRPr="001D7C88">
      <w:pPr>
        <w:bidi w:val="0"/>
        <w:ind w:firstLine="708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 </w:t>
      </w:r>
      <w:r w:rsidRPr="001D7C88">
        <w:rPr>
          <w:rFonts w:hint="default"/>
        </w:rPr>
        <w:t>odkazu 19 sa vypúšť</w:t>
      </w:r>
      <w:r w:rsidRPr="001D7C88">
        <w:rPr>
          <w:rFonts w:hint="default"/>
        </w:rPr>
        <w:t>a.</w:t>
      </w:r>
    </w:p>
    <w:p w:rsidR="005A0FB7" w:rsidRPr="001D7C88">
      <w:pPr>
        <w:bidi w:val="0"/>
        <w:ind w:firstLine="708"/>
        <w:rPr>
          <w:rFonts w:hint="default"/>
        </w:rPr>
      </w:pPr>
    </w:p>
    <w:p w:rsidR="005A0FB7" w:rsidRPr="001D7C88">
      <w:pPr>
        <w:bidi w:val="0"/>
        <w:ind w:firstLine="708"/>
        <w:rPr>
          <w:rFonts w:hint="default"/>
        </w:rPr>
      </w:pPr>
      <w:r w:rsidRPr="001D7C88">
        <w:rPr>
          <w:rFonts w:hint="default"/>
        </w:rPr>
        <w:t>45. Za §</w:t>
      </w:r>
      <w:r w:rsidRPr="001D7C88">
        <w:rPr>
          <w:rFonts w:hint="default"/>
        </w:rPr>
        <w:t xml:space="preserve"> 28be </w:t>
      </w:r>
      <w:r w:rsidRPr="001D7C88">
        <w:rPr>
          <w:rFonts w:hint="default"/>
        </w:rPr>
        <w:t>sa vkladá</w:t>
      </w:r>
      <w:r w:rsidRPr="001D7C88">
        <w:rPr>
          <w:rFonts w:hint="default"/>
        </w:rPr>
        <w:t xml:space="preserve"> §</w:t>
      </w:r>
      <w:r w:rsidRPr="001D7C88">
        <w:rPr>
          <w:rFonts w:hint="default"/>
        </w:rPr>
        <w:t xml:space="preserve"> 28bf, ktorý</w:t>
      </w:r>
      <w:r w:rsidRPr="001D7C88">
        <w:rPr>
          <w:rFonts w:hint="default"/>
        </w:rPr>
        <w:t xml:space="preserve"> vrá</w:t>
      </w:r>
      <w:r w:rsidRPr="001D7C88">
        <w:rPr>
          <w:rFonts w:hint="default"/>
        </w:rPr>
        <w:t>tane nadpisu znie:</w:t>
      </w:r>
    </w:p>
    <w:p w:rsidR="005A0FB7" w:rsidRPr="001D7C88">
      <w:pPr>
        <w:bidi w:val="0"/>
        <w:ind w:firstLine="708"/>
        <w:jc w:val="center"/>
      </w:pPr>
    </w:p>
    <w:p w:rsidR="005A0FB7" w:rsidRPr="001D7C88">
      <w:pPr>
        <w:bidi w:val="0"/>
        <w:ind w:firstLine="708"/>
        <w:jc w:val="center"/>
        <w:rPr>
          <w:rFonts w:hint="default"/>
        </w:rPr>
      </w:pPr>
      <w:r w:rsidRPr="001D7C88">
        <w:rPr>
          <w:rFonts w:hint="default"/>
        </w:rPr>
        <w:t>„§</w:t>
      </w:r>
      <w:r w:rsidRPr="001D7C88">
        <w:rPr>
          <w:rFonts w:hint="default"/>
        </w:rPr>
        <w:t xml:space="preserve"> 28bf</w:t>
      </w:r>
    </w:p>
    <w:p w:rsidR="005A0FB7" w:rsidRPr="001D7C88">
      <w:pPr>
        <w:bidi w:val="0"/>
        <w:ind w:firstLine="708"/>
        <w:jc w:val="center"/>
        <w:rPr>
          <w:rFonts w:hint="default"/>
        </w:rPr>
      </w:pPr>
    </w:p>
    <w:p w:rsidR="005A0FB7" w:rsidRPr="001D7C88">
      <w:pPr>
        <w:bidi w:val="0"/>
        <w:ind w:firstLine="708"/>
        <w:jc w:val="center"/>
        <w:rPr>
          <w:rFonts w:hint="default"/>
        </w:rPr>
      </w:pPr>
      <w:r w:rsidRPr="001D7C88">
        <w:rPr>
          <w:rFonts w:hint="default"/>
        </w:rPr>
        <w:t>Prechodné</w:t>
      </w:r>
      <w:r w:rsidRPr="001D7C88">
        <w:rPr>
          <w:rFonts w:hint="default"/>
        </w:rPr>
        <w:t xml:space="preserve"> ustanovenia k ú</w:t>
      </w:r>
      <w:r w:rsidRPr="001D7C88">
        <w:rPr>
          <w:rFonts w:hint="default"/>
        </w:rPr>
        <w:t>pravá</w:t>
      </w:r>
      <w:r w:rsidRPr="001D7C88">
        <w:rPr>
          <w:rFonts w:hint="default"/>
        </w:rPr>
        <w:t>m úč</w:t>
      </w:r>
      <w:r w:rsidRPr="001D7C88">
        <w:rPr>
          <w:rFonts w:hint="default"/>
        </w:rPr>
        <w:t>inný</w:t>
      </w:r>
      <w:r w:rsidRPr="001D7C88">
        <w:rPr>
          <w:rFonts w:hint="default"/>
        </w:rPr>
        <w:t>m od 15. októ</w:t>
      </w:r>
      <w:r w:rsidRPr="001D7C88">
        <w:rPr>
          <w:rFonts w:hint="default"/>
        </w:rPr>
        <w:t>bra 2015</w:t>
      </w:r>
    </w:p>
    <w:p w:rsidR="005A0FB7" w:rsidRPr="001D7C88">
      <w:pPr>
        <w:bidi w:val="0"/>
        <w:ind w:firstLine="708"/>
        <w:jc w:val="both"/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(1) Ustanoveniami tohto zá</w:t>
      </w:r>
      <w:r w:rsidRPr="001D7C88">
        <w:rPr>
          <w:rFonts w:hint="default"/>
        </w:rPr>
        <w:t>kona sa spravujú</w:t>
      </w:r>
      <w:r w:rsidRPr="001D7C88">
        <w:rPr>
          <w:rFonts w:hint="default"/>
        </w:rPr>
        <w:t xml:space="preserve"> aj prá</w:t>
      </w:r>
      <w:r w:rsidRPr="001D7C88">
        <w:rPr>
          <w:rFonts w:hint="default"/>
        </w:rPr>
        <w:t>vne vzť</w:t>
      </w:r>
      <w:r w:rsidRPr="001D7C88">
        <w:rPr>
          <w:rFonts w:hint="default"/>
        </w:rPr>
        <w:t>ahy upravené</w:t>
      </w:r>
      <w:r w:rsidRPr="001D7C88">
        <w:rPr>
          <w:rFonts w:hint="default"/>
        </w:rPr>
        <w:t xml:space="preserve"> tý</w:t>
      </w:r>
      <w:r w:rsidRPr="001D7C88">
        <w:rPr>
          <w:rFonts w:hint="default"/>
        </w:rPr>
        <w:t>mto zá</w:t>
      </w:r>
      <w:r w:rsidRPr="001D7C88">
        <w:rPr>
          <w:rFonts w:hint="default"/>
        </w:rPr>
        <w:t>konom, ktoré</w:t>
      </w:r>
      <w:r w:rsidRPr="001D7C88">
        <w:rPr>
          <w:rFonts w:hint="default"/>
        </w:rPr>
        <w:t xml:space="preserve"> vznikli pred 15. októ</w:t>
      </w:r>
      <w:r w:rsidRPr="001D7C88">
        <w:rPr>
          <w:rFonts w:hint="default"/>
        </w:rPr>
        <w:t>brom 2015; vznik tý</w:t>
      </w:r>
      <w:r w:rsidRPr="001D7C88">
        <w:rPr>
          <w:rFonts w:hint="default"/>
        </w:rPr>
        <w:t>chto prá</w:t>
      </w:r>
      <w:r w:rsidRPr="001D7C88">
        <w:rPr>
          <w:rFonts w:hint="default"/>
        </w:rPr>
        <w:t>vnych vzť</w:t>
      </w:r>
      <w:r w:rsidRPr="001D7C88">
        <w:rPr>
          <w:rFonts w:hint="default"/>
        </w:rPr>
        <w:t>ahov, ako aj prá</w:t>
      </w:r>
      <w:r w:rsidRPr="001D7C88">
        <w:rPr>
          <w:rFonts w:hint="default"/>
        </w:rPr>
        <w:t>vne úč</w:t>
      </w:r>
      <w:r w:rsidRPr="001D7C88">
        <w:rPr>
          <w:rFonts w:hint="default"/>
        </w:rPr>
        <w:t>inky ú</w:t>
      </w:r>
      <w:r w:rsidRPr="001D7C88">
        <w:rPr>
          <w:rFonts w:hint="default"/>
        </w:rPr>
        <w:t>konov, ktoré</w:t>
      </w:r>
      <w:r w:rsidRPr="001D7C88">
        <w:rPr>
          <w:rFonts w:hint="default"/>
        </w:rPr>
        <w:t xml:space="preserve"> nastali pred 15. októ</w:t>
      </w:r>
      <w:r w:rsidRPr="001D7C88">
        <w:rPr>
          <w:rFonts w:hint="default"/>
        </w:rPr>
        <w:t>brom 2015, sa posudzujú</w:t>
      </w:r>
      <w:r w:rsidRPr="001D7C88">
        <w:rPr>
          <w:rFonts w:hint="default"/>
        </w:rPr>
        <w:t xml:space="preserve"> podľ</w:t>
      </w:r>
      <w:r w:rsidRPr="001D7C88">
        <w:rPr>
          <w:rFonts w:hint="default"/>
        </w:rPr>
        <w:t>a predpisov úč</w:t>
      </w:r>
      <w:r w:rsidRPr="001D7C88">
        <w:rPr>
          <w:rFonts w:hint="default"/>
        </w:rPr>
        <w:t>inný</w:t>
      </w:r>
      <w:r w:rsidRPr="001D7C88">
        <w:rPr>
          <w:rFonts w:hint="default"/>
        </w:rPr>
        <w:t>ch do 14. októ</w:t>
      </w:r>
      <w:r w:rsidRPr="001D7C88">
        <w:rPr>
          <w:rFonts w:hint="default"/>
        </w:rPr>
        <w:t>bra 2015, ak sa v odsekoch 2 až</w:t>
      </w:r>
      <w:r w:rsidRPr="001D7C88">
        <w:rPr>
          <w:rFonts w:hint="default"/>
        </w:rPr>
        <w:t xml:space="preserve"> 8 neustanovuje inak.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(2)</w:t>
      </w:r>
      <w:r w:rsidRPr="001D7C88">
        <w:rPr>
          <w:rFonts w:hint="default"/>
        </w:rPr>
        <w:t xml:space="preserve"> Vklady v banká</w:t>
      </w:r>
      <w:r w:rsidRPr="001D7C88">
        <w:rPr>
          <w:rFonts w:hint="default"/>
        </w:rPr>
        <w:t>ch, ktoré</w:t>
      </w:r>
      <w:r w:rsidRPr="001D7C88">
        <w:rPr>
          <w:rFonts w:hint="default"/>
        </w:rPr>
        <w:t xml:space="preserve"> boli ulož</w:t>
      </w:r>
      <w:r w:rsidRPr="001D7C88">
        <w:rPr>
          <w:rFonts w:hint="default"/>
        </w:rPr>
        <w:t>ené</w:t>
      </w:r>
      <w:r w:rsidRPr="001D7C88">
        <w:rPr>
          <w:rFonts w:hint="default"/>
        </w:rPr>
        <w:t xml:space="preserve"> a neboli celé</w:t>
      </w:r>
      <w:r w:rsidRPr="001D7C88">
        <w:rPr>
          <w:rFonts w:hint="default"/>
        </w:rPr>
        <w:t xml:space="preserve"> vyplatené</w:t>
      </w:r>
      <w:r w:rsidRPr="001D7C88">
        <w:rPr>
          <w:rFonts w:hint="default"/>
        </w:rPr>
        <w:t xml:space="preserve"> pred 15. októ</w:t>
      </w:r>
      <w:r w:rsidRPr="001D7C88">
        <w:rPr>
          <w:rFonts w:hint="default"/>
        </w:rPr>
        <w:t>brom 2015, sa rozliš</w:t>
      </w:r>
      <w:r w:rsidRPr="001D7C88">
        <w:rPr>
          <w:rFonts w:hint="default"/>
        </w:rPr>
        <w:t>ujú</w:t>
      </w:r>
      <w:r w:rsidRPr="001D7C88">
        <w:rPr>
          <w:rFonts w:hint="default"/>
        </w:rPr>
        <w:t xml:space="preserve"> na zá</w:t>
      </w:r>
      <w:r w:rsidRPr="001D7C88">
        <w:rPr>
          <w:rFonts w:hint="default"/>
        </w:rPr>
        <w:t>konom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vklady a na nechrá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vklady podľ</w:t>
      </w:r>
      <w:r w:rsidRPr="001D7C88">
        <w:rPr>
          <w:rFonts w:hint="default"/>
        </w:rPr>
        <w:t>a predpisov úč</w:t>
      </w:r>
      <w:r w:rsidRPr="001D7C88">
        <w:rPr>
          <w:rFonts w:hint="default"/>
        </w:rPr>
        <w:t>inný</w:t>
      </w:r>
      <w:r w:rsidRPr="001D7C88">
        <w:rPr>
          <w:rFonts w:hint="default"/>
        </w:rPr>
        <w:t>ch od 15. októ</w:t>
      </w:r>
      <w:r w:rsidRPr="001D7C88">
        <w:rPr>
          <w:rFonts w:hint="default"/>
        </w:rPr>
        <w:t>bra 2015 s tý</w:t>
      </w:r>
      <w:r w:rsidRPr="001D7C88">
        <w:rPr>
          <w:rFonts w:hint="default"/>
        </w:rPr>
        <w:t>m, ž</w:t>
      </w:r>
      <w:r w:rsidRPr="001D7C88">
        <w:rPr>
          <w:rFonts w:hint="default"/>
        </w:rPr>
        <w:t>e po 14. októ</w:t>
      </w:r>
      <w:r w:rsidRPr="001D7C88">
        <w:rPr>
          <w:rFonts w:hint="default"/>
        </w:rPr>
        <w:t>bri 2015 patria medzi zá</w:t>
      </w:r>
      <w:r w:rsidRPr="001D7C88">
        <w:rPr>
          <w:rFonts w:hint="default"/>
        </w:rPr>
        <w:t>konom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v</w:t>
      </w:r>
      <w:r w:rsidRPr="001D7C88">
        <w:rPr>
          <w:rFonts w:hint="default"/>
        </w:rPr>
        <w:t>k</w:t>
      </w:r>
      <w:r w:rsidRPr="001D7C88">
        <w:rPr>
          <w:rFonts w:hint="default"/>
        </w:rPr>
        <w:t xml:space="preserve">lady </w:t>
      </w:r>
      <w:r w:rsidR="00EE4C22">
        <w:t>aj</w:t>
      </w:r>
      <w:r w:rsidRPr="001D7C88">
        <w:rPr>
          <w:rFonts w:hint="default"/>
        </w:rPr>
        <w:t xml:space="preserve"> vklady vo forme finanč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ná</w:t>
      </w:r>
      <w:r w:rsidRPr="001D7C88">
        <w:rPr>
          <w:rFonts w:hint="default"/>
        </w:rPr>
        <w:t>stroja, ktorý</w:t>
      </w:r>
      <w:r w:rsidRPr="001D7C88">
        <w:rPr>
          <w:rFonts w:hint="default"/>
        </w:rPr>
        <w:t>m je vkladový</w:t>
      </w:r>
      <w:r w:rsidRPr="001D7C88">
        <w:rPr>
          <w:rFonts w:hint="default"/>
        </w:rPr>
        <w:t xml:space="preserve"> list na meno platný</w:t>
      </w:r>
      <w:r w:rsidRPr="001D7C88">
        <w:rPr>
          <w:rFonts w:hint="default"/>
        </w:rPr>
        <w:t xml:space="preserve"> a nezaniknutý</w:t>
      </w:r>
      <w:r w:rsidRPr="001D7C88">
        <w:rPr>
          <w:rFonts w:hint="default"/>
        </w:rPr>
        <w:t xml:space="preserve"> 14. októ</w:t>
      </w:r>
      <w:r w:rsidRPr="001D7C88">
        <w:rPr>
          <w:rFonts w:hint="default"/>
        </w:rPr>
        <w:t>bra 2015; pritom zá</w:t>
      </w:r>
      <w:r w:rsidRPr="001D7C88">
        <w:rPr>
          <w:rFonts w:hint="default"/>
        </w:rPr>
        <w:t>konom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vklady sú</w:t>
      </w:r>
      <w:r w:rsidRPr="001D7C88">
        <w:rPr>
          <w:rFonts w:hint="default"/>
        </w:rPr>
        <w:t xml:space="preserve">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systé</w:t>
      </w:r>
      <w:r w:rsidRPr="001D7C88">
        <w:rPr>
          <w:rFonts w:hint="default"/>
        </w:rPr>
        <w:t>mom ochrany vkladov v rozsahu a za podmienok ustanovený</w:t>
      </w:r>
      <w:r w:rsidRPr="001D7C88">
        <w:rPr>
          <w:rFonts w:hint="default"/>
        </w:rPr>
        <w:t>ch predpismi úč</w:t>
      </w:r>
      <w:r w:rsidRPr="001D7C88">
        <w:rPr>
          <w:rFonts w:hint="default"/>
        </w:rPr>
        <w:t>inný</w:t>
      </w:r>
      <w:r w:rsidRPr="001D7C88">
        <w:rPr>
          <w:rFonts w:hint="default"/>
        </w:rPr>
        <w:t>mi od 15. októ</w:t>
      </w:r>
      <w:r w:rsidRPr="001D7C88">
        <w:rPr>
          <w:rFonts w:hint="default"/>
        </w:rPr>
        <w:t xml:space="preserve">bra </w:t>
      </w:r>
      <w:r w:rsidRPr="001D7C88">
        <w:rPr>
          <w:rFonts w:hint="default"/>
        </w:rPr>
        <w:t xml:space="preserve">2015.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(3) Banky a poboč</w:t>
      </w:r>
      <w:r w:rsidRPr="001D7C88">
        <w:rPr>
          <w:rFonts w:hint="default"/>
        </w:rPr>
        <w:t>ky zahranič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bá</w:t>
      </w:r>
      <w:r w:rsidRPr="001D7C88">
        <w:rPr>
          <w:rFonts w:hint="default"/>
        </w:rPr>
        <w:t>nk sú</w:t>
      </w:r>
      <w:r w:rsidRPr="001D7C88">
        <w:rPr>
          <w:rFonts w:hint="default"/>
        </w:rPr>
        <w:t xml:space="preserve"> povinné</w:t>
      </w:r>
      <w:r w:rsidRPr="001D7C88">
        <w:rPr>
          <w:rFonts w:hint="default"/>
        </w:rPr>
        <w:t xml:space="preserve"> po 14. októ</w:t>
      </w:r>
      <w:r w:rsidRPr="001D7C88">
        <w:rPr>
          <w:rFonts w:hint="default"/>
        </w:rPr>
        <w:t>bri 2015 bezodkladne informovať</w:t>
      </w:r>
      <w:r w:rsidRPr="001D7C88">
        <w:rPr>
          <w:rFonts w:hint="default"/>
        </w:rPr>
        <w:t xml:space="preserve"> vkladateľ</w:t>
      </w:r>
      <w:r w:rsidRPr="001D7C88">
        <w:rPr>
          <w:rFonts w:hint="default"/>
        </w:rPr>
        <w:t>ov o vkladoch, ktoré</w:t>
      </w:r>
      <w:r w:rsidRPr="001D7C88">
        <w:rPr>
          <w:rFonts w:hint="default"/>
        </w:rPr>
        <w:t xml:space="preserve"> boli zá</w:t>
      </w:r>
      <w:r w:rsidRPr="001D7C88">
        <w:rPr>
          <w:rFonts w:hint="default"/>
        </w:rPr>
        <w:t>konom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pred 15. októ</w:t>
      </w:r>
      <w:r w:rsidRPr="001D7C88">
        <w:rPr>
          <w:rFonts w:hint="default"/>
        </w:rPr>
        <w:t>brom 2015 a ktoré</w:t>
      </w:r>
      <w:r w:rsidRPr="001D7C88">
        <w:rPr>
          <w:rFonts w:hint="default"/>
        </w:rPr>
        <w:t xml:space="preserve"> nie sú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konom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po 14. októ</w:t>
      </w:r>
      <w:r w:rsidRPr="001D7C88">
        <w:rPr>
          <w:rFonts w:hint="default"/>
        </w:rPr>
        <w:t xml:space="preserve">bri 2015.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(4) Vstupný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spevok, roč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spevok ani mimoriadny prí</w:t>
      </w:r>
      <w:r w:rsidRPr="001D7C88">
        <w:rPr>
          <w:rFonts w:hint="default"/>
        </w:rPr>
        <w:t>spevok uhradený</w:t>
      </w:r>
      <w:r w:rsidRPr="001D7C88">
        <w:rPr>
          <w:rFonts w:hint="default"/>
        </w:rPr>
        <w:t xml:space="preserve"> fondu podľ</w:t>
      </w:r>
      <w:r w:rsidRPr="001D7C88">
        <w:rPr>
          <w:rFonts w:hint="default"/>
        </w:rPr>
        <w:t>a ustanovení</w:t>
      </w:r>
      <w:r w:rsidRPr="001D7C88">
        <w:rPr>
          <w:rFonts w:hint="default"/>
        </w:rPr>
        <w:t xml:space="preserve"> §</w:t>
      </w:r>
      <w:r w:rsidRPr="001D7C88">
        <w:rPr>
          <w:rFonts w:hint="default"/>
        </w:rPr>
        <w:t xml:space="preserve"> 5 až</w:t>
      </w:r>
      <w:r w:rsidRPr="001D7C88">
        <w:rPr>
          <w:rFonts w:hint="default"/>
        </w:rPr>
        <w:t xml:space="preserve"> 7 alebo §</w:t>
      </w:r>
      <w:r w:rsidRPr="001D7C88">
        <w:rPr>
          <w:rFonts w:hint="default"/>
        </w:rPr>
        <w:t xml:space="preserve"> 22c ods. 2 pí</w:t>
      </w:r>
      <w:r w:rsidRPr="001D7C88">
        <w:rPr>
          <w:rFonts w:hint="default"/>
        </w:rPr>
        <w:t>sm. d) v znení</w:t>
      </w:r>
      <w:r w:rsidRPr="001D7C88">
        <w:rPr>
          <w:rFonts w:hint="default"/>
        </w:rPr>
        <w:t xml:space="preserve"> úč</w:t>
      </w:r>
      <w:r w:rsidRPr="001D7C88">
        <w:rPr>
          <w:rFonts w:hint="default"/>
        </w:rPr>
        <w:t xml:space="preserve">innom </w:t>
      </w:r>
      <w:r w:rsidR="009C08F1">
        <w:t>do</w:t>
      </w:r>
      <w:r w:rsidRPr="001D7C88">
        <w:rPr>
          <w:rFonts w:hint="default"/>
        </w:rPr>
        <w:t xml:space="preserve"> 15. októ</w:t>
      </w:r>
      <w:r w:rsidRPr="001D7C88">
        <w:rPr>
          <w:rFonts w:hint="default"/>
        </w:rPr>
        <w:t>br</w:t>
      </w:r>
      <w:r w:rsidR="009C08F1">
        <w:t>a</w:t>
      </w:r>
      <w:r w:rsidRPr="001D7C88">
        <w:rPr>
          <w:rFonts w:hint="default"/>
        </w:rPr>
        <w:t xml:space="preserve"> 2015 sa po 14. októ</w:t>
      </w:r>
      <w:r w:rsidRPr="001D7C88">
        <w:rPr>
          <w:rFonts w:hint="default"/>
        </w:rPr>
        <w:t>bri 2015 nevracia; to rovnako platí</w:t>
      </w:r>
      <w:r w:rsidRPr="001D7C88">
        <w:rPr>
          <w:rFonts w:hint="default"/>
        </w:rPr>
        <w:t xml:space="preserve"> pre splá</w:t>
      </w:r>
      <w:r w:rsidRPr="001D7C88">
        <w:rPr>
          <w:rFonts w:hint="default"/>
        </w:rPr>
        <w:t>tky mimoriadneho prí</w:t>
      </w:r>
      <w:r w:rsidRPr="001D7C88">
        <w:rPr>
          <w:rFonts w:hint="default"/>
        </w:rPr>
        <w:t>spevku a splá</w:t>
      </w:r>
      <w:r w:rsidRPr="001D7C88">
        <w:rPr>
          <w:rFonts w:hint="default"/>
        </w:rPr>
        <w:t>tky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spevku.</w:t>
      </w:r>
      <w:r w:rsidRPr="001D7C88">
        <w:rPr>
          <w:rFonts w:hint="default"/>
        </w:rPr>
        <w:t xml:space="preserve"> Na splá</w:t>
      </w:r>
      <w:r w:rsidRPr="001D7C88">
        <w:rPr>
          <w:rFonts w:hint="default"/>
        </w:rPr>
        <w:t>tky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 bá</w:t>
      </w:r>
      <w:r w:rsidRPr="001D7C88">
        <w:rPr>
          <w:rFonts w:hint="default"/>
        </w:rPr>
        <w:t>nk do fondu na š</w:t>
      </w:r>
      <w:r w:rsidRPr="001D7C88">
        <w:rPr>
          <w:rFonts w:hint="default"/>
        </w:rPr>
        <w:t>tvrtý</w:t>
      </w:r>
      <w:r w:rsidRPr="001D7C88">
        <w:rPr>
          <w:rFonts w:hint="default"/>
        </w:rPr>
        <w:t xml:space="preserve"> š</w:t>
      </w:r>
      <w:r w:rsidRPr="001D7C88">
        <w:rPr>
          <w:rFonts w:hint="default"/>
        </w:rPr>
        <w:t>tvrť</w:t>
      </w:r>
      <w:r w:rsidRPr="001D7C88">
        <w:rPr>
          <w:rFonts w:hint="default"/>
        </w:rPr>
        <w:t>rok roku 2015 sa vzť</w:t>
      </w:r>
      <w:r w:rsidRPr="001D7C88">
        <w:rPr>
          <w:rFonts w:hint="default"/>
        </w:rPr>
        <w:t>ahujú</w:t>
      </w:r>
      <w:r w:rsidRPr="001D7C88">
        <w:rPr>
          <w:rFonts w:hint="default"/>
        </w:rPr>
        <w:t xml:space="preserve"> predpisy úč</w:t>
      </w:r>
      <w:r w:rsidRPr="001D7C88">
        <w:rPr>
          <w:rFonts w:hint="default"/>
        </w:rPr>
        <w:t>inné</w:t>
      </w:r>
      <w:r w:rsidRPr="001D7C88">
        <w:rPr>
          <w:rFonts w:hint="default"/>
        </w:rPr>
        <w:t xml:space="preserve"> do 15. októ</w:t>
      </w:r>
      <w:r w:rsidRPr="001D7C88">
        <w:rPr>
          <w:rFonts w:hint="default"/>
        </w:rPr>
        <w:t>bra 2015.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</w:pPr>
      <w:r w:rsidRPr="001D7C88">
        <w:rPr>
          <w:rFonts w:hint="default"/>
        </w:rPr>
        <w:t>(5) Kaž</w:t>
      </w:r>
      <w:r w:rsidRPr="001D7C88">
        <w:rPr>
          <w:rFonts w:hint="default"/>
        </w:rPr>
        <w:t>dá</w:t>
      </w:r>
      <w:r w:rsidRPr="001D7C88">
        <w:rPr>
          <w:rFonts w:hint="default"/>
        </w:rPr>
        <w:t xml:space="preserve"> banka, ktorá</w:t>
      </w:r>
      <w:r w:rsidRPr="001D7C88">
        <w:rPr>
          <w:rFonts w:hint="default"/>
        </w:rPr>
        <w:t xml:space="preserve"> sa zúč</w:t>
      </w:r>
      <w:r w:rsidRPr="001D7C88">
        <w:rPr>
          <w:rFonts w:hint="default"/>
        </w:rPr>
        <w:t>astň</w:t>
      </w:r>
      <w:r w:rsidRPr="001D7C88">
        <w:rPr>
          <w:rFonts w:hint="default"/>
        </w:rPr>
        <w:t>uje na systé</w:t>
      </w:r>
      <w:r w:rsidRPr="001D7C88">
        <w:rPr>
          <w:rFonts w:hint="default"/>
        </w:rPr>
        <w:t>me ochrany vkladov podľ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kona, je najneskô</w:t>
      </w:r>
      <w:r w:rsidRPr="001D7C88">
        <w:rPr>
          <w:rFonts w:hint="default"/>
        </w:rPr>
        <w:t>r 30. novembra 2015 povinná</w:t>
      </w:r>
      <w:r w:rsidRPr="001D7C88">
        <w:rPr>
          <w:rFonts w:hint="default"/>
        </w:rPr>
        <w:t xml:space="preserve"> fondu doru</w:t>
      </w:r>
      <w:r w:rsidRPr="001D7C88">
        <w:rPr>
          <w:rFonts w:hint="default"/>
        </w:rPr>
        <w:t>č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pí</w:t>
      </w:r>
      <w:r w:rsidRPr="001D7C88">
        <w:rPr>
          <w:rFonts w:hint="default"/>
        </w:rPr>
        <w:t>somnú</w:t>
      </w:r>
      <w:r w:rsidRPr="001D7C88">
        <w:rPr>
          <w:rFonts w:hint="default"/>
        </w:rPr>
        <w:t xml:space="preserve"> informá</w:t>
      </w:r>
      <w:r w:rsidRPr="001D7C88">
        <w:rPr>
          <w:rFonts w:hint="default"/>
        </w:rPr>
        <w:t>ciu o sume krytý</w:t>
      </w:r>
      <w:r w:rsidRPr="001D7C88">
        <w:rPr>
          <w:rFonts w:hint="default"/>
        </w:rPr>
        <w:t>ch vkladov v tejto banke k 31. </w:t>
      </w:r>
      <w:r w:rsidRPr="001D7C88">
        <w:rPr>
          <w:rFonts w:hint="default"/>
        </w:rPr>
        <w:t>októ</w:t>
      </w:r>
      <w:r w:rsidRPr="001D7C88">
        <w:rPr>
          <w:rFonts w:hint="default"/>
        </w:rPr>
        <w:t>bru 2015. Fond tieto informá</w:t>
      </w:r>
      <w:r w:rsidRPr="001D7C88">
        <w:rPr>
          <w:rFonts w:hint="default"/>
        </w:rPr>
        <w:t>cie od jednotlivý</w:t>
      </w:r>
      <w:r w:rsidRPr="001D7C88">
        <w:rPr>
          <w:rFonts w:hint="default"/>
        </w:rPr>
        <w:t>ch bá</w:t>
      </w:r>
      <w:r w:rsidRPr="001D7C88">
        <w:rPr>
          <w:rFonts w:hint="default"/>
        </w:rPr>
        <w:t>nk a </w:t>
      </w:r>
      <w:r w:rsidRPr="001D7C88">
        <w:rPr>
          <w:rFonts w:hint="default"/>
        </w:rPr>
        <w:t>informá</w:t>
      </w:r>
      <w:r w:rsidRPr="001D7C88">
        <w:rPr>
          <w:rFonts w:hint="default"/>
        </w:rPr>
        <w:t>ciu o celkovej sume krytý</w:t>
      </w:r>
      <w:r w:rsidRPr="001D7C88">
        <w:rPr>
          <w:rFonts w:hint="default"/>
        </w:rPr>
        <w:t>ch vkladov k 31. </w:t>
      </w:r>
      <w:r w:rsidRPr="001D7C88">
        <w:rPr>
          <w:rFonts w:hint="default"/>
        </w:rPr>
        <w:t>októ</w:t>
      </w:r>
      <w:r w:rsidRPr="001D7C88">
        <w:rPr>
          <w:rFonts w:hint="default"/>
        </w:rPr>
        <w:t>bru 2015 vo vš</w:t>
      </w:r>
      <w:r w:rsidRPr="001D7C88">
        <w:rPr>
          <w:rFonts w:hint="default"/>
        </w:rPr>
        <w:t>etký</w:t>
      </w:r>
      <w:r w:rsidRPr="001D7C88">
        <w:rPr>
          <w:rFonts w:hint="default"/>
        </w:rPr>
        <w:t>ch banká</w:t>
      </w:r>
      <w:r w:rsidRPr="001D7C88">
        <w:rPr>
          <w:rFonts w:hint="default"/>
        </w:rPr>
        <w:t>ch, ktoré</w:t>
      </w:r>
      <w:r w:rsidRPr="001D7C88">
        <w:rPr>
          <w:rFonts w:hint="default"/>
        </w:rPr>
        <w:t xml:space="preserve"> sa zúč</w:t>
      </w:r>
      <w:r w:rsidRPr="001D7C88">
        <w:rPr>
          <w:rFonts w:hint="default"/>
        </w:rPr>
        <w:t>astň</w:t>
      </w:r>
      <w:r w:rsidRPr="001D7C88">
        <w:rPr>
          <w:rFonts w:hint="default"/>
        </w:rPr>
        <w:t>ujú</w:t>
      </w:r>
      <w:r w:rsidRPr="001D7C88">
        <w:rPr>
          <w:rFonts w:hint="default"/>
        </w:rPr>
        <w:t xml:space="preserve"> na systé</w:t>
      </w:r>
      <w:r w:rsidRPr="001D7C88">
        <w:rPr>
          <w:rFonts w:hint="default"/>
        </w:rPr>
        <w:t xml:space="preserve">me ochrany vkladov </w:t>
      </w:r>
      <w:r w:rsidRPr="001D7C88">
        <w:rPr>
          <w:rFonts w:hint="default"/>
        </w:rPr>
        <w:t>p</w:t>
      </w:r>
      <w:r w:rsidRPr="001D7C88">
        <w:rPr>
          <w:rFonts w:hint="default"/>
        </w:rPr>
        <w:t>odľ</w:t>
      </w:r>
      <w:r w:rsidRPr="001D7C88">
        <w:rPr>
          <w:rFonts w:hint="default"/>
        </w:rPr>
        <w:t>a tohto zá</w:t>
      </w:r>
      <w:r w:rsidRPr="001D7C88">
        <w:rPr>
          <w:rFonts w:hint="default"/>
        </w:rPr>
        <w:t>kona, bezodkladne poskytne Rade pre rieš</w:t>
      </w:r>
      <w:r w:rsidRPr="001D7C88">
        <w:rPr>
          <w:rFonts w:hint="default"/>
        </w:rPr>
        <w:t>enie krí</w:t>
      </w:r>
      <w:r w:rsidRPr="001D7C88">
        <w:rPr>
          <w:rFonts w:hint="default"/>
        </w:rPr>
        <w:t>zový</w:t>
      </w:r>
      <w:r w:rsidRPr="001D7C88">
        <w:rPr>
          <w:rFonts w:hint="default"/>
        </w:rPr>
        <w:t>ch situá</w:t>
      </w:r>
      <w:r w:rsidRPr="001D7C88">
        <w:rPr>
          <w:rFonts w:hint="default"/>
        </w:rPr>
        <w:t>cií</w:t>
      </w:r>
      <w:r w:rsidRPr="001D7C88">
        <w:rPr>
          <w:rFonts w:hint="default"/>
        </w:rPr>
        <w:t xml:space="preserve"> na úč</w:t>
      </w:r>
      <w:r w:rsidRPr="001D7C88">
        <w:rPr>
          <w:rFonts w:hint="default"/>
        </w:rPr>
        <w:t>ely podľ</w:t>
      </w:r>
      <w:r w:rsidRPr="001D7C88">
        <w:rPr>
          <w:rFonts w:hint="default"/>
        </w:rPr>
        <w:t>a osobitný</w:t>
      </w:r>
      <w:r w:rsidRPr="001D7C88">
        <w:rPr>
          <w:rFonts w:hint="default"/>
        </w:rPr>
        <w:t>ch predpisov.</w:t>
      </w:r>
      <w:r w:rsidRPr="001D7C88">
        <w:rPr>
          <w:vertAlign w:val="superscript"/>
        </w:rPr>
        <w:t>15fa</w:t>
      </w:r>
      <w:r w:rsidRPr="001D7C88">
        <w:t>)</w:t>
      </w:r>
    </w:p>
    <w:p w:rsidR="005A0FB7" w:rsidRPr="001D7C88">
      <w:pPr>
        <w:bidi w:val="0"/>
        <w:jc w:val="both"/>
      </w:pPr>
    </w:p>
    <w:p w:rsidR="008D0975" w:rsidRPr="001D7C88">
      <w:pPr>
        <w:bidi w:val="0"/>
        <w:jc w:val="both"/>
      </w:pPr>
      <w:r w:rsidRPr="001D7C88">
        <w:rPr>
          <w:rFonts w:hint="default"/>
        </w:rPr>
        <w:t>(6) Fond určí</w:t>
      </w:r>
      <w:r w:rsidRPr="001D7C88">
        <w:rPr>
          <w:rFonts w:hint="default"/>
        </w:rPr>
        <w:t xml:space="preserve"> pre kaž</w:t>
      </w:r>
      <w:r w:rsidRPr="001D7C88">
        <w:rPr>
          <w:rFonts w:hint="default"/>
        </w:rPr>
        <w:t>dú</w:t>
      </w:r>
      <w:r w:rsidRPr="001D7C88">
        <w:rPr>
          <w:rFonts w:hint="default"/>
        </w:rPr>
        <w:t xml:space="preserve"> banku výš</w:t>
      </w:r>
      <w:r w:rsidRPr="001D7C88">
        <w:rPr>
          <w:rFonts w:hint="default"/>
        </w:rPr>
        <w:t>ku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 za rok 2016 najneskô</w:t>
      </w:r>
      <w:r w:rsidRPr="001D7C88">
        <w:rPr>
          <w:rFonts w:hint="default"/>
        </w:rPr>
        <w:t>r do 1. aprí</w:t>
      </w:r>
      <w:r w:rsidRPr="001D7C88">
        <w:rPr>
          <w:rFonts w:hint="default"/>
        </w:rPr>
        <w:t>la 2016 a výš</w:t>
      </w:r>
      <w:r w:rsidRPr="001D7C88">
        <w:rPr>
          <w:rFonts w:hint="default"/>
        </w:rPr>
        <w:t>ku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 za rok 2017 najn</w:t>
      </w:r>
      <w:r w:rsidRPr="001D7C88">
        <w:rPr>
          <w:rFonts w:hint="default"/>
        </w:rPr>
        <w:t>eskô</w:t>
      </w:r>
      <w:r w:rsidRPr="001D7C88">
        <w:rPr>
          <w:rFonts w:hint="default"/>
        </w:rPr>
        <w:t>r do 1. aprí</w:t>
      </w:r>
      <w:r w:rsidRPr="001D7C88">
        <w:rPr>
          <w:rFonts w:hint="default"/>
        </w:rPr>
        <w:t>la 2017 za podmienok ustanovený</w:t>
      </w:r>
      <w:r w:rsidRPr="001D7C88">
        <w:rPr>
          <w:rFonts w:hint="default"/>
        </w:rPr>
        <w:t>ch pre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prí</w:t>
      </w:r>
      <w:r w:rsidRPr="001D7C88">
        <w:rPr>
          <w:rFonts w:hint="default"/>
        </w:rPr>
        <w:t>spevky v §</w:t>
      </w:r>
      <w:r w:rsidRPr="001D7C88">
        <w:rPr>
          <w:rFonts w:hint="default"/>
        </w:rPr>
        <w:t xml:space="preserve"> 6 a 7, ak v</w:t>
      </w:r>
      <w:r w:rsidR="00E60998">
        <w:t> </w:t>
      </w:r>
      <w:r w:rsidR="00E60998">
        <w:t xml:space="preserve">druhej a tretej vete </w:t>
      </w:r>
      <w:r w:rsidRPr="001D7C88">
        <w:rPr>
          <w:rFonts w:hint="default"/>
        </w:rPr>
        <w:t>nie je ustanovené</w:t>
      </w:r>
      <w:r w:rsidRPr="001D7C88">
        <w:rPr>
          <w:rFonts w:hint="default"/>
        </w:rPr>
        <w:t xml:space="preserve"> inak, prič</w:t>
      </w:r>
      <w:r w:rsidRPr="001D7C88">
        <w:rPr>
          <w:rFonts w:hint="default"/>
        </w:rPr>
        <w:t>om fond pri urč</w:t>
      </w:r>
      <w:r w:rsidRPr="001D7C88">
        <w:rPr>
          <w:rFonts w:hint="default"/>
        </w:rPr>
        <w:t>ovaní</w:t>
      </w:r>
      <w:r w:rsidRPr="001D7C88">
        <w:rPr>
          <w:rFonts w:hint="default"/>
        </w:rPr>
        <w:t xml:space="preserve"> výš</w:t>
      </w:r>
      <w:r w:rsidRPr="001D7C88">
        <w:rPr>
          <w:rFonts w:hint="default"/>
        </w:rPr>
        <w:t>ky roč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prí</w:t>
      </w:r>
      <w:r w:rsidRPr="001D7C88">
        <w:rPr>
          <w:rFonts w:hint="default"/>
        </w:rPr>
        <w:t>spevkov využ</w:t>
      </w:r>
      <w:r w:rsidRPr="001D7C88">
        <w:rPr>
          <w:rFonts w:hint="default"/>
        </w:rPr>
        <w:t xml:space="preserve">ije v </w:t>
      </w:r>
      <w:r w:rsidR="009C08F1">
        <w:rPr>
          <w:rFonts w:hint="default"/>
        </w:rPr>
        <w:t>tý</w:t>
      </w:r>
      <w:r w:rsidR="009C08F1">
        <w:rPr>
          <w:rFonts w:hint="default"/>
        </w:rPr>
        <w:t>chto</w:t>
      </w:r>
      <w:r w:rsidRPr="001D7C88">
        <w:rPr>
          <w:rFonts w:hint="default"/>
        </w:rPr>
        <w:t xml:space="preserve"> rokoch ú</w:t>
      </w:r>
      <w:r w:rsidRPr="001D7C88">
        <w:rPr>
          <w:rFonts w:hint="default"/>
        </w:rPr>
        <w:t>daje zná</w:t>
      </w:r>
      <w:r w:rsidRPr="001D7C88">
        <w:rPr>
          <w:rFonts w:hint="default"/>
        </w:rPr>
        <w:t>me v tom č</w:t>
      </w:r>
      <w:r w:rsidRPr="001D7C88">
        <w:rPr>
          <w:rFonts w:hint="default"/>
        </w:rPr>
        <w:t>ase fondu. Výš</w:t>
      </w:r>
      <w:r w:rsidRPr="001D7C88">
        <w:rPr>
          <w:rFonts w:hint="default"/>
        </w:rPr>
        <w:t>ka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</w:t>
      </w:r>
      <w:r w:rsidRPr="001D7C88">
        <w:rPr>
          <w:rFonts w:hint="default"/>
        </w:rPr>
        <w:t>ku za rok 2016 sa pre jednotlivé</w:t>
      </w:r>
      <w:r w:rsidRPr="001D7C88">
        <w:rPr>
          <w:rFonts w:hint="default"/>
        </w:rPr>
        <w:t xml:space="preserve"> banky určí</w:t>
      </w:r>
      <w:r w:rsidRPr="001D7C88">
        <w:rPr>
          <w:rFonts w:hint="default"/>
        </w:rPr>
        <w:t xml:space="preserve"> na zá</w:t>
      </w:r>
      <w:r w:rsidRPr="001D7C88">
        <w:rPr>
          <w:rFonts w:hint="default"/>
        </w:rPr>
        <w:t>klade ú</w:t>
      </w:r>
      <w:r w:rsidRPr="001D7C88">
        <w:rPr>
          <w:rFonts w:hint="default"/>
        </w:rPr>
        <w:t>dajov zná</w:t>
      </w:r>
      <w:r w:rsidRPr="001D7C88">
        <w:rPr>
          <w:rFonts w:hint="default"/>
        </w:rPr>
        <w:t>mych fondu o priemernom stave chrá</w:t>
      </w:r>
      <w:r w:rsidRPr="001D7C88">
        <w:rPr>
          <w:rFonts w:hint="default"/>
        </w:rPr>
        <w:t>nený</w:t>
      </w:r>
      <w:r w:rsidRPr="001D7C88">
        <w:rPr>
          <w:rFonts w:hint="default"/>
        </w:rPr>
        <w:t>ch vkladov v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nej banke v kalendá</w:t>
      </w:r>
      <w:r w:rsidRPr="001D7C88">
        <w:rPr>
          <w:rFonts w:hint="default"/>
        </w:rPr>
        <w:t>rnom roku 2014. Výš</w:t>
      </w:r>
      <w:r w:rsidRPr="001D7C88">
        <w:rPr>
          <w:rFonts w:hint="default"/>
        </w:rPr>
        <w:t>ka roč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prí</w:t>
      </w:r>
      <w:r w:rsidRPr="001D7C88">
        <w:rPr>
          <w:rFonts w:hint="default"/>
        </w:rPr>
        <w:t>spevku za rok 2017 sa pre jednotlivé</w:t>
      </w:r>
      <w:r w:rsidRPr="001D7C88">
        <w:rPr>
          <w:rFonts w:hint="default"/>
        </w:rPr>
        <w:t xml:space="preserve"> banky určí</w:t>
      </w:r>
      <w:r w:rsidRPr="001D7C88">
        <w:rPr>
          <w:rFonts w:hint="default"/>
        </w:rPr>
        <w:t xml:space="preserve"> na zá</w:t>
      </w:r>
      <w:r w:rsidRPr="001D7C88">
        <w:rPr>
          <w:rFonts w:hint="default"/>
        </w:rPr>
        <w:t>klade ú</w:t>
      </w:r>
      <w:r w:rsidRPr="001D7C88">
        <w:rPr>
          <w:rFonts w:hint="default"/>
        </w:rPr>
        <w:t>dajov zná</w:t>
      </w:r>
      <w:r w:rsidRPr="001D7C88">
        <w:rPr>
          <w:rFonts w:hint="default"/>
        </w:rPr>
        <w:t xml:space="preserve">mych fondu </w:t>
      </w:r>
      <w:r w:rsidRPr="001D7C88">
        <w:rPr>
          <w:rFonts w:hint="default"/>
        </w:rPr>
        <w:t>o</w:t>
      </w:r>
      <w:r w:rsidRPr="001D7C88">
        <w:rPr>
          <w:rFonts w:hint="default"/>
        </w:rPr>
        <w:t xml:space="preserve"> priemernom stave krytý</w:t>
      </w:r>
      <w:r w:rsidRPr="001D7C88">
        <w:rPr>
          <w:rFonts w:hint="default"/>
        </w:rPr>
        <w:t>ch vkladov v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nej banke v roku 2015 a informá</w:t>
      </w:r>
      <w:r w:rsidRPr="001D7C88">
        <w:rPr>
          <w:rFonts w:hint="default"/>
        </w:rPr>
        <w:t>cie podľ</w:t>
      </w:r>
      <w:r w:rsidRPr="001D7C88">
        <w:rPr>
          <w:rFonts w:hint="default"/>
        </w:rPr>
        <w:t>a odseku 5 o sume krytý</w:t>
      </w:r>
      <w:r w:rsidRPr="001D7C88">
        <w:rPr>
          <w:rFonts w:hint="default"/>
        </w:rPr>
        <w:t>ch vkladov v jednotlivý</w:t>
      </w:r>
      <w:r w:rsidRPr="001D7C88">
        <w:rPr>
          <w:rFonts w:hint="default"/>
        </w:rPr>
        <w:t>ch banká</w:t>
      </w:r>
      <w:r w:rsidRPr="001D7C88">
        <w:rPr>
          <w:rFonts w:hint="default"/>
        </w:rPr>
        <w:t xml:space="preserve">ch k 31. </w:t>
      </w:r>
      <w:r w:rsidR="000D51CB">
        <w:rPr>
          <w:rFonts w:hint="default"/>
        </w:rPr>
        <w:t>októ</w:t>
      </w:r>
      <w:r w:rsidR="000D51CB">
        <w:rPr>
          <w:rFonts w:hint="default"/>
        </w:rPr>
        <w:t>bru</w:t>
      </w:r>
      <w:r w:rsidRPr="001D7C88">
        <w:t xml:space="preserve"> 2015</w:t>
      </w:r>
      <w:r w:rsidR="00F24A8D">
        <w:rPr>
          <w:rFonts w:hint="default"/>
        </w:rPr>
        <w:t>, prič</w:t>
      </w:r>
      <w:r w:rsidR="00F24A8D">
        <w:rPr>
          <w:rFonts w:hint="default"/>
        </w:rPr>
        <w:t xml:space="preserve">om sa </w:t>
      </w:r>
      <w:r w:rsidR="000D51CB">
        <w:rPr>
          <w:rFonts w:hint="default"/>
        </w:rPr>
        <w:t>zohľ</w:t>
      </w:r>
      <w:r w:rsidR="000D51CB">
        <w:rPr>
          <w:rFonts w:hint="default"/>
        </w:rPr>
        <w:t>ad</w:t>
      </w:r>
      <w:r w:rsidR="00F24A8D">
        <w:rPr>
          <w:rFonts w:hint="default"/>
        </w:rPr>
        <w:t>ň</w:t>
      </w:r>
      <w:r w:rsidR="00F24A8D">
        <w:rPr>
          <w:rFonts w:hint="default"/>
        </w:rPr>
        <w:t>ujú</w:t>
      </w:r>
      <w:r w:rsidR="000D51CB">
        <w:rPr>
          <w:rFonts w:hint="default"/>
        </w:rPr>
        <w:t xml:space="preserve"> ú</w:t>
      </w:r>
      <w:r w:rsidR="000D51CB">
        <w:rPr>
          <w:rFonts w:hint="default"/>
        </w:rPr>
        <w:t>daj</w:t>
      </w:r>
      <w:r w:rsidR="00F24A8D">
        <w:t>e</w:t>
      </w:r>
      <w:r w:rsidR="000D51CB">
        <w:t xml:space="preserve"> </w:t>
      </w:r>
      <w:r w:rsidRPr="001D7C88" w:rsidR="000D51CB">
        <w:t>o</w:t>
      </w:r>
      <w:r w:rsidR="000D51CB">
        <w:t> </w:t>
      </w:r>
      <w:r w:rsidR="000D51CB">
        <w:rPr>
          <w:rFonts w:hint="default"/>
        </w:rPr>
        <w:t>vý</w:t>
      </w:r>
      <w:r w:rsidR="000D51CB">
        <w:rPr>
          <w:rFonts w:hint="default"/>
        </w:rPr>
        <w:t xml:space="preserve">voji </w:t>
      </w:r>
      <w:r w:rsidRPr="001D7C88" w:rsidR="000D51CB">
        <w:t>priemern</w:t>
      </w:r>
      <w:r w:rsidR="000D51CB">
        <w:rPr>
          <w:rFonts w:hint="default"/>
        </w:rPr>
        <w:t>é</w:t>
      </w:r>
      <w:r w:rsidR="000D51CB">
        <w:rPr>
          <w:rFonts w:hint="default"/>
        </w:rPr>
        <w:t>ho</w:t>
      </w:r>
      <w:r w:rsidRPr="001D7C88" w:rsidR="000D51CB">
        <w:t xml:space="preserve"> stav</w:t>
      </w:r>
      <w:r w:rsidR="000D51CB">
        <w:t>u</w:t>
      </w:r>
      <w:r w:rsidRPr="001D7C88" w:rsidR="000D51CB">
        <w:rPr>
          <w:rFonts w:hint="default"/>
        </w:rPr>
        <w:t xml:space="preserve"> chrá</w:t>
      </w:r>
      <w:r w:rsidRPr="001D7C88" w:rsidR="000D51CB">
        <w:rPr>
          <w:rFonts w:hint="default"/>
        </w:rPr>
        <w:t>nený</w:t>
      </w:r>
      <w:r w:rsidRPr="001D7C88" w:rsidR="000D51CB">
        <w:rPr>
          <w:rFonts w:hint="default"/>
        </w:rPr>
        <w:t>ch vkladov v prí</w:t>
      </w:r>
      <w:r w:rsidRPr="001D7C88" w:rsidR="000D51CB">
        <w:rPr>
          <w:rFonts w:hint="default"/>
        </w:rPr>
        <w:t>sluš</w:t>
      </w:r>
      <w:r w:rsidRPr="001D7C88" w:rsidR="000D51CB">
        <w:rPr>
          <w:rFonts w:hint="default"/>
        </w:rPr>
        <w:t>nej banke v rok</w:t>
      </w:r>
      <w:r w:rsidRPr="001D7C88" w:rsidR="000D51CB">
        <w:rPr>
          <w:rFonts w:hint="default"/>
        </w:rPr>
        <w:t>u 2015</w:t>
      </w:r>
      <w:r w:rsidRPr="001D7C88">
        <w:t>.</w:t>
      </w:r>
    </w:p>
    <w:p w:rsidR="008D0975" w:rsidRPr="001D7C88">
      <w:pPr>
        <w:bidi w:val="0"/>
        <w:jc w:val="both"/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(7) Prvé</w:t>
      </w:r>
      <w:r w:rsidRPr="001D7C88">
        <w:rPr>
          <w:rFonts w:hint="default"/>
        </w:rPr>
        <w:t xml:space="preserve"> stresové</w:t>
      </w:r>
      <w:r w:rsidRPr="001D7C88">
        <w:rPr>
          <w:rFonts w:hint="default"/>
        </w:rPr>
        <w:t xml:space="preserve"> testovanie systé</w:t>
      </w:r>
      <w:r w:rsidRPr="001D7C88">
        <w:rPr>
          <w:rFonts w:hint="default"/>
        </w:rPr>
        <w:t>mu ochrany vkladov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12 ods. 7 vykoná</w:t>
      </w:r>
      <w:r w:rsidRPr="001D7C88">
        <w:rPr>
          <w:rFonts w:hint="default"/>
        </w:rPr>
        <w:t xml:space="preserve"> fond do 3. jú</w:t>
      </w:r>
      <w:r w:rsidRPr="001D7C88">
        <w:rPr>
          <w:rFonts w:hint="default"/>
        </w:rPr>
        <w:t xml:space="preserve">la 2017.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(8) Vyplá</w:t>
      </w:r>
      <w:r w:rsidRPr="001D7C88">
        <w:rPr>
          <w:rFonts w:hint="default"/>
        </w:rPr>
        <w:t>canie ná</w:t>
      </w:r>
      <w:r w:rsidRPr="001D7C88">
        <w:rPr>
          <w:rFonts w:hint="default"/>
        </w:rPr>
        <w:t>hrad za zá</w:t>
      </w:r>
      <w:r w:rsidRPr="001D7C88">
        <w:rPr>
          <w:rFonts w:hint="default"/>
        </w:rPr>
        <w:t>konom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nedostupné</w:t>
      </w:r>
      <w:r w:rsidRPr="001D7C88">
        <w:rPr>
          <w:rFonts w:hint="default"/>
        </w:rPr>
        <w:t xml:space="preserve"> vklady podľ</w:t>
      </w:r>
      <w:r w:rsidRPr="001D7C88">
        <w:rPr>
          <w:rFonts w:hint="default"/>
        </w:rPr>
        <w:t>a §</w:t>
      </w:r>
      <w:r w:rsidRPr="001D7C88">
        <w:rPr>
          <w:rFonts w:hint="default"/>
        </w:rPr>
        <w:t xml:space="preserve"> 10 ods. 2 sa musí</w:t>
      </w:r>
      <w:r w:rsidRPr="001D7C88">
        <w:rPr>
          <w:rFonts w:hint="default"/>
        </w:rPr>
        <w:t xml:space="preserve"> skonč</w:t>
      </w:r>
      <w:r w:rsidRPr="001D7C88">
        <w:rPr>
          <w:rFonts w:hint="default"/>
        </w:rPr>
        <w:t>iť</w:t>
      </w:r>
      <w:r w:rsidRPr="001D7C88">
        <w:rPr>
          <w:rFonts w:hint="default"/>
        </w:rPr>
        <w:t xml:space="preserve"> najneskô</w:t>
      </w:r>
      <w:r w:rsidRPr="001D7C88">
        <w:rPr>
          <w:rFonts w:hint="default"/>
        </w:rPr>
        <w:t xml:space="preserve">r do </w:t>
      </w:r>
    </w:p>
    <w:p w:rsidR="005A0FB7" w:rsidRPr="001D7C88">
      <w:pPr>
        <w:tabs>
          <w:tab w:val="left" w:pos="1276"/>
        </w:tabs>
        <w:bidi w:val="0"/>
        <w:ind w:left="709"/>
        <w:jc w:val="both"/>
      </w:pPr>
      <w:r w:rsidRPr="001D7C88">
        <w:rPr>
          <w:rFonts w:hint="default"/>
        </w:rPr>
        <w:t>a) 20 pracovný</w:t>
      </w:r>
      <w:r w:rsidRPr="001D7C88">
        <w:rPr>
          <w:rFonts w:hint="default"/>
        </w:rPr>
        <w:t>ch dní</w:t>
      </w:r>
      <w:r w:rsidRPr="001D7C88">
        <w:rPr>
          <w:rFonts w:hint="default"/>
        </w:rPr>
        <w:t xml:space="preserve"> pri vyplá</w:t>
      </w:r>
      <w:r w:rsidRPr="001D7C88">
        <w:rPr>
          <w:rFonts w:hint="default"/>
        </w:rPr>
        <w:t>caní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 xml:space="preserve">hrad </w:t>
      </w:r>
      <w:r w:rsidR="009C08F1">
        <w:t>pri</w:t>
      </w:r>
      <w:r w:rsidRPr="001D7C88">
        <w:rPr>
          <w:rFonts w:hint="default"/>
        </w:rPr>
        <w:t xml:space="preserve"> vzniku nedostupnosti vkladov v období</w:t>
      </w:r>
      <w:r w:rsidRPr="001D7C88">
        <w:rPr>
          <w:rFonts w:hint="default"/>
        </w:rPr>
        <w:t xml:space="preserve"> od 15. </w:t>
      </w:r>
      <w:r w:rsidR="00A57ADB">
        <w:rPr>
          <w:rFonts w:hint="default"/>
        </w:rPr>
        <w:t>októ</w:t>
      </w:r>
      <w:r w:rsidRPr="001D7C88">
        <w:t xml:space="preserve">bra 2015 do 31. decembra 2018, </w:t>
      </w:r>
    </w:p>
    <w:p w:rsidR="005A0FB7" w:rsidRPr="001D7C88">
      <w:pPr>
        <w:tabs>
          <w:tab w:val="left" w:pos="993"/>
        </w:tabs>
        <w:bidi w:val="0"/>
        <w:ind w:left="708"/>
        <w:jc w:val="both"/>
        <w:rPr>
          <w:rFonts w:hint="default"/>
        </w:rPr>
      </w:pPr>
      <w:r w:rsidRPr="001D7C88">
        <w:rPr>
          <w:rFonts w:hint="default"/>
        </w:rPr>
        <w:t>b) 15 pracovný</w:t>
      </w:r>
      <w:r w:rsidRPr="001D7C88">
        <w:rPr>
          <w:rFonts w:hint="default"/>
        </w:rPr>
        <w:t>ch dní</w:t>
      </w:r>
      <w:r w:rsidRPr="001D7C88">
        <w:rPr>
          <w:rFonts w:hint="default"/>
        </w:rPr>
        <w:t xml:space="preserve"> pri vyplá</w:t>
      </w:r>
      <w:r w:rsidRPr="001D7C88">
        <w:rPr>
          <w:rFonts w:hint="default"/>
        </w:rPr>
        <w:t>caní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 xml:space="preserve">hrad </w:t>
      </w:r>
      <w:r w:rsidR="009C08F1">
        <w:t>pri</w:t>
      </w:r>
      <w:r w:rsidRPr="001D7C88">
        <w:rPr>
          <w:rFonts w:hint="default"/>
        </w:rPr>
        <w:t xml:space="preserve"> vzniku nedostupnosti vkladov v období</w:t>
      </w:r>
      <w:r w:rsidRPr="001D7C88">
        <w:rPr>
          <w:rFonts w:hint="default"/>
        </w:rPr>
        <w:t xml:space="preserve"> od 1. januá</w:t>
      </w:r>
      <w:r w:rsidRPr="001D7C88">
        <w:rPr>
          <w:rFonts w:hint="default"/>
        </w:rPr>
        <w:t xml:space="preserve">ra 2019 do 31. decembra 2020, </w:t>
      </w:r>
    </w:p>
    <w:p w:rsidR="005A0FB7" w:rsidRPr="001D7C88">
      <w:pPr>
        <w:tabs>
          <w:tab w:val="left" w:pos="993"/>
        </w:tabs>
        <w:bidi w:val="0"/>
        <w:ind w:left="708"/>
        <w:jc w:val="both"/>
        <w:rPr>
          <w:b/>
          <w:bCs/>
        </w:rPr>
      </w:pPr>
      <w:r w:rsidRPr="001D7C88">
        <w:rPr>
          <w:rFonts w:hint="default"/>
        </w:rPr>
        <w:t>c) 10 pracovný</w:t>
      </w:r>
      <w:r w:rsidRPr="001D7C88">
        <w:rPr>
          <w:rFonts w:hint="default"/>
        </w:rPr>
        <w:t>ch dní</w:t>
      </w:r>
      <w:r w:rsidRPr="001D7C88">
        <w:rPr>
          <w:rFonts w:hint="default"/>
        </w:rPr>
        <w:t xml:space="preserve"> pri vyplá</w:t>
      </w:r>
      <w:r w:rsidRPr="001D7C88">
        <w:rPr>
          <w:rFonts w:hint="default"/>
        </w:rPr>
        <w:t>caní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>hra</w:t>
      </w:r>
      <w:r w:rsidRPr="001D7C88">
        <w:rPr>
          <w:rFonts w:hint="default"/>
        </w:rPr>
        <w:t xml:space="preserve">d </w:t>
      </w:r>
      <w:r w:rsidR="009C08F1">
        <w:t xml:space="preserve">pri </w:t>
      </w:r>
      <w:r w:rsidRPr="001D7C88">
        <w:rPr>
          <w:rFonts w:hint="default"/>
        </w:rPr>
        <w:t>vzniku nedostupnosti vkladov v období</w:t>
      </w:r>
      <w:r w:rsidRPr="001D7C88">
        <w:rPr>
          <w:rFonts w:hint="default"/>
        </w:rPr>
        <w:t xml:space="preserve"> od 1. januá</w:t>
      </w:r>
      <w:r w:rsidRPr="001D7C88">
        <w:rPr>
          <w:rFonts w:hint="default"/>
        </w:rPr>
        <w:t>ra 2021 do 31. decembra 2023.“.</w:t>
      </w:r>
    </w:p>
    <w:p w:rsidR="005A0FB7" w:rsidRPr="001D7C88">
      <w:pPr>
        <w:bidi w:val="0"/>
        <w:jc w:val="both"/>
        <w:rPr>
          <w:b/>
          <w:bCs/>
        </w:rPr>
      </w:pPr>
      <w:r w:rsidRPr="001D7C88">
        <w:rPr>
          <w:b/>
          <w:bCs/>
        </w:rPr>
        <w:tab/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Pozná</w:t>
      </w:r>
      <w:r w:rsidRPr="001D7C88">
        <w:rPr>
          <w:rFonts w:hint="default"/>
        </w:rPr>
        <w:t>mka pod č</w:t>
      </w:r>
      <w:r w:rsidRPr="001D7C88">
        <w:rPr>
          <w:rFonts w:hint="default"/>
        </w:rPr>
        <w:t>iarou k odkazu 15fa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vertAlign w:val="superscript"/>
        </w:rPr>
        <w:t>15fa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l. 20 ods. 4 delegované</w:t>
      </w:r>
      <w:r w:rsidRPr="001D7C88">
        <w:rPr>
          <w:rFonts w:hint="default"/>
        </w:rPr>
        <w:t>ho nariadenia Komisie (EÚ</w:t>
      </w:r>
      <w:r w:rsidRPr="001D7C88">
        <w:rPr>
          <w:rFonts w:hint="default"/>
        </w:rPr>
        <w:t>) č</w:t>
      </w:r>
      <w:r w:rsidRPr="001D7C88">
        <w:rPr>
          <w:rFonts w:hint="default"/>
        </w:rPr>
        <w:t>. 2015/63.“.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46. V §</w:t>
      </w:r>
      <w:r w:rsidRPr="001D7C88">
        <w:rPr>
          <w:rFonts w:hint="default"/>
        </w:rPr>
        <w:t xml:space="preserve"> 28c sa za slovo „</w:t>
      </w:r>
      <w:r w:rsidRPr="001D7C88">
        <w:rPr>
          <w:rFonts w:hint="default"/>
        </w:rPr>
        <w:t>prí</w:t>
      </w:r>
      <w:r w:rsidRPr="001D7C88">
        <w:rPr>
          <w:rFonts w:hint="default"/>
        </w:rPr>
        <w:t>lohe“</w:t>
      </w:r>
      <w:r w:rsidRPr="001D7C88">
        <w:rPr>
          <w:rFonts w:hint="default"/>
        </w:rPr>
        <w:t xml:space="preserve"> vkladajú</w:t>
      </w:r>
      <w:r w:rsidRPr="001D7C88">
        <w:rPr>
          <w:rFonts w:hint="default"/>
        </w:rPr>
        <w:t xml:space="preserve"> slová</w:t>
      </w:r>
      <w:r w:rsidRPr="001D7C88">
        <w:rPr>
          <w:rFonts w:hint="default"/>
        </w:rPr>
        <w:t xml:space="preserve"> „č</w:t>
      </w:r>
      <w:r w:rsidRPr="001D7C88">
        <w:rPr>
          <w:rFonts w:hint="default"/>
        </w:rPr>
        <w:t>. 1</w:t>
      </w:r>
      <w:r w:rsidRPr="001D7C88">
        <w:rPr>
          <w:rFonts w:hint="default"/>
        </w:rPr>
        <w:t>“.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t xml:space="preserve">47. </w:t>
      </w:r>
      <w:r w:rsidR="00E60998">
        <w:rPr>
          <w:rFonts w:hint="default"/>
        </w:rPr>
        <w:t>Doterajš</w:t>
      </w:r>
      <w:r w:rsidR="00E60998">
        <w:rPr>
          <w:rFonts w:hint="default"/>
        </w:rPr>
        <w:t>ia p</w:t>
      </w:r>
      <w:r w:rsidR="009C08F1">
        <w:rPr>
          <w:rFonts w:hint="default"/>
        </w:rPr>
        <w:t>rí</w:t>
      </w:r>
      <w:r w:rsidR="009C08F1">
        <w:rPr>
          <w:rFonts w:hint="default"/>
        </w:rPr>
        <w:t>l</w:t>
      </w:r>
      <w:r w:rsidRPr="001D7C88">
        <w:t xml:space="preserve">oha </w:t>
      </w:r>
      <w:r w:rsidR="009C08F1">
        <w:t>sa</w:t>
      </w:r>
      <w:r w:rsidRPr="001D7C88">
        <w:t> </w:t>
      </w:r>
      <w:r w:rsidR="00E60998">
        <w:rPr>
          <w:rFonts w:hint="default"/>
        </w:rPr>
        <w:t>označ</w:t>
      </w:r>
      <w:r w:rsidR="00E60998">
        <w:rPr>
          <w:rFonts w:hint="default"/>
        </w:rPr>
        <w:t>uje ako prí</w:t>
      </w:r>
      <w:r w:rsidR="00E60998">
        <w:rPr>
          <w:rFonts w:hint="default"/>
        </w:rPr>
        <w:t>loha č</w:t>
      </w:r>
      <w:r w:rsidR="00E60998">
        <w:rPr>
          <w:rFonts w:hint="default"/>
        </w:rPr>
        <w:t xml:space="preserve">. 1 a </w:t>
      </w:r>
      <w:r w:rsidRPr="001D7C88">
        <w:rPr>
          <w:rFonts w:hint="default"/>
        </w:rPr>
        <w:t>dopĺň</w:t>
      </w:r>
      <w:r w:rsidRPr="001D7C88">
        <w:rPr>
          <w:rFonts w:hint="default"/>
        </w:rPr>
        <w:t xml:space="preserve">a </w:t>
      </w:r>
      <w:r w:rsidR="00E60998">
        <w:t xml:space="preserve">sa </w:t>
      </w:r>
      <w:r w:rsidRPr="001D7C88">
        <w:rPr>
          <w:rFonts w:hint="default"/>
        </w:rPr>
        <w:t>tretí</w:t>
      </w:r>
      <w:r w:rsidRPr="001D7C88">
        <w:rPr>
          <w:rFonts w:hint="default"/>
        </w:rPr>
        <w:t>m bodom, ktorý</w:t>
      </w:r>
      <w:r w:rsidRPr="001D7C88">
        <w:rPr>
          <w:rFonts w:hint="default"/>
        </w:rPr>
        <w:t xml:space="preserve">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3. Smernica Euró</w:t>
      </w:r>
      <w:r w:rsidRPr="001D7C88">
        <w:rPr>
          <w:rFonts w:hint="default"/>
        </w:rPr>
        <w:t>pskeho parlamentu a Rady 2014/49/EÚ</w:t>
      </w:r>
      <w:r w:rsidRPr="001D7C88">
        <w:rPr>
          <w:rFonts w:hint="default"/>
        </w:rPr>
        <w:t xml:space="preserve"> zo 16. aprí</w:t>
      </w:r>
      <w:r w:rsidRPr="001D7C88">
        <w:rPr>
          <w:rFonts w:hint="default"/>
        </w:rPr>
        <w:t>la 2014 o systé</w:t>
      </w:r>
      <w:r w:rsidRPr="001D7C88">
        <w:rPr>
          <w:rFonts w:hint="default"/>
        </w:rPr>
        <w:t>moch ochrany vkladov (prepracované</w:t>
      </w:r>
      <w:r w:rsidRPr="001D7C88">
        <w:rPr>
          <w:rFonts w:hint="default"/>
        </w:rPr>
        <w:t xml:space="preserve"> znenie) (Ú</w:t>
      </w:r>
      <w:r w:rsidRPr="001D7C88">
        <w:rPr>
          <w:rFonts w:hint="default"/>
        </w:rPr>
        <w:t>. v. EÚ</w:t>
      </w:r>
      <w:r w:rsidRPr="001D7C88">
        <w:rPr>
          <w:rFonts w:hint="default"/>
        </w:rPr>
        <w:t xml:space="preserve"> L 173, 12.6.2014).“.</w:t>
      </w:r>
    </w:p>
    <w:p w:rsidR="005A0FB7" w:rsidRPr="001D7C88">
      <w:pPr>
        <w:bidi w:val="0"/>
        <w:jc w:val="both"/>
        <w:rPr>
          <w:rFonts w:hint="default"/>
        </w:rPr>
      </w:pPr>
    </w:p>
    <w:p w:rsidR="0073736B">
      <w:pPr>
        <w:bidi w:val="0"/>
        <w:ind w:firstLine="708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t xml:space="preserve">48. </w:t>
      </w:r>
      <w:r w:rsidR="00E60998">
        <w:t>Za</w:t>
      </w:r>
      <w:r w:rsidR="009C08F1">
        <w:t xml:space="preserve"> </w:t>
      </w:r>
      <w:r w:rsidR="009C08F1">
        <w:rPr>
          <w:rFonts w:hint="default"/>
        </w:rPr>
        <w:t>prí</w:t>
      </w:r>
      <w:r w:rsidR="009C08F1">
        <w:rPr>
          <w:rFonts w:hint="default"/>
        </w:rPr>
        <w:t>loh</w:t>
      </w:r>
      <w:r w:rsidR="00E60998">
        <w:t>u</w:t>
      </w:r>
      <w:r w:rsidRPr="001D7C88">
        <w:rPr>
          <w:rFonts w:hint="default"/>
        </w:rPr>
        <w:t xml:space="preserve"> č</w:t>
      </w:r>
      <w:r w:rsidRPr="001D7C88">
        <w:rPr>
          <w:rFonts w:hint="default"/>
        </w:rPr>
        <w:t xml:space="preserve">. 1 </w:t>
      </w:r>
      <w:r w:rsidR="00E60998">
        <w:t>s</w:t>
      </w:r>
      <w:r w:rsidR="009C08F1">
        <w:t xml:space="preserve">a </w:t>
      </w:r>
      <w:r w:rsidR="00E60998">
        <w:rPr>
          <w:rFonts w:hint="default"/>
        </w:rPr>
        <w:t>vkladá</w:t>
      </w:r>
      <w:r w:rsidR="009C08F1">
        <w:t xml:space="preserve"> </w:t>
      </w:r>
      <w:r w:rsidRPr="001D7C88">
        <w:rPr>
          <w:rFonts w:hint="default"/>
        </w:rPr>
        <w:t>prí</w:t>
      </w:r>
      <w:r w:rsidRPr="001D7C88">
        <w:rPr>
          <w:rFonts w:hint="default"/>
        </w:rPr>
        <w:t>loha č</w:t>
      </w:r>
      <w:r w:rsidRPr="001D7C88">
        <w:rPr>
          <w:rFonts w:hint="default"/>
        </w:rPr>
        <w:t>. 2, ktorá</w:t>
      </w:r>
      <w:r w:rsidRPr="001D7C88">
        <w:rPr>
          <w:rFonts w:hint="default"/>
        </w:rPr>
        <w:t xml:space="preserve"> vrá</w:t>
      </w:r>
      <w:r w:rsidRPr="001D7C88">
        <w:rPr>
          <w:rFonts w:hint="default"/>
        </w:rPr>
        <w:t>tane nadpisu znie:</w:t>
      </w:r>
    </w:p>
    <w:p w:rsidR="005A0FB7" w:rsidRPr="001D7C88">
      <w:pPr>
        <w:bidi w:val="0"/>
        <w:jc w:val="both"/>
        <w:rPr>
          <w:i/>
          <w:iCs/>
        </w:rPr>
      </w:pPr>
    </w:p>
    <w:p w:rsidR="00FE4DF8">
      <w:pPr>
        <w:bidi w:val="0"/>
        <w:jc w:val="right"/>
        <w:rPr>
          <w:bCs/>
        </w:rPr>
      </w:pPr>
      <w:r w:rsidRPr="009C08F1" w:rsidR="005A0FB7">
        <w:rPr>
          <w:rFonts w:hint="default"/>
          <w:bCs/>
        </w:rPr>
        <w:t>„</w:t>
      </w:r>
      <w:r w:rsidRPr="009C08F1" w:rsidR="005A0FB7">
        <w:rPr>
          <w:rFonts w:hint="default"/>
          <w:bCs/>
        </w:rPr>
        <w:t>Prí</w:t>
      </w:r>
      <w:r w:rsidRPr="009C08F1" w:rsidR="005A0FB7">
        <w:rPr>
          <w:rFonts w:hint="default"/>
          <w:bCs/>
        </w:rPr>
        <w:t>loha č</w:t>
      </w:r>
      <w:r w:rsidRPr="009C08F1" w:rsidR="005A0FB7">
        <w:rPr>
          <w:rFonts w:hint="default"/>
          <w:bCs/>
        </w:rPr>
        <w:t>. 2 k </w:t>
      </w:r>
      <w:r w:rsidRPr="009C08F1" w:rsidR="005A0FB7">
        <w:rPr>
          <w:rFonts w:hint="default"/>
          <w:bCs/>
        </w:rPr>
        <w:t>zá</w:t>
      </w:r>
      <w:r w:rsidRPr="009C08F1" w:rsidR="005A0FB7">
        <w:rPr>
          <w:rFonts w:hint="default"/>
          <w:bCs/>
        </w:rPr>
        <w:t>konu Ná</w:t>
      </w:r>
      <w:r w:rsidRPr="009C08F1" w:rsidR="005A0FB7">
        <w:rPr>
          <w:rFonts w:hint="default"/>
          <w:bCs/>
        </w:rPr>
        <w:t xml:space="preserve">rodnej rady </w:t>
      </w:r>
    </w:p>
    <w:p w:rsidR="005A0FB7" w:rsidRPr="009C08F1">
      <w:pPr>
        <w:bidi w:val="0"/>
        <w:jc w:val="right"/>
        <w:rPr>
          <w:rFonts w:hint="default"/>
          <w:bCs/>
        </w:rPr>
      </w:pPr>
      <w:r w:rsidRPr="009C08F1">
        <w:rPr>
          <w:rFonts w:hint="default"/>
          <w:bCs/>
        </w:rPr>
        <w:t>Slovenskej republiky č</w:t>
      </w:r>
      <w:r w:rsidRPr="009C08F1">
        <w:rPr>
          <w:rFonts w:hint="default"/>
          <w:bCs/>
        </w:rPr>
        <w:t>. 118/1996 Z. z.</w:t>
      </w:r>
    </w:p>
    <w:p w:rsidR="005A0FB7" w:rsidRPr="001D7C88">
      <w:pPr>
        <w:bidi w:val="0"/>
        <w:jc w:val="center"/>
        <w:rPr>
          <w:b/>
          <w:bCs/>
        </w:rPr>
      </w:pPr>
    </w:p>
    <w:p w:rsidR="005A0FB7" w:rsidRPr="009C08F1">
      <w:pPr>
        <w:bidi w:val="0"/>
        <w:jc w:val="center"/>
      </w:pPr>
      <w:r w:rsidRPr="009C08F1">
        <w:rPr>
          <w:rFonts w:hint="default"/>
          <w:bCs/>
        </w:rPr>
        <w:t>VZOR INFORMAČ</w:t>
      </w:r>
      <w:r w:rsidRPr="009C08F1">
        <w:rPr>
          <w:rFonts w:hint="default"/>
          <w:bCs/>
        </w:rPr>
        <w:t>NÉ</w:t>
      </w:r>
      <w:r w:rsidRPr="009C08F1">
        <w:rPr>
          <w:rFonts w:hint="default"/>
          <w:bCs/>
        </w:rPr>
        <w:t>HO FORMULÁ</w:t>
      </w:r>
      <w:r w:rsidRPr="009C08F1">
        <w:rPr>
          <w:rFonts w:hint="default"/>
          <w:bCs/>
        </w:rPr>
        <w:t>RA PRE VKLADATEĽ</w:t>
      </w:r>
      <w:r w:rsidRPr="009C08F1">
        <w:rPr>
          <w:rFonts w:hint="default"/>
          <w:bCs/>
        </w:rPr>
        <w:t>A</w:t>
      </w:r>
      <w:r w:rsidRPr="009C08F1">
        <w:t xml:space="preserve"> </w:t>
      </w:r>
    </w:p>
    <w:p w:rsidR="005A0FB7" w:rsidRPr="009C08F1">
      <w:pPr>
        <w:bidi w:val="0"/>
        <w:jc w:val="center"/>
      </w:pPr>
    </w:p>
    <w:tbl>
      <w:tblPr>
        <w:tblStyle w:val="TableNormal"/>
        <w:tblW w:w="5000" w:type="pct"/>
        <w:tblCellSpacing w:w="0" w:type="dxa"/>
        <w:tblInd w:w="-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</w:tblPr>
      <w:tblGrid>
        <w:gridCol w:w="2977"/>
        <w:gridCol w:w="6125"/>
      </w:tblGrid>
      <w:tr>
        <w:tblPrEx>
          <w:tblW w:w="5000" w:type="pct"/>
          <w:tblCellSpacing w:w="0" w:type="dxa"/>
          <w:tblInd w:w="-2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center"/>
          </w:tcPr>
          <w:p w:rsidR="005A0FB7" w:rsidRPr="009C08F1">
            <w:pPr>
              <w:bidi w:val="0"/>
              <w:spacing w:after="0" w:line="240" w:lineRule="auto"/>
              <w:ind w:right="195"/>
              <w:jc w:val="center"/>
              <w:rPr>
                <w:rFonts w:hint="default"/>
                <w:bCs/>
              </w:rPr>
            </w:pPr>
            <w:r w:rsidRPr="009C08F1">
              <w:rPr>
                <w:rFonts w:hint="default"/>
                <w:bCs/>
              </w:rPr>
              <w:t>Zá</w:t>
            </w:r>
            <w:r w:rsidRPr="009C08F1">
              <w:rPr>
                <w:rFonts w:hint="default"/>
                <w:bCs/>
              </w:rPr>
              <w:t>kladné</w:t>
            </w:r>
            <w:r w:rsidRPr="009C08F1">
              <w:rPr>
                <w:rFonts w:hint="default"/>
                <w:bCs/>
              </w:rPr>
              <w:t xml:space="preserve"> informá</w:t>
            </w:r>
            <w:r w:rsidRPr="009C08F1">
              <w:rPr>
                <w:rFonts w:hint="default"/>
                <w:bCs/>
              </w:rPr>
              <w:t>cie o ochrane vkladu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Vklady v (vlož</w:t>
            </w:r>
            <w:r w:rsidRPr="001D7C88">
              <w:rPr>
                <w:rFonts w:hint="default"/>
              </w:rPr>
              <w:t>te ná</w:t>
            </w:r>
            <w:r w:rsidRPr="001D7C88">
              <w:rPr>
                <w:rFonts w:hint="default"/>
              </w:rPr>
              <w:t>zov banky) chrá</w:t>
            </w:r>
            <w:r w:rsidRPr="001D7C88">
              <w:rPr>
                <w:rFonts w:hint="default"/>
              </w:rPr>
              <w:t>ni: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 w:rsidP="00B228B3">
            <w:pPr>
              <w:bidi w:val="0"/>
              <w:spacing w:after="0" w:line="240" w:lineRule="auto"/>
            </w:pPr>
            <w:r w:rsidRPr="001D7C88">
              <w:rPr>
                <w:rFonts w:hint="default"/>
              </w:rPr>
              <w:t>[vlož</w:t>
            </w:r>
            <w:r w:rsidRPr="001D7C88">
              <w:rPr>
                <w:rFonts w:hint="default"/>
              </w:rPr>
              <w:t>te ná</w:t>
            </w:r>
            <w:r w:rsidRPr="001D7C88">
              <w:rPr>
                <w:rFonts w:hint="default"/>
              </w:rPr>
              <w:t>zov prí</w:t>
            </w:r>
            <w:r w:rsidRPr="001D7C88">
              <w:rPr>
                <w:rFonts w:hint="default"/>
              </w:rPr>
              <w:t>sluš</w:t>
            </w:r>
            <w:r w:rsidRPr="001D7C88">
              <w:rPr>
                <w:rFonts w:hint="default"/>
              </w:rPr>
              <w:t>né</w:t>
            </w:r>
            <w:r w:rsidRPr="001D7C88">
              <w:rPr>
                <w:rFonts w:hint="default"/>
              </w:rPr>
              <w:t>ho systé</w:t>
            </w:r>
            <w:r w:rsidRPr="001D7C88">
              <w:rPr>
                <w:rFonts w:hint="default"/>
              </w:rPr>
              <w:t>mu ochrany vkladov]</w:t>
            </w:r>
            <w:r w:rsidR="00B228B3">
              <w:t>(*)</w:t>
            </w:r>
            <w:r w:rsidRPr="001D7C88">
              <w:t xml:space="preserve"> 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Ú</w:t>
            </w:r>
            <w:r w:rsidRPr="001D7C88">
              <w:rPr>
                <w:rFonts w:hint="default"/>
              </w:rPr>
              <w:t>roveň</w:t>
            </w:r>
            <w:r w:rsidRPr="001D7C88">
              <w:rPr>
                <w:rFonts w:hint="default"/>
              </w:rPr>
              <w:t xml:space="preserve"> krytia: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</w:pPr>
            <w:r w:rsidRPr="001D7C88">
              <w:rPr>
                <w:rFonts w:hint="default"/>
              </w:rPr>
              <w:t>100 000 eur na vkladateľ</w:t>
            </w:r>
            <w:r w:rsidRPr="001D7C88">
              <w:rPr>
                <w:rFonts w:hint="default"/>
              </w:rPr>
              <w:t>a a na banku</w:t>
            </w:r>
            <w:r w:rsidR="00B228B3">
              <w:t>(**)</w:t>
            </w:r>
            <w:r w:rsidRPr="001D7C88">
              <w:t xml:space="preserve"> </w:t>
            </w:r>
          </w:p>
          <w:p w:rsidR="005A0FB7" w:rsidRPr="001D7C88">
            <w:pPr>
              <w:bidi w:val="0"/>
              <w:spacing w:after="0" w:line="240" w:lineRule="auto"/>
            </w:pPr>
            <w:r w:rsidRPr="001D7C88">
              <w:rPr>
                <w:rFonts w:hint="default"/>
              </w:rPr>
              <w:t>[nahraď</w:t>
            </w:r>
            <w:r w:rsidRPr="001D7C88">
              <w:rPr>
                <w:rFonts w:hint="default"/>
              </w:rPr>
              <w:t>te prí</w:t>
            </w:r>
            <w:r w:rsidRPr="001D7C88">
              <w:rPr>
                <w:rFonts w:hint="default"/>
              </w:rPr>
              <w:t>sluš</w:t>
            </w:r>
            <w:r w:rsidRPr="001D7C88">
              <w:rPr>
                <w:rFonts w:hint="default"/>
              </w:rPr>
              <w:t>nou sumou</w:t>
            </w:r>
            <w:r w:rsidR="00B228B3">
              <w:t xml:space="preserve"> v </w:t>
            </w:r>
            <w:r w:rsidR="00B228B3">
              <w:rPr>
                <w:rFonts w:hint="default"/>
              </w:rPr>
              <w:t>prí</w:t>
            </w:r>
            <w:r w:rsidR="00B228B3">
              <w:rPr>
                <w:rFonts w:hint="default"/>
              </w:rPr>
              <w:t>sluš</w:t>
            </w:r>
            <w:r w:rsidR="00B228B3">
              <w:rPr>
                <w:rFonts w:hint="default"/>
              </w:rPr>
              <w:t>nej mene</w:t>
            </w:r>
            <w:r w:rsidRPr="001D7C88">
              <w:t>, ak menou nie je euro]</w:t>
            </w:r>
          </w:p>
          <w:p w:rsidR="005A0FB7" w:rsidRPr="001D7C88" w:rsidP="00AF6F0D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t xml:space="preserve">[ak je to </w:t>
            </w:r>
            <w:r w:rsidR="00AF6F0D">
              <w:rPr>
                <w:rFonts w:hint="default"/>
              </w:rPr>
              <w:t>vhodné</w:t>
            </w:r>
            <w:r w:rsidRPr="001D7C88">
              <w:rPr>
                <w:rFonts w:hint="default"/>
              </w:rPr>
              <w:t>] Tieto ochranné</w:t>
            </w:r>
            <w:r w:rsidRPr="001D7C88">
              <w:rPr>
                <w:rFonts w:hint="default"/>
              </w:rPr>
              <w:t xml:space="preserve"> zná</w:t>
            </w:r>
            <w:r w:rsidRPr="001D7C88">
              <w:rPr>
                <w:rFonts w:hint="default"/>
              </w:rPr>
              <w:t>mky sú</w:t>
            </w:r>
            <w:r w:rsidRPr="001D7C88">
              <w:rPr>
                <w:rFonts w:hint="default"/>
              </w:rPr>
              <w:t xml:space="preserve"> súč</w:t>
            </w:r>
            <w:r w:rsidRPr="001D7C88">
              <w:rPr>
                <w:rFonts w:hint="default"/>
              </w:rPr>
              <w:t>asť</w:t>
            </w:r>
            <w:r w:rsidRPr="001D7C88">
              <w:rPr>
                <w:rFonts w:hint="default"/>
              </w:rPr>
              <w:t>ou vaš</w:t>
            </w:r>
            <w:r w:rsidRPr="001D7C88">
              <w:rPr>
                <w:rFonts w:hint="default"/>
              </w:rPr>
              <w:t>ej banky [vlož</w:t>
            </w:r>
            <w:r w:rsidRPr="001D7C88">
              <w:rPr>
                <w:rFonts w:hint="default"/>
              </w:rPr>
              <w:t>te vš</w:t>
            </w:r>
            <w:r w:rsidRPr="001D7C88">
              <w:rPr>
                <w:rFonts w:hint="default"/>
              </w:rPr>
              <w:t>etky ochranné</w:t>
            </w:r>
            <w:r w:rsidRPr="001D7C88">
              <w:rPr>
                <w:rFonts w:hint="default"/>
              </w:rPr>
              <w:t xml:space="preserve"> zná</w:t>
            </w:r>
            <w:r w:rsidRPr="001D7C88">
              <w:rPr>
                <w:rFonts w:hint="default"/>
              </w:rPr>
              <w:t>mky, ktoré</w:t>
            </w:r>
            <w:r w:rsidRPr="001D7C88">
              <w:rPr>
                <w:rFonts w:hint="default"/>
              </w:rPr>
              <w:t xml:space="preserve"> </w:t>
            </w:r>
            <w:r w:rsidR="009C08F1">
              <w:rPr>
                <w:rFonts w:hint="default"/>
              </w:rPr>
              <w:t>banka použí</w:t>
            </w:r>
            <w:r w:rsidR="009C08F1">
              <w:rPr>
                <w:rFonts w:hint="default"/>
              </w:rPr>
              <w:t xml:space="preserve">va pri </w:t>
            </w:r>
            <w:r w:rsidRPr="001D7C88">
              <w:rPr>
                <w:rFonts w:hint="default"/>
              </w:rPr>
              <w:t>vykoná</w:t>
            </w:r>
            <w:r w:rsidRPr="001D7C88">
              <w:rPr>
                <w:rFonts w:hint="default"/>
              </w:rPr>
              <w:t>va</w:t>
            </w:r>
            <w:r w:rsidR="009C08F1">
              <w:rPr>
                <w:rFonts w:hint="default"/>
              </w:rPr>
              <w:t>ní</w:t>
            </w:r>
            <w:r w:rsidRPr="001D7C88">
              <w:rPr>
                <w:rFonts w:hint="default"/>
              </w:rPr>
              <w:t xml:space="preserve"> č</w:t>
            </w:r>
            <w:r w:rsidRPr="001D7C88">
              <w:rPr>
                <w:rFonts w:hint="default"/>
              </w:rPr>
              <w:t>innos</w:t>
            </w:r>
            <w:r w:rsidR="009C08F1">
              <w:t>ti</w:t>
            </w:r>
            <w:r w:rsidRPr="001D7C88">
              <w:rPr>
                <w:rFonts w:hint="default"/>
              </w:rPr>
              <w:t xml:space="preserve"> na zá</w:t>
            </w:r>
            <w:r w:rsidRPr="001D7C88">
              <w:rPr>
                <w:rFonts w:hint="default"/>
              </w:rPr>
              <w:t>klade rovnaké</w:t>
            </w:r>
            <w:r w:rsidRPr="001D7C88">
              <w:rPr>
                <w:rFonts w:hint="default"/>
              </w:rPr>
              <w:t>ho povolenia]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Ak má</w:t>
            </w:r>
            <w:r w:rsidRPr="001D7C88">
              <w:rPr>
                <w:rFonts w:hint="default"/>
              </w:rPr>
              <w:t>te v tej istej banke viacero vkladov: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 w:rsidP="00B228B3">
            <w:pPr>
              <w:bidi w:val="0"/>
              <w:spacing w:after="0" w:line="240" w:lineRule="auto"/>
              <w:ind w:right="195"/>
            </w:pPr>
            <w:r w:rsidRPr="001D7C88">
              <w:rPr>
                <w:rFonts w:hint="default"/>
              </w:rPr>
              <w:t>Vš</w:t>
            </w:r>
            <w:r w:rsidRPr="001D7C88">
              <w:rPr>
                <w:rFonts w:hint="default"/>
              </w:rPr>
              <w:t>etky vaš</w:t>
            </w:r>
            <w:r w:rsidRPr="001D7C88">
              <w:rPr>
                <w:rFonts w:hint="default"/>
              </w:rPr>
              <w:t>e vklady v tej istej banke sa „</w:t>
            </w:r>
            <w:r w:rsidRPr="001D7C88">
              <w:rPr>
                <w:rFonts w:hint="default"/>
              </w:rPr>
              <w:t>spočí</w:t>
            </w:r>
            <w:r w:rsidRPr="001D7C88">
              <w:rPr>
                <w:rFonts w:hint="default"/>
              </w:rPr>
              <w:t>tajú“</w:t>
            </w:r>
            <w:r w:rsidRPr="001D7C88">
              <w:rPr>
                <w:rFonts w:hint="default"/>
              </w:rPr>
              <w:t xml:space="preserve"> a na celkovú</w:t>
            </w:r>
            <w:r w:rsidRPr="001D7C88">
              <w:rPr>
                <w:rFonts w:hint="default"/>
              </w:rPr>
              <w:t xml:space="preserve"> sumu sa vzť</w:t>
            </w:r>
            <w:r w:rsidRPr="001D7C88">
              <w:rPr>
                <w:rFonts w:hint="default"/>
              </w:rPr>
              <w:t>ahuje ú</w:t>
            </w:r>
            <w:r w:rsidRPr="001D7C88">
              <w:rPr>
                <w:rFonts w:hint="default"/>
              </w:rPr>
              <w:t>roveň</w:t>
            </w:r>
            <w:r w:rsidRPr="001D7C88">
              <w:rPr>
                <w:rFonts w:hint="default"/>
              </w:rPr>
              <w:t xml:space="preserve"> krytia</w:t>
            </w:r>
            <w:r w:rsidRPr="001D7C88">
              <w:rPr>
                <w:rFonts w:hint="default"/>
              </w:rPr>
              <w:t xml:space="preserve"> vo výš</w:t>
            </w:r>
            <w:r w:rsidRPr="001D7C88">
              <w:rPr>
                <w:rFonts w:hint="default"/>
              </w:rPr>
              <w:t>ke 100 000 eur [nahraď</w:t>
            </w:r>
            <w:r w:rsidRPr="001D7C88">
              <w:rPr>
                <w:rFonts w:hint="default"/>
              </w:rPr>
              <w:t>te prí</w:t>
            </w:r>
            <w:r w:rsidRPr="001D7C88">
              <w:rPr>
                <w:rFonts w:hint="default"/>
              </w:rPr>
              <w:t>sluš</w:t>
            </w:r>
            <w:r w:rsidRPr="001D7C88">
              <w:rPr>
                <w:rFonts w:hint="default"/>
              </w:rPr>
              <w:t>nou sumou</w:t>
            </w:r>
            <w:r w:rsidR="00B228B3">
              <w:t xml:space="preserve"> v </w:t>
            </w:r>
            <w:r w:rsidR="00B228B3">
              <w:rPr>
                <w:rFonts w:hint="default"/>
              </w:rPr>
              <w:t>prí</w:t>
            </w:r>
            <w:r w:rsidR="00B228B3">
              <w:rPr>
                <w:rFonts w:hint="default"/>
              </w:rPr>
              <w:t>sluš</w:t>
            </w:r>
            <w:r w:rsidR="00B228B3">
              <w:rPr>
                <w:rFonts w:hint="default"/>
              </w:rPr>
              <w:t>nej mene</w:t>
            </w:r>
            <w:r w:rsidRPr="001D7C88">
              <w:t>, ak menou nie je euro]</w:t>
            </w:r>
            <w:r w:rsidR="00B228B3">
              <w:t>(**)</w:t>
            </w:r>
            <w:r w:rsidRPr="001D7C88">
              <w:t xml:space="preserve"> 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Ak má</w:t>
            </w:r>
            <w:r w:rsidRPr="001D7C88">
              <w:rPr>
                <w:rFonts w:hint="default"/>
              </w:rPr>
              <w:t>te spoloč</w:t>
            </w:r>
            <w:r w:rsidRPr="001D7C88">
              <w:rPr>
                <w:rFonts w:hint="default"/>
              </w:rPr>
              <w:t>ný</w:t>
            </w:r>
            <w:r w:rsidRPr="001D7C88">
              <w:rPr>
                <w:rFonts w:hint="default"/>
              </w:rPr>
              <w:t xml:space="preserve"> vklad s inou osobou/osobami: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 w:rsidP="00B228B3">
            <w:pPr>
              <w:bidi w:val="0"/>
              <w:spacing w:after="0" w:line="240" w:lineRule="auto"/>
              <w:ind w:right="195"/>
            </w:pPr>
            <w:r w:rsidRPr="001D7C88">
              <w:rPr>
                <w:rFonts w:hint="default"/>
              </w:rPr>
              <w:t>Ú</w:t>
            </w:r>
            <w:r w:rsidRPr="001D7C88">
              <w:rPr>
                <w:rFonts w:hint="default"/>
              </w:rPr>
              <w:t>roveň</w:t>
            </w:r>
            <w:r w:rsidRPr="001D7C88">
              <w:rPr>
                <w:rFonts w:hint="default"/>
              </w:rPr>
              <w:t xml:space="preserve"> krytia vo výš</w:t>
            </w:r>
            <w:r w:rsidRPr="001D7C88">
              <w:rPr>
                <w:rFonts w:hint="default"/>
              </w:rPr>
              <w:t>ke 100 000 eur [nahraď</w:t>
            </w:r>
            <w:r w:rsidRPr="001D7C88">
              <w:rPr>
                <w:rFonts w:hint="default"/>
              </w:rPr>
              <w:t>te prí</w:t>
            </w:r>
            <w:r w:rsidRPr="001D7C88">
              <w:rPr>
                <w:rFonts w:hint="default"/>
              </w:rPr>
              <w:t>sluš</w:t>
            </w:r>
            <w:r w:rsidRPr="001D7C88">
              <w:rPr>
                <w:rFonts w:hint="default"/>
              </w:rPr>
              <w:t>nou sumou</w:t>
            </w:r>
            <w:r w:rsidR="00B228B3">
              <w:t xml:space="preserve"> v </w:t>
            </w:r>
            <w:r w:rsidR="00B228B3">
              <w:rPr>
                <w:rFonts w:hint="default"/>
              </w:rPr>
              <w:t>prí</w:t>
            </w:r>
            <w:r w:rsidR="00B228B3">
              <w:rPr>
                <w:rFonts w:hint="default"/>
              </w:rPr>
              <w:t>sluš</w:t>
            </w:r>
            <w:r w:rsidR="00B228B3">
              <w:rPr>
                <w:rFonts w:hint="default"/>
              </w:rPr>
              <w:t>nej mene</w:t>
            </w:r>
            <w:r w:rsidRPr="001D7C88">
              <w:rPr>
                <w:rFonts w:hint="default"/>
              </w:rPr>
              <w:t>, ak menou nie je euro] sa vzť</w:t>
            </w:r>
            <w:r w:rsidRPr="001D7C88">
              <w:rPr>
                <w:rFonts w:hint="default"/>
              </w:rPr>
              <w:t>ahuje</w:t>
            </w:r>
            <w:r w:rsidRPr="001D7C88">
              <w:rPr>
                <w:rFonts w:hint="default"/>
              </w:rPr>
              <w:t xml:space="preserve"> na kaž</w:t>
            </w:r>
            <w:r w:rsidRPr="001D7C88">
              <w:rPr>
                <w:rFonts w:hint="default"/>
              </w:rPr>
              <w:t>dé</w:t>
            </w:r>
            <w:r w:rsidRPr="001D7C88">
              <w:rPr>
                <w:rFonts w:hint="default"/>
              </w:rPr>
              <w:t>ho vkladateľ</w:t>
            </w:r>
            <w:r w:rsidRPr="001D7C88">
              <w:rPr>
                <w:rFonts w:hint="default"/>
              </w:rPr>
              <w:t>a samostatne</w:t>
            </w:r>
            <w:r w:rsidR="00B228B3">
              <w:t>(***)</w:t>
            </w:r>
            <w:r w:rsidRPr="001D7C88">
              <w:t xml:space="preserve"> 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 w:rsidP="009C08F1">
            <w:pPr>
              <w:bidi w:val="0"/>
              <w:spacing w:after="0" w:line="240" w:lineRule="auto"/>
            </w:pPr>
            <w:r w:rsidRPr="001D7C88">
              <w:rPr>
                <w:rFonts w:hint="default"/>
              </w:rPr>
              <w:t>Lehota na vyplatenie ná</w:t>
            </w:r>
            <w:r w:rsidRPr="001D7C88">
              <w:rPr>
                <w:rFonts w:hint="default"/>
              </w:rPr>
              <w:t>hrad  pr</w:t>
            </w:r>
            <w:r w:rsidR="009C08F1">
              <w:t xml:space="preserve">i </w:t>
            </w:r>
            <w:r w:rsidRPr="001D7C88">
              <w:t>zlyhan</w:t>
            </w:r>
            <w:r w:rsidR="009C08F1">
              <w:rPr>
                <w:rFonts w:hint="default"/>
              </w:rPr>
              <w:t>í</w:t>
            </w:r>
            <w:r w:rsidRPr="001D7C88">
              <w:t xml:space="preserve"> banky: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</w:pPr>
            <w:r w:rsidRPr="001D7C88">
              <w:rPr>
                <w:rFonts w:hint="default"/>
              </w:rPr>
              <w:t>sedem pracovný</w:t>
            </w:r>
            <w:r w:rsidRPr="001D7C88">
              <w:rPr>
                <w:rFonts w:hint="default"/>
              </w:rPr>
              <w:t>ch dní</w:t>
            </w:r>
            <w:r w:rsidR="00B228B3">
              <w:t>(****)</w:t>
            </w:r>
            <w:r w:rsidRPr="001D7C88">
              <w:t xml:space="preserve"> </w:t>
            </w:r>
          </w:p>
          <w:p w:rsidR="005A0FB7" w:rsidRPr="001D7C88" w:rsidP="00AF6F0D">
            <w:pPr>
              <w:bidi w:val="0"/>
              <w:spacing w:after="0" w:line="240" w:lineRule="auto"/>
            </w:pPr>
            <w:r w:rsidRPr="001D7C88">
              <w:rPr>
                <w:rFonts w:hint="default"/>
              </w:rPr>
              <w:t>[nahraď</w:t>
            </w:r>
            <w:r w:rsidRPr="001D7C88">
              <w:rPr>
                <w:rFonts w:hint="default"/>
              </w:rPr>
              <w:t xml:space="preserve">te inou lehotou, ak je to </w:t>
            </w:r>
            <w:r w:rsidR="00AF6F0D">
              <w:rPr>
                <w:rFonts w:hint="default"/>
              </w:rPr>
              <w:t>vhodné</w:t>
            </w:r>
            <w:r w:rsidRPr="001D7C88">
              <w:t>]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Mena, v ktorej sa ná</w:t>
            </w:r>
            <w:r w:rsidRPr="001D7C88">
              <w:rPr>
                <w:rFonts w:hint="default"/>
              </w:rPr>
              <w:t>hrada vyplatí</w:t>
            </w:r>
            <w:r w:rsidRPr="001D7C88">
              <w:rPr>
                <w:rFonts w:hint="default"/>
              </w:rPr>
              <w:t>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 w:rsidP="00AF6F0D">
            <w:pPr>
              <w:bidi w:val="0"/>
              <w:spacing w:after="0" w:line="240" w:lineRule="auto"/>
            </w:pPr>
            <w:r w:rsidRPr="001D7C88">
              <w:rPr>
                <w:rFonts w:hint="default"/>
              </w:rPr>
              <w:t>Euro [nahraď</w:t>
            </w:r>
            <w:r w:rsidRPr="001D7C88">
              <w:rPr>
                <w:rFonts w:hint="default"/>
              </w:rPr>
              <w:t xml:space="preserve">te inou menou, ak je to </w:t>
            </w:r>
            <w:r w:rsidR="00AF6F0D">
              <w:rPr>
                <w:rFonts w:hint="default"/>
              </w:rPr>
              <w:t>vhodné</w:t>
            </w:r>
            <w:r w:rsidRPr="001D7C88">
              <w:t>]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</w:pPr>
            <w:r w:rsidRPr="001D7C88">
              <w:t>Kontakt: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[vlož</w:t>
            </w:r>
            <w:r w:rsidRPr="001D7C88">
              <w:rPr>
                <w:rFonts w:hint="default"/>
              </w:rPr>
              <w:t>te kontaktné</w:t>
            </w:r>
            <w:r w:rsidRPr="001D7C88">
              <w:rPr>
                <w:rFonts w:hint="default"/>
              </w:rPr>
              <w:t xml:space="preserve"> ú</w:t>
            </w:r>
            <w:r w:rsidRPr="001D7C88">
              <w:rPr>
                <w:rFonts w:hint="default"/>
              </w:rPr>
              <w:t>daje prí</w:t>
            </w:r>
            <w:r w:rsidRPr="001D7C88">
              <w:rPr>
                <w:rFonts w:hint="default"/>
              </w:rPr>
              <w:t>sluš</w:t>
            </w:r>
            <w:r w:rsidRPr="001D7C88">
              <w:rPr>
                <w:rFonts w:hint="default"/>
              </w:rPr>
              <w:t>né</w:t>
            </w:r>
            <w:r w:rsidRPr="001D7C88">
              <w:rPr>
                <w:rFonts w:hint="default"/>
              </w:rPr>
              <w:t>ho systé</w:t>
            </w:r>
            <w:r w:rsidRPr="001D7C88">
              <w:rPr>
                <w:rFonts w:hint="default"/>
              </w:rPr>
              <w:t>mu ochrany vkladov</w:t>
            </w:r>
          </w:p>
          <w:p w:rsidR="005A0FB7" w:rsidRPr="001D7C88" w:rsidP="00B948B4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t>(</w:t>
            </w:r>
            <w:r w:rsidR="00B948B4">
              <w:rPr>
                <w:rFonts w:hint="default"/>
              </w:rPr>
              <w:t>naprí</w:t>
            </w:r>
            <w:r w:rsidR="00B948B4">
              <w:rPr>
                <w:rFonts w:hint="default"/>
              </w:rPr>
              <w:t xml:space="preserve">klad </w:t>
            </w:r>
            <w:r w:rsidRPr="001D7C88">
              <w:rPr>
                <w:rFonts w:hint="default"/>
              </w:rPr>
              <w:t>adresu, telefó</w:t>
            </w:r>
            <w:r w:rsidRPr="001D7C88">
              <w:rPr>
                <w:rFonts w:hint="default"/>
              </w:rPr>
              <w:t>nne čí</w:t>
            </w:r>
            <w:r w:rsidRPr="001D7C88">
              <w:rPr>
                <w:rFonts w:hint="default"/>
              </w:rPr>
              <w:t>slo, e-mail)]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Viac informá</w:t>
            </w:r>
            <w:r w:rsidRPr="001D7C88">
              <w:rPr>
                <w:rFonts w:hint="default"/>
              </w:rPr>
              <w:t>cií</w:t>
            </w:r>
            <w:r w:rsidRPr="001D7C88">
              <w:rPr>
                <w:rFonts w:hint="default"/>
              </w:rPr>
              <w:t>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[vlož</w:t>
            </w:r>
            <w:r w:rsidRPr="001D7C88">
              <w:rPr>
                <w:rFonts w:hint="default"/>
              </w:rPr>
              <w:t>te adresu webové</w:t>
            </w:r>
            <w:r w:rsidRPr="001D7C88">
              <w:rPr>
                <w:rFonts w:hint="default"/>
              </w:rPr>
              <w:t>ho sí</w:t>
            </w:r>
            <w:r w:rsidRPr="001D7C88">
              <w:rPr>
                <w:rFonts w:hint="default"/>
              </w:rPr>
              <w:t>dla prí</w:t>
            </w:r>
            <w:r w:rsidRPr="001D7C88">
              <w:rPr>
                <w:rFonts w:hint="default"/>
              </w:rPr>
              <w:t>sluš</w:t>
            </w:r>
            <w:r w:rsidRPr="001D7C88">
              <w:rPr>
                <w:rFonts w:hint="default"/>
              </w:rPr>
              <w:t>né</w:t>
            </w:r>
            <w:r w:rsidRPr="001D7C88">
              <w:rPr>
                <w:rFonts w:hint="default"/>
              </w:rPr>
              <w:t>ho systé</w:t>
            </w:r>
            <w:r w:rsidRPr="001D7C88">
              <w:rPr>
                <w:rFonts w:hint="default"/>
              </w:rPr>
              <w:t>mu ochrany vkladov]</w:t>
            </w: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Potvrdenie vkladateľ</w:t>
            </w:r>
            <w:r w:rsidRPr="001D7C88">
              <w:rPr>
                <w:rFonts w:hint="default"/>
              </w:rPr>
              <w:t>a o prijatí</w:t>
            </w:r>
            <w:r w:rsidRPr="001D7C88">
              <w:rPr>
                <w:rFonts w:hint="default"/>
              </w:rPr>
              <w:t>:</w:t>
            </w:r>
          </w:p>
        </w:tc>
        <w:tc>
          <w:tcPr>
            <w:tcW w:w="6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</w:p>
        </w:tc>
      </w:tr>
      <w:tr>
        <w:tblPrEx>
          <w:tblW w:w="5000" w:type="pct"/>
          <w:tblCellSpacing w:w="0" w:type="dxa"/>
          <w:tblInd w:w="-21" w:type="dxa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5A0FB7" w:rsidRPr="001D7C88">
            <w:pPr>
              <w:bidi w:val="0"/>
              <w:spacing w:after="0" w:line="240" w:lineRule="auto"/>
              <w:rPr>
                <w:rFonts w:hint="default"/>
              </w:rPr>
            </w:pPr>
            <w:r w:rsidRPr="001D7C88">
              <w:rPr>
                <w:rFonts w:hint="default"/>
              </w:rPr>
              <w:t>Ď</w:t>
            </w:r>
            <w:r w:rsidRPr="001D7C88">
              <w:rPr>
                <w:rFonts w:hint="default"/>
              </w:rPr>
              <w:t>alš</w:t>
            </w:r>
            <w:r w:rsidRPr="001D7C88">
              <w:rPr>
                <w:rFonts w:hint="default"/>
              </w:rPr>
              <w:t>ie informá</w:t>
            </w:r>
            <w:r w:rsidRPr="001D7C88">
              <w:rPr>
                <w:rFonts w:hint="default"/>
              </w:rPr>
              <w:t>cie (vš</w:t>
            </w:r>
            <w:r w:rsidRPr="001D7C88">
              <w:rPr>
                <w:rFonts w:hint="default"/>
              </w:rPr>
              <w:t>etky alebo nie</w:t>
            </w:r>
            <w:r w:rsidRPr="001D7C88">
              <w:rPr>
                <w:rFonts w:hint="default"/>
              </w:rPr>
              <w:t>ktoré</w:t>
            </w:r>
            <w:r w:rsidRPr="001D7C88">
              <w:rPr>
                <w:rFonts w:hint="default"/>
              </w:rPr>
              <w:t xml:space="preserve"> z nižš</w:t>
            </w:r>
            <w:r w:rsidRPr="001D7C88">
              <w:rPr>
                <w:rFonts w:hint="default"/>
              </w:rPr>
              <w:t>ie uvedený</w:t>
            </w:r>
            <w:r w:rsidRPr="001D7C88">
              <w:rPr>
                <w:rFonts w:hint="default"/>
              </w:rPr>
              <w:t>ch informá</w:t>
            </w:r>
            <w:r w:rsidRPr="001D7C88">
              <w:rPr>
                <w:rFonts w:hint="default"/>
              </w:rPr>
              <w:t>cií</w:t>
            </w:r>
            <w:r w:rsidRPr="001D7C88">
              <w:rPr>
                <w:rFonts w:hint="default"/>
              </w:rPr>
              <w:t>)</w:t>
            </w:r>
          </w:p>
        </w:tc>
      </w:tr>
    </w:tbl>
    <w:p w:rsidR="005A0FB7" w:rsidRPr="001D7C88">
      <w:pPr>
        <w:bidi w:val="0"/>
      </w:pPr>
      <w:r>
        <w:pict>
          <v:rect id="_x0000_i1025" style="width:68.5pt;height:0.75pt" o:hrpct="200" o:hrstd="t" o:hrnoshade="t" o:hr="t" filled="t" fillcolor="black" stroked="f">
            <v:imagedata r:id="rId5" o:title=""/>
          </v:rect>
        </w:pict>
      </w:r>
    </w:p>
    <w:p w:rsidR="005A0FB7" w:rsidRPr="001D7C88">
      <w:pPr>
        <w:bidi w:val="0"/>
        <w:rPr>
          <w:rFonts w:hint="default"/>
        </w:rPr>
      </w:pPr>
      <w:r w:rsidR="00B228B3">
        <w:t xml:space="preserve">(*) </w:t>
      </w:r>
      <w:r w:rsidRPr="001D7C88">
        <w:rPr>
          <w:rFonts w:hint="default"/>
        </w:rPr>
        <w:t>Systé</w:t>
      </w:r>
      <w:r w:rsidRPr="001D7C88">
        <w:rPr>
          <w:rFonts w:hint="default"/>
        </w:rPr>
        <w:t>m zodpovedný</w:t>
      </w:r>
      <w:r w:rsidRPr="001D7C88">
        <w:rPr>
          <w:rFonts w:hint="default"/>
        </w:rPr>
        <w:t xml:space="preserve"> za ochranu váš</w:t>
      </w:r>
      <w:r w:rsidRPr="001D7C88">
        <w:rPr>
          <w:rFonts w:hint="default"/>
        </w:rPr>
        <w:t>ho vkladu.</w:t>
      </w:r>
    </w:p>
    <w:p w:rsidR="005A0FB7" w:rsidRPr="001D7C88">
      <w:pPr>
        <w:bidi w:val="0"/>
      </w:pPr>
      <w:r w:rsidRPr="001D7C88">
        <w:rPr>
          <w:rFonts w:hint="default"/>
        </w:rPr>
        <w:t>[Len</w:t>
      </w:r>
      <w:r w:rsidR="00AF6F0D">
        <w:t>,</w:t>
      </w:r>
      <w:r w:rsidRPr="001D7C88">
        <w:t xml:space="preserve"> ak je to </w:t>
      </w:r>
      <w:r w:rsidR="00AF6F0D">
        <w:rPr>
          <w:rFonts w:hint="default"/>
        </w:rPr>
        <w:t>vhodné</w:t>
      </w:r>
      <w:r w:rsidRPr="001D7C88">
        <w:rPr>
          <w:rFonts w:hint="default"/>
        </w:rPr>
        <w:t>] Váš</w:t>
      </w:r>
      <w:r w:rsidRPr="001D7C88">
        <w:rPr>
          <w:rFonts w:hint="default"/>
        </w:rPr>
        <w:t xml:space="preserve"> vklad je chrá</w:t>
      </w:r>
      <w:r w:rsidRPr="001D7C88">
        <w:rPr>
          <w:rFonts w:hint="default"/>
        </w:rPr>
        <w:t>nený</w:t>
      </w:r>
      <w:r w:rsidRPr="001D7C88">
        <w:rPr>
          <w:rFonts w:hint="default"/>
        </w:rPr>
        <w:t xml:space="preserve"> zmluvný</w:t>
      </w:r>
      <w:r w:rsidRPr="001D7C88">
        <w:rPr>
          <w:rFonts w:hint="default"/>
        </w:rPr>
        <w:t>m systé</w:t>
      </w:r>
      <w:r w:rsidRPr="001D7C88">
        <w:rPr>
          <w:rFonts w:hint="default"/>
        </w:rPr>
        <w:t>mom oficiá</w:t>
      </w:r>
      <w:r w:rsidRPr="001D7C88">
        <w:rPr>
          <w:rFonts w:hint="default"/>
        </w:rPr>
        <w:t>lne uznaný</w:t>
      </w:r>
      <w:r w:rsidRPr="001D7C88">
        <w:rPr>
          <w:rFonts w:hint="default"/>
        </w:rPr>
        <w:t>m ako systé</w:t>
      </w:r>
      <w:r w:rsidRPr="001D7C88">
        <w:rPr>
          <w:rFonts w:hint="default"/>
        </w:rPr>
        <w:t>m ochrany vkladov. Ak by vaš</w:t>
      </w:r>
      <w:r w:rsidRPr="001D7C88">
        <w:rPr>
          <w:rFonts w:hint="default"/>
        </w:rPr>
        <w:t>a banka nebola schopná</w:t>
      </w:r>
      <w:r w:rsidRPr="001D7C88">
        <w:rPr>
          <w:rFonts w:hint="default"/>
        </w:rPr>
        <w:t xml:space="preserve"> vyplá</w:t>
      </w:r>
      <w:r w:rsidRPr="001D7C88">
        <w:rPr>
          <w:rFonts w:hint="default"/>
        </w:rPr>
        <w:t>cať</w:t>
      </w:r>
      <w:r w:rsidRPr="001D7C88">
        <w:rPr>
          <w:rFonts w:hint="default"/>
        </w:rPr>
        <w:t xml:space="preserve"> vklady, vyplatila by sa ná</w:t>
      </w:r>
      <w:r w:rsidRPr="001D7C88">
        <w:rPr>
          <w:rFonts w:hint="default"/>
        </w:rPr>
        <w:t>hrada za vaš</w:t>
      </w:r>
      <w:r w:rsidRPr="001D7C88">
        <w:rPr>
          <w:rFonts w:hint="default"/>
        </w:rPr>
        <w:t>e vklady do výš</w:t>
      </w:r>
      <w:r w:rsidRPr="001D7C88">
        <w:rPr>
          <w:rFonts w:hint="default"/>
        </w:rPr>
        <w:t>ky 100 000 eur [nahraď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nou sumou</w:t>
      </w:r>
      <w:r w:rsidR="00B228B3">
        <w:t xml:space="preserve"> v </w:t>
      </w:r>
      <w:r w:rsidR="00B228B3">
        <w:rPr>
          <w:rFonts w:hint="default"/>
        </w:rPr>
        <w:t>prí</w:t>
      </w:r>
      <w:r w:rsidR="00B228B3">
        <w:rPr>
          <w:rFonts w:hint="default"/>
        </w:rPr>
        <w:t>sluš</w:t>
      </w:r>
      <w:r w:rsidR="00B228B3">
        <w:rPr>
          <w:rFonts w:hint="default"/>
        </w:rPr>
        <w:t>nej mene</w:t>
      </w:r>
      <w:r w:rsidRPr="001D7C88">
        <w:t>, ak menou nie je euro].</w:t>
      </w:r>
    </w:p>
    <w:p w:rsidR="005A0FB7" w:rsidRPr="001D7C88">
      <w:pPr>
        <w:bidi w:val="0"/>
      </w:pPr>
      <w:r w:rsidRPr="001D7C88">
        <w:t>[Len</w:t>
      </w:r>
      <w:r w:rsidR="00AF6F0D">
        <w:t>,</w:t>
      </w:r>
      <w:r w:rsidRPr="001D7C88">
        <w:t xml:space="preserve"> ak je to </w:t>
      </w:r>
      <w:r w:rsidR="00AF6F0D">
        <w:rPr>
          <w:rFonts w:hint="default"/>
        </w:rPr>
        <w:t>vhodné</w:t>
      </w:r>
      <w:r w:rsidRPr="001D7C88">
        <w:rPr>
          <w:rFonts w:hint="default"/>
        </w:rPr>
        <w:t>] Vaš</w:t>
      </w:r>
      <w:r w:rsidRPr="001D7C88">
        <w:rPr>
          <w:rFonts w:hint="default"/>
        </w:rPr>
        <w:t>a banka je súč</w:t>
      </w:r>
      <w:r w:rsidRPr="001D7C88">
        <w:rPr>
          <w:rFonts w:hint="default"/>
        </w:rPr>
        <w:t>asť</w:t>
      </w:r>
      <w:r w:rsidRPr="001D7C88">
        <w:rPr>
          <w:rFonts w:hint="default"/>
        </w:rPr>
        <w:t>ou sché</w:t>
      </w:r>
      <w:r w:rsidRPr="001D7C88">
        <w:rPr>
          <w:rFonts w:hint="default"/>
        </w:rPr>
        <w:t>my inš</w:t>
      </w:r>
      <w:r w:rsidRPr="001D7C88">
        <w:rPr>
          <w:rFonts w:hint="default"/>
        </w:rPr>
        <w:t>titucioná</w:t>
      </w:r>
      <w:r w:rsidRPr="001D7C88">
        <w:rPr>
          <w:rFonts w:hint="default"/>
        </w:rPr>
        <w:t>lneho zabezpeč</w:t>
      </w:r>
      <w:r w:rsidRPr="001D7C88">
        <w:rPr>
          <w:rFonts w:hint="default"/>
        </w:rPr>
        <w:t>enia, oficiá</w:t>
      </w:r>
      <w:r w:rsidRPr="001D7C88">
        <w:rPr>
          <w:rFonts w:hint="default"/>
        </w:rPr>
        <w:t>lne uznanej ako systé</w:t>
      </w:r>
      <w:r w:rsidRPr="001D7C88">
        <w:rPr>
          <w:rFonts w:hint="default"/>
        </w:rPr>
        <w:t>m o</w:t>
      </w:r>
      <w:r w:rsidRPr="001D7C88">
        <w:rPr>
          <w:rFonts w:hint="default"/>
        </w:rPr>
        <w:t>chrany vkladov. To znamená</w:t>
      </w:r>
      <w:r w:rsidRPr="001D7C88">
        <w:rPr>
          <w:rFonts w:hint="default"/>
        </w:rPr>
        <w:t>, ž</w:t>
      </w:r>
      <w:r w:rsidRPr="001D7C88">
        <w:rPr>
          <w:rFonts w:hint="default"/>
        </w:rPr>
        <w:t>e vš</w:t>
      </w:r>
      <w:r w:rsidRPr="001D7C88">
        <w:rPr>
          <w:rFonts w:hint="default"/>
        </w:rPr>
        <w:t>etky inš</w:t>
      </w:r>
      <w:r w:rsidRPr="001D7C88">
        <w:rPr>
          <w:rFonts w:hint="default"/>
        </w:rPr>
        <w:t>titú</w:t>
      </w:r>
      <w:r w:rsidRPr="001D7C88">
        <w:rPr>
          <w:rFonts w:hint="default"/>
        </w:rPr>
        <w:t>cie, ktoré</w:t>
      </w:r>
      <w:r w:rsidRPr="001D7C88">
        <w:rPr>
          <w:rFonts w:hint="default"/>
        </w:rPr>
        <w:t xml:space="preserve"> sú</w:t>
      </w:r>
      <w:r w:rsidRPr="001D7C88">
        <w:rPr>
          <w:rFonts w:hint="default"/>
        </w:rPr>
        <w:t xml:space="preserve"> č</w:t>
      </w:r>
      <w:r w:rsidRPr="001D7C88">
        <w:rPr>
          <w:rFonts w:hint="default"/>
        </w:rPr>
        <w:t>lenmi tejto sché</w:t>
      </w:r>
      <w:r w:rsidRPr="001D7C88">
        <w:rPr>
          <w:rFonts w:hint="default"/>
        </w:rPr>
        <w:t>my, sa navzá</w:t>
      </w:r>
      <w:r w:rsidRPr="001D7C88">
        <w:rPr>
          <w:rFonts w:hint="default"/>
        </w:rPr>
        <w:t>jom podporujú</w:t>
      </w:r>
      <w:r w:rsidRPr="001D7C88">
        <w:rPr>
          <w:rFonts w:hint="default"/>
        </w:rPr>
        <w:t>, aby zabrá</w:t>
      </w:r>
      <w:r w:rsidRPr="001D7C88">
        <w:rPr>
          <w:rFonts w:hint="default"/>
        </w:rPr>
        <w:t>nili neschopnosti banky vyplá</w:t>
      </w:r>
      <w:r w:rsidRPr="001D7C88">
        <w:rPr>
          <w:rFonts w:hint="default"/>
        </w:rPr>
        <w:t>cať</w:t>
      </w:r>
      <w:r w:rsidRPr="001D7C88">
        <w:rPr>
          <w:rFonts w:hint="default"/>
        </w:rPr>
        <w:t xml:space="preserve"> vklady. Ak by doš</w:t>
      </w:r>
      <w:r w:rsidRPr="001D7C88">
        <w:rPr>
          <w:rFonts w:hint="default"/>
        </w:rPr>
        <w:t>lo k </w:t>
      </w:r>
      <w:r w:rsidRPr="001D7C88">
        <w:rPr>
          <w:rFonts w:hint="default"/>
        </w:rPr>
        <w:t>neschopnosti banky vyplá</w:t>
      </w:r>
      <w:r w:rsidRPr="001D7C88">
        <w:rPr>
          <w:rFonts w:hint="default"/>
        </w:rPr>
        <w:t>cať</w:t>
      </w:r>
      <w:r w:rsidRPr="001D7C88">
        <w:rPr>
          <w:rFonts w:hint="default"/>
        </w:rPr>
        <w:t xml:space="preserve"> vklady, vyplatila by sa ná</w:t>
      </w:r>
      <w:r w:rsidRPr="001D7C88">
        <w:rPr>
          <w:rFonts w:hint="default"/>
        </w:rPr>
        <w:t>hrada za vaš</w:t>
      </w:r>
      <w:r w:rsidRPr="001D7C88">
        <w:rPr>
          <w:rFonts w:hint="default"/>
        </w:rPr>
        <w:t>e vklady do výš</w:t>
      </w:r>
      <w:r w:rsidRPr="001D7C88">
        <w:rPr>
          <w:rFonts w:hint="default"/>
        </w:rPr>
        <w:t>ky 100 0</w:t>
      </w:r>
      <w:r w:rsidRPr="001D7C88">
        <w:rPr>
          <w:rFonts w:hint="default"/>
        </w:rPr>
        <w:t>00 eur [nahraď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nou sumou</w:t>
      </w:r>
      <w:r w:rsidR="00B228B3">
        <w:t xml:space="preserve"> v </w:t>
      </w:r>
      <w:r w:rsidR="00B228B3">
        <w:rPr>
          <w:rFonts w:hint="default"/>
        </w:rPr>
        <w:t>prí</w:t>
      </w:r>
      <w:r w:rsidR="00B228B3">
        <w:rPr>
          <w:rFonts w:hint="default"/>
        </w:rPr>
        <w:t>sluš</w:t>
      </w:r>
      <w:r w:rsidR="00B228B3">
        <w:rPr>
          <w:rFonts w:hint="default"/>
        </w:rPr>
        <w:t>nej mene</w:t>
      </w:r>
      <w:r w:rsidRPr="001D7C88">
        <w:t>, ak menou nie je euro].</w:t>
      </w:r>
    </w:p>
    <w:p w:rsidR="005A0FB7" w:rsidRPr="001D7C88">
      <w:pPr>
        <w:bidi w:val="0"/>
      </w:pPr>
      <w:r w:rsidRPr="001D7C88">
        <w:t>[Len</w:t>
      </w:r>
      <w:r w:rsidR="00AF6F0D">
        <w:t>,</w:t>
      </w:r>
      <w:r w:rsidRPr="001D7C88">
        <w:t xml:space="preserve"> ak je to </w:t>
      </w:r>
      <w:r w:rsidR="00AF6F0D">
        <w:rPr>
          <w:rFonts w:hint="default"/>
        </w:rPr>
        <w:t>vhodné</w:t>
      </w:r>
      <w:r w:rsidRPr="001D7C88">
        <w:rPr>
          <w:rFonts w:hint="default"/>
        </w:rPr>
        <w:t>] Váš</w:t>
      </w:r>
      <w:r w:rsidRPr="001D7C88">
        <w:rPr>
          <w:rFonts w:hint="default"/>
        </w:rPr>
        <w:t xml:space="preserve"> vklad je krytý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konný</w:t>
      </w:r>
      <w:r w:rsidRPr="001D7C88">
        <w:rPr>
          <w:rFonts w:hint="default"/>
        </w:rPr>
        <w:t>m systé</w:t>
      </w:r>
      <w:r w:rsidRPr="001D7C88">
        <w:rPr>
          <w:rFonts w:hint="default"/>
        </w:rPr>
        <w:t>mom ochrany vkladov a zmluvný</w:t>
      </w:r>
      <w:r w:rsidRPr="001D7C88">
        <w:rPr>
          <w:rFonts w:hint="default"/>
        </w:rPr>
        <w:t>m systé</w:t>
      </w:r>
      <w:r w:rsidRPr="001D7C88">
        <w:rPr>
          <w:rFonts w:hint="default"/>
        </w:rPr>
        <w:t>mom ochrany vkladov. Ak by doš</w:t>
      </w:r>
      <w:r w:rsidRPr="001D7C88">
        <w:rPr>
          <w:rFonts w:hint="default"/>
        </w:rPr>
        <w:t>lo k neschopnosti vaš</w:t>
      </w:r>
      <w:r w:rsidRPr="001D7C88">
        <w:rPr>
          <w:rFonts w:hint="default"/>
        </w:rPr>
        <w:t>ej banky vyplá</w:t>
      </w:r>
      <w:r w:rsidRPr="001D7C88">
        <w:rPr>
          <w:rFonts w:hint="default"/>
        </w:rPr>
        <w:t>cať</w:t>
      </w:r>
      <w:r w:rsidRPr="001D7C88">
        <w:rPr>
          <w:rFonts w:hint="default"/>
        </w:rPr>
        <w:t xml:space="preserve"> vklady, za vaš</w:t>
      </w:r>
      <w:r w:rsidRPr="001D7C88">
        <w:rPr>
          <w:rFonts w:hint="default"/>
        </w:rPr>
        <w:t>e vkl</w:t>
      </w:r>
      <w:r w:rsidRPr="001D7C88">
        <w:rPr>
          <w:rFonts w:hint="default"/>
        </w:rPr>
        <w:t xml:space="preserve">ady by sa </w:t>
      </w:r>
      <w:r w:rsidR="0073736B">
        <w:rPr>
          <w:rFonts w:hint="default"/>
        </w:rPr>
        <w:t>vž</w:t>
      </w:r>
      <w:r w:rsidR="0073736B">
        <w:rPr>
          <w:rFonts w:hint="default"/>
        </w:rPr>
        <w:t>dy</w:t>
      </w:r>
      <w:r w:rsidRPr="001D7C88">
        <w:rPr>
          <w:rFonts w:hint="default"/>
        </w:rPr>
        <w:t xml:space="preserve"> vyplatila ná</w:t>
      </w:r>
      <w:r w:rsidRPr="001D7C88">
        <w:rPr>
          <w:rFonts w:hint="default"/>
        </w:rPr>
        <w:t>hrada do výš</w:t>
      </w:r>
      <w:r w:rsidRPr="001D7C88">
        <w:rPr>
          <w:rFonts w:hint="default"/>
        </w:rPr>
        <w:t>ky 100 000 eur [nahraď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nou sumou</w:t>
      </w:r>
      <w:r w:rsidR="00B228B3">
        <w:t xml:space="preserve"> v </w:t>
      </w:r>
      <w:r w:rsidR="00B228B3">
        <w:rPr>
          <w:rFonts w:hint="default"/>
        </w:rPr>
        <w:t>prí</w:t>
      </w:r>
      <w:r w:rsidR="00B228B3">
        <w:rPr>
          <w:rFonts w:hint="default"/>
        </w:rPr>
        <w:t>sluš</w:t>
      </w:r>
      <w:r w:rsidR="00B228B3">
        <w:rPr>
          <w:rFonts w:hint="default"/>
        </w:rPr>
        <w:t>nej mene</w:t>
      </w:r>
      <w:r w:rsidRPr="001D7C88">
        <w:t>, ak menou nie je euro].</w:t>
      </w:r>
    </w:p>
    <w:p w:rsidR="005A0FB7" w:rsidRPr="001D7C88">
      <w:pPr>
        <w:bidi w:val="0"/>
      </w:pPr>
      <w:r w:rsidRPr="001D7C88">
        <w:t>[Len</w:t>
      </w:r>
      <w:r w:rsidR="00AF6F0D">
        <w:t>,</w:t>
      </w:r>
      <w:r w:rsidRPr="001D7C88">
        <w:t xml:space="preserve"> ak je to </w:t>
      </w:r>
      <w:r w:rsidR="00AF6F0D">
        <w:rPr>
          <w:rFonts w:hint="default"/>
        </w:rPr>
        <w:t>vhodné</w:t>
      </w:r>
      <w:r w:rsidRPr="001D7C88">
        <w:rPr>
          <w:rFonts w:hint="default"/>
        </w:rPr>
        <w:t>] Váš</w:t>
      </w:r>
      <w:r w:rsidRPr="001D7C88">
        <w:rPr>
          <w:rFonts w:hint="default"/>
        </w:rPr>
        <w:t xml:space="preserve"> vklad je krytý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konný</w:t>
      </w:r>
      <w:r w:rsidRPr="001D7C88">
        <w:rPr>
          <w:rFonts w:hint="default"/>
        </w:rPr>
        <w:t>m systé</w:t>
      </w:r>
      <w:r w:rsidRPr="001D7C88">
        <w:rPr>
          <w:rFonts w:hint="default"/>
        </w:rPr>
        <w:t>mom ochrany vkladov. Okrem toho je vaš</w:t>
      </w:r>
      <w:r w:rsidRPr="001D7C88">
        <w:rPr>
          <w:rFonts w:hint="default"/>
        </w:rPr>
        <w:t>a banka č</w:t>
      </w:r>
      <w:r w:rsidRPr="001D7C88">
        <w:rPr>
          <w:rFonts w:hint="default"/>
        </w:rPr>
        <w:t>lenom sché</w:t>
      </w:r>
      <w:r w:rsidRPr="001D7C88">
        <w:rPr>
          <w:rFonts w:hint="default"/>
        </w:rPr>
        <w:t>my inš</w:t>
      </w:r>
      <w:r w:rsidRPr="001D7C88">
        <w:rPr>
          <w:rFonts w:hint="default"/>
        </w:rPr>
        <w:t>titucioná</w:t>
      </w:r>
      <w:r w:rsidRPr="001D7C88">
        <w:rPr>
          <w:rFonts w:hint="default"/>
        </w:rPr>
        <w:t>lneho</w:t>
      </w:r>
      <w:r w:rsidRPr="001D7C88">
        <w:rPr>
          <w:rFonts w:hint="default"/>
        </w:rPr>
        <w:t xml:space="preserve"> zabezpeč</w:t>
      </w:r>
      <w:r w:rsidRPr="001D7C88">
        <w:rPr>
          <w:rFonts w:hint="default"/>
        </w:rPr>
        <w:t>enia, ktorej vš</w:t>
      </w:r>
      <w:r w:rsidRPr="001D7C88">
        <w:rPr>
          <w:rFonts w:hint="default"/>
        </w:rPr>
        <w:t>etci č</w:t>
      </w:r>
      <w:r w:rsidRPr="001D7C88">
        <w:rPr>
          <w:rFonts w:hint="default"/>
        </w:rPr>
        <w:t>lenovia sa navzá</w:t>
      </w:r>
      <w:r w:rsidRPr="001D7C88">
        <w:rPr>
          <w:rFonts w:hint="default"/>
        </w:rPr>
        <w:t>jom podporujú</w:t>
      </w:r>
      <w:r w:rsidRPr="001D7C88">
        <w:rPr>
          <w:rFonts w:hint="default"/>
        </w:rPr>
        <w:t>, aby zabrá</w:t>
      </w:r>
      <w:r w:rsidRPr="001D7C88">
        <w:rPr>
          <w:rFonts w:hint="default"/>
        </w:rPr>
        <w:t>nili neschopnosti banky vyplá</w:t>
      </w:r>
      <w:r w:rsidRPr="001D7C88">
        <w:rPr>
          <w:rFonts w:hint="default"/>
        </w:rPr>
        <w:t>cať</w:t>
      </w:r>
      <w:r w:rsidRPr="001D7C88">
        <w:rPr>
          <w:rFonts w:hint="default"/>
        </w:rPr>
        <w:t xml:space="preserve"> vklady. Ak by doš</w:t>
      </w:r>
      <w:r w:rsidRPr="001D7C88">
        <w:rPr>
          <w:rFonts w:hint="default"/>
        </w:rPr>
        <w:t>lo k </w:t>
      </w:r>
      <w:r w:rsidRPr="001D7C88">
        <w:rPr>
          <w:rFonts w:hint="default"/>
        </w:rPr>
        <w:t>neschopnosti banky vyplá</w:t>
      </w:r>
      <w:r w:rsidRPr="001D7C88">
        <w:rPr>
          <w:rFonts w:hint="default"/>
        </w:rPr>
        <w:t>cať</w:t>
      </w:r>
      <w:r w:rsidRPr="001D7C88">
        <w:rPr>
          <w:rFonts w:hint="default"/>
        </w:rPr>
        <w:t xml:space="preserve"> vklady, systé</w:t>
      </w:r>
      <w:r w:rsidRPr="001D7C88">
        <w:rPr>
          <w:rFonts w:hint="default"/>
        </w:rPr>
        <w:t>m ochrany vkladov by vyplatil ná</w:t>
      </w:r>
      <w:r w:rsidRPr="001D7C88">
        <w:rPr>
          <w:rFonts w:hint="default"/>
        </w:rPr>
        <w:t>hradu za vaš</w:t>
      </w:r>
      <w:r w:rsidRPr="001D7C88">
        <w:rPr>
          <w:rFonts w:hint="default"/>
        </w:rPr>
        <w:t>e vklady do výš</w:t>
      </w:r>
      <w:r w:rsidRPr="001D7C88">
        <w:rPr>
          <w:rFonts w:hint="default"/>
        </w:rPr>
        <w:t>ky 100 000 eur [nahraď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</w:t>
      </w:r>
      <w:r w:rsidRPr="001D7C88">
        <w:rPr>
          <w:rFonts w:hint="default"/>
        </w:rPr>
        <w:t>u</w:t>
      </w:r>
      <w:r w:rsidRPr="001D7C88">
        <w:rPr>
          <w:rFonts w:hint="default"/>
        </w:rPr>
        <w:t>š</w:t>
      </w:r>
      <w:r w:rsidRPr="001D7C88">
        <w:rPr>
          <w:rFonts w:hint="default"/>
        </w:rPr>
        <w:t>nou sumou</w:t>
      </w:r>
      <w:r w:rsidR="00B228B3">
        <w:t xml:space="preserve"> v </w:t>
      </w:r>
      <w:r w:rsidR="00B228B3">
        <w:rPr>
          <w:rFonts w:hint="default"/>
        </w:rPr>
        <w:t>prí</w:t>
      </w:r>
      <w:r w:rsidR="00B228B3">
        <w:rPr>
          <w:rFonts w:hint="default"/>
        </w:rPr>
        <w:t>sluš</w:t>
      </w:r>
      <w:r w:rsidR="00B228B3">
        <w:rPr>
          <w:rFonts w:hint="default"/>
        </w:rPr>
        <w:t>nej mene</w:t>
      </w:r>
      <w:r w:rsidRPr="001D7C88">
        <w:t>, ak menou nie je euro].</w:t>
      </w:r>
    </w:p>
    <w:p w:rsidR="0073736B">
      <w:pPr>
        <w:bidi w:val="0"/>
      </w:pPr>
    </w:p>
    <w:p w:rsidR="005A0FB7" w:rsidRPr="001D7C88">
      <w:pPr>
        <w:bidi w:val="0"/>
        <w:rPr>
          <w:rFonts w:hint="default"/>
        </w:rPr>
      </w:pPr>
      <w:r w:rsidR="00B228B3">
        <w:t xml:space="preserve">(**) </w:t>
      </w:r>
      <w:r w:rsidRPr="001D7C88">
        <w:rPr>
          <w:rFonts w:hint="default"/>
        </w:rPr>
        <w:t>Vš</w:t>
      </w:r>
      <w:r w:rsidRPr="001D7C88">
        <w:rPr>
          <w:rFonts w:hint="default"/>
        </w:rPr>
        <w:t>eobecná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krytia.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Ak je vklad nedostupný</w:t>
      </w:r>
      <w:r w:rsidRPr="001D7C88">
        <w:rPr>
          <w:rFonts w:hint="default"/>
        </w:rPr>
        <w:t>, pretož</w:t>
      </w:r>
      <w:r w:rsidRPr="001D7C88">
        <w:rPr>
          <w:rFonts w:hint="default"/>
        </w:rPr>
        <w:t>e banka nie je schopná</w:t>
      </w:r>
      <w:r w:rsidRPr="001D7C88">
        <w:rPr>
          <w:rFonts w:hint="default"/>
        </w:rPr>
        <w:t xml:space="preserve"> splniť</w:t>
      </w:r>
      <w:r w:rsidRPr="001D7C88">
        <w:rPr>
          <w:rFonts w:hint="default"/>
        </w:rPr>
        <w:t xml:space="preserve"> svoje finanč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povinnosti, vkladateľ</w:t>
      </w:r>
      <w:r w:rsidRPr="001D7C88">
        <w:rPr>
          <w:rFonts w:hint="default"/>
        </w:rPr>
        <w:t>om vyplatí</w:t>
      </w:r>
      <w:r w:rsidRPr="001D7C88">
        <w:rPr>
          <w:rFonts w:hint="default"/>
        </w:rPr>
        <w:t xml:space="preserve"> ná</w:t>
      </w:r>
      <w:r w:rsidRPr="001D7C88">
        <w:rPr>
          <w:rFonts w:hint="default"/>
        </w:rPr>
        <w:t>hradu systé</w:t>
      </w:r>
      <w:r w:rsidRPr="001D7C88">
        <w:rPr>
          <w:rFonts w:hint="default"/>
        </w:rPr>
        <w:t>m ochrany vkladov. Tá</w:t>
      </w:r>
      <w:r w:rsidRPr="001D7C88">
        <w:rPr>
          <w:rFonts w:hint="default"/>
        </w:rPr>
        <w:t>to vý</w:t>
      </w:r>
      <w:r w:rsidRPr="001D7C88">
        <w:rPr>
          <w:rFonts w:hint="default"/>
        </w:rPr>
        <w:t>plata ná</w:t>
      </w:r>
      <w:r w:rsidRPr="001D7C88">
        <w:rPr>
          <w:rFonts w:hint="default"/>
        </w:rPr>
        <w:t>hrady pokrý</w:t>
      </w:r>
      <w:r w:rsidRPr="001D7C88">
        <w:rPr>
          <w:rFonts w:hint="default"/>
        </w:rPr>
        <w:t>va maxi</w:t>
      </w:r>
      <w:r w:rsidRPr="001D7C88">
        <w:rPr>
          <w:rFonts w:hint="default"/>
        </w:rPr>
        <w:t>má</w:t>
      </w:r>
      <w:r w:rsidRPr="001D7C88">
        <w:rPr>
          <w:rFonts w:hint="default"/>
        </w:rPr>
        <w:t>lne 100 000 eur [nahraď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nou sumou</w:t>
      </w:r>
      <w:r w:rsidR="00B228B3">
        <w:t xml:space="preserve"> v </w:t>
      </w:r>
      <w:r w:rsidR="00B228B3">
        <w:rPr>
          <w:rFonts w:hint="default"/>
        </w:rPr>
        <w:t>prí</w:t>
      </w:r>
      <w:r w:rsidR="00B228B3">
        <w:rPr>
          <w:rFonts w:hint="default"/>
        </w:rPr>
        <w:t>sluš</w:t>
      </w:r>
      <w:r w:rsidR="00B228B3">
        <w:rPr>
          <w:rFonts w:hint="default"/>
        </w:rPr>
        <w:t>nej mene</w:t>
      </w:r>
      <w:r w:rsidRPr="001D7C88">
        <w:rPr>
          <w:rFonts w:hint="default"/>
        </w:rPr>
        <w:t>, ak menou nie je euro] na banku. To znamená</w:t>
      </w:r>
      <w:r w:rsidRPr="001D7C88">
        <w:rPr>
          <w:rFonts w:hint="default"/>
        </w:rPr>
        <w:t>, ž</w:t>
      </w:r>
      <w:r w:rsidRPr="001D7C88">
        <w:rPr>
          <w:rFonts w:hint="default"/>
        </w:rPr>
        <w:t>e vš</w:t>
      </w:r>
      <w:r w:rsidRPr="001D7C88">
        <w:rPr>
          <w:rFonts w:hint="default"/>
        </w:rPr>
        <w:t>etky vklady vkladateľ</w:t>
      </w:r>
      <w:r w:rsidRPr="001D7C88">
        <w:rPr>
          <w:rFonts w:hint="default"/>
        </w:rPr>
        <w:t>a v tej istej banke sa spočí</w:t>
      </w:r>
      <w:r w:rsidRPr="001D7C88">
        <w:rPr>
          <w:rFonts w:hint="default"/>
        </w:rPr>
        <w:t>tajú</w:t>
      </w:r>
      <w:r w:rsidRPr="001D7C88">
        <w:rPr>
          <w:rFonts w:hint="default"/>
        </w:rPr>
        <w:t>, aby sa urč</w:t>
      </w:r>
      <w:r w:rsidRPr="001D7C88">
        <w:rPr>
          <w:rFonts w:hint="default"/>
        </w:rPr>
        <w:t>ila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krytia. Ak má</w:t>
      </w:r>
      <w:r w:rsidRPr="001D7C88">
        <w:rPr>
          <w:rFonts w:hint="default"/>
        </w:rPr>
        <w:t xml:space="preserve"> vkladateľ</w:t>
      </w:r>
      <w:r w:rsidRPr="001D7C88">
        <w:rPr>
          <w:rFonts w:hint="default"/>
        </w:rPr>
        <w:t xml:space="preserve"> naprí</w:t>
      </w:r>
      <w:r w:rsidRPr="001D7C88">
        <w:rPr>
          <w:rFonts w:hint="default"/>
        </w:rPr>
        <w:t>klad vkladový</w:t>
      </w:r>
      <w:r w:rsidRPr="001D7C88">
        <w:rPr>
          <w:rFonts w:hint="default"/>
        </w:rPr>
        <w:t xml:space="preserve"> úč</w:t>
      </w:r>
      <w:r w:rsidRPr="001D7C88">
        <w:rPr>
          <w:rFonts w:hint="default"/>
        </w:rPr>
        <w:t>et, na ktorom je 90 00</w:t>
      </w:r>
      <w:r w:rsidRPr="001D7C88">
        <w:rPr>
          <w:rFonts w:hint="default"/>
        </w:rPr>
        <w:t>0 eur, a bež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úč</w:t>
      </w:r>
      <w:r w:rsidRPr="001D7C88">
        <w:rPr>
          <w:rFonts w:hint="default"/>
        </w:rPr>
        <w:t>et, na ktorom je 20 000 eur, vyplatí</w:t>
      </w:r>
      <w:r w:rsidRPr="001D7C88">
        <w:rPr>
          <w:rFonts w:hint="default"/>
        </w:rPr>
        <w:t xml:space="preserve"> sa mu ná</w:t>
      </w:r>
      <w:r w:rsidRPr="001D7C88">
        <w:rPr>
          <w:rFonts w:hint="default"/>
        </w:rPr>
        <w:t>hrada len vo výš</w:t>
      </w:r>
      <w:r w:rsidRPr="001D7C88">
        <w:rPr>
          <w:rFonts w:hint="default"/>
        </w:rPr>
        <w:t>ke 100 000 eur.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[Len</w:t>
      </w:r>
      <w:r w:rsidR="00AF6F0D">
        <w:t>,</w:t>
      </w:r>
      <w:r w:rsidRPr="001D7C88">
        <w:t xml:space="preserve"> ak je to </w:t>
      </w:r>
      <w:r w:rsidR="00AF6F0D">
        <w:rPr>
          <w:rFonts w:hint="default"/>
        </w:rPr>
        <w:t>vhodné</w:t>
      </w:r>
      <w:r w:rsidRPr="001D7C88">
        <w:rPr>
          <w:rFonts w:hint="default"/>
        </w:rPr>
        <w:t>] Tá</w:t>
      </w:r>
      <w:r w:rsidRPr="001D7C88">
        <w:rPr>
          <w:rFonts w:hint="default"/>
        </w:rPr>
        <w:t>to metó</w:t>
      </w:r>
      <w:r w:rsidRPr="001D7C88">
        <w:rPr>
          <w:rFonts w:hint="default"/>
        </w:rPr>
        <w:t>da sa použ</w:t>
      </w:r>
      <w:r w:rsidRPr="001D7C88">
        <w:rPr>
          <w:rFonts w:hint="default"/>
        </w:rPr>
        <w:t xml:space="preserve">ije aj vtedy, </w:t>
      </w:r>
      <w:r w:rsidR="00B948B4">
        <w:t>ak</w:t>
      </w:r>
      <w:r w:rsidRPr="001D7C88">
        <w:t xml:space="preserve"> banka </w:t>
      </w:r>
      <w:r w:rsidR="00B92FAF">
        <w:t xml:space="preserve">pri </w:t>
      </w:r>
      <w:r w:rsidRPr="001D7C88">
        <w:rPr>
          <w:rFonts w:hint="default"/>
        </w:rPr>
        <w:t>vykoná</w:t>
      </w:r>
      <w:r w:rsidRPr="001D7C88">
        <w:rPr>
          <w:rFonts w:hint="default"/>
        </w:rPr>
        <w:t>va</w:t>
      </w:r>
      <w:r w:rsidR="00B92FAF">
        <w:rPr>
          <w:rFonts w:hint="default"/>
        </w:rPr>
        <w:t>ní</w:t>
      </w:r>
      <w:r w:rsidR="00B92FAF">
        <w:rPr>
          <w:rFonts w:hint="default"/>
        </w:rPr>
        <w:t xml:space="preserve"> svojej č</w:t>
      </w:r>
      <w:r w:rsidR="00B92FAF">
        <w:rPr>
          <w:rFonts w:hint="default"/>
        </w:rPr>
        <w:t>innosti použí</w:t>
      </w:r>
      <w:r w:rsidR="00B92FAF">
        <w:rPr>
          <w:rFonts w:hint="default"/>
        </w:rPr>
        <w:t>va</w:t>
      </w:r>
      <w:r w:rsidRPr="001D7C88">
        <w:t xml:space="preserve"> </w:t>
      </w:r>
      <w:r w:rsidR="00B92FAF">
        <w:t>viacero</w:t>
      </w:r>
      <w:r w:rsidRPr="001D7C88">
        <w:t xml:space="preserve"> ochrann</w:t>
      </w:r>
      <w:r w:rsidR="00B92FAF">
        <w:rPr>
          <w:rFonts w:hint="default"/>
        </w:rPr>
        <w:t>ý</w:t>
      </w:r>
      <w:r w:rsidR="00B92FAF">
        <w:rPr>
          <w:rFonts w:hint="default"/>
        </w:rPr>
        <w:t>ch</w:t>
      </w:r>
      <w:r w:rsidRPr="001D7C88">
        <w:rPr>
          <w:rFonts w:hint="default"/>
        </w:rPr>
        <w:t xml:space="preserve"> zná</w:t>
      </w:r>
      <w:r w:rsidRPr="001D7C88">
        <w:rPr>
          <w:rFonts w:hint="default"/>
        </w:rPr>
        <w:t>m</w:t>
      </w:r>
      <w:r w:rsidR="00B92FAF">
        <w:t>ok</w:t>
      </w:r>
      <w:r w:rsidRPr="001D7C88">
        <w:rPr>
          <w:rFonts w:hint="default"/>
        </w:rPr>
        <w:t>. [vlož</w:t>
      </w:r>
      <w:r w:rsidRPr="001D7C88">
        <w:rPr>
          <w:rFonts w:hint="default"/>
        </w:rPr>
        <w:t>te ná</w:t>
      </w:r>
      <w:r w:rsidRPr="001D7C88">
        <w:rPr>
          <w:rFonts w:hint="default"/>
        </w:rPr>
        <w:t>zov banky, ktorá</w:t>
      </w:r>
      <w:r w:rsidRPr="001D7C88">
        <w:rPr>
          <w:rFonts w:hint="default"/>
        </w:rPr>
        <w:t xml:space="preserve"> vedie úč</w:t>
      </w:r>
      <w:r w:rsidRPr="001D7C88">
        <w:rPr>
          <w:rFonts w:hint="default"/>
        </w:rPr>
        <w:t>et] vykoná</w:t>
      </w:r>
      <w:r w:rsidRPr="001D7C88">
        <w:rPr>
          <w:rFonts w:hint="default"/>
        </w:rPr>
        <w:t>va č</w:t>
      </w:r>
      <w:r w:rsidRPr="001D7C88">
        <w:rPr>
          <w:rFonts w:hint="default"/>
        </w:rPr>
        <w:t>innosť</w:t>
      </w:r>
      <w:r w:rsidRPr="001D7C88">
        <w:rPr>
          <w:rFonts w:hint="default"/>
        </w:rPr>
        <w:t xml:space="preserve"> aj pod ná</w:t>
      </w:r>
      <w:r w:rsidRPr="001D7C88">
        <w:rPr>
          <w:rFonts w:hint="default"/>
        </w:rPr>
        <w:t>zvom [vlož</w:t>
      </w:r>
      <w:r w:rsidRPr="001D7C88">
        <w:rPr>
          <w:rFonts w:hint="default"/>
        </w:rPr>
        <w:t>te vš</w:t>
      </w:r>
      <w:r w:rsidRPr="001D7C88">
        <w:rPr>
          <w:rFonts w:hint="default"/>
        </w:rPr>
        <w:t>etky ochranné</w:t>
      </w:r>
      <w:r w:rsidRPr="001D7C88">
        <w:rPr>
          <w:rFonts w:hint="default"/>
        </w:rPr>
        <w:t xml:space="preserve"> zná</w:t>
      </w:r>
      <w:r w:rsidRPr="001D7C88">
        <w:rPr>
          <w:rFonts w:hint="default"/>
        </w:rPr>
        <w:t>mky tej istej banky]. To znamená</w:t>
      </w:r>
      <w:r w:rsidRPr="001D7C88">
        <w:rPr>
          <w:rFonts w:hint="default"/>
        </w:rPr>
        <w:t>, ž</w:t>
      </w:r>
      <w:r w:rsidRPr="001D7C88">
        <w:rPr>
          <w:rFonts w:hint="default"/>
        </w:rPr>
        <w:t>e vš</w:t>
      </w:r>
      <w:r w:rsidRPr="001D7C88">
        <w:rPr>
          <w:rFonts w:hint="default"/>
        </w:rPr>
        <w:t>etky vklady v</w:t>
      </w:r>
      <w:r w:rsidR="00B948B4">
        <w:t> </w:t>
      </w:r>
      <w:r w:rsidR="00B948B4">
        <w:rPr>
          <w:rFonts w:hint="default"/>
        </w:rPr>
        <w:t>banke, ktorá</w:t>
      </w:r>
      <w:r w:rsidR="00B948B4">
        <w:rPr>
          <w:rFonts w:hint="default"/>
        </w:rPr>
        <w:t xml:space="preserve"> pri vykoná</w:t>
      </w:r>
      <w:r w:rsidR="00B948B4">
        <w:rPr>
          <w:rFonts w:hint="default"/>
        </w:rPr>
        <w:t>vaní</w:t>
      </w:r>
      <w:r w:rsidR="00B948B4">
        <w:rPr>
          <w:rFonts w:hint="default"/>
        </w:rPr>
        <w:t xml:space="preserve"> svojej č</w:t>
      </w:r>
      <w:r w:rsidR="00B948B4">
        <w:rPr>
          <w:rFonts w:hint="default"/>
        </w:rPr>
        <w:t>innosti použí</w:t>
      </w:r>
      <w:r w:rsidR="00B948B4">
        <w:rPr>
          <w:rFonts w:hint="default"/>
        </w:rPr>
        <w:t xml:space="preserve">va </w:t>
      </w:r>
      <w:r w:rsidRPr="001D7C88">
        <w:t>jedn</w:t>
      </w:r>
      <w:r w:rsidR="00B948B4">
        <w:t>u</w:t>
      </w:r>
      <w:r w:rsidRPr="001D7C88">
        <w:t xml:space="preserve"> alebo viac</w:t>
      </w:r>
      <w:r w:rsidR="00B92FAF">
        <w:t>ero</w:t>
      </w:r>
      <w:r w:rsidRPr="001D7C88">
        <w:t xml:space="preserve"> </w:t>
      </w:r>
      <w:r w:rsidR="00D73C85">
        <w:t>z </w:t>
      </w:r>
      <w:r w:rsidR="00D73C85">
        <w:rPr>
          <w:rFonts w:hint="default"/>
        </w:rPr>
        <w:t>tý</w:t>
      </w:r>
      <w:r w:rsidR="00D73C85">
        <w:rPr>
          <w:rFonts w:hint="default"/>
        </w:rPr>
        <w:t xml:space="preserve">chto </w:t>
      </w:r>
      <w:r w:rsidRPr="001D7C88">
        <w:t>o</w:t>
      </w:r>
      <w:r w:rsidR="00B92FAF">
        <w:rPr>
          <w:rFonts w:hint="default"/>
        </w:rPr>
        <w:t>chranný</w:t>
      </w:r>
      <w:r w:rsidR="00B92FAF">
        <w:rPr>
          <w:rFonts w:hint="default"/>
        </w:rPr>
        <w:t>ch</w:t>
      </w:r>
      <w:r w:rsidRPr="001D7C88">
        <w:rPr>
          <w:rFonts w:hint="default"/>
        </w:rPr>
        <w:t xml:space="preserve"> zná</w:t>
      </w:r>
      <w:r w:rsidRPr="001D7C88">
        <w:rPr>
          <w:rFonts w:hint="default"/>
        </w:rPr>
        <w:t>mok sú</w:t>
      </w:r>
      <w:r w:rsidRPr="001D7C88">
        <w:rPr>
          <w:rFonts w:hint="default"/>
        </w:rPr>
        <w:t xml:space="preserve"> celkovo kryté</w:t>
      </w:r>
      <w:r w:rsidRPr="001D7C88">
        <w:rPr>
          <w:rFonts w:hint="default"/>
        </w:rPr>
        <w:t xml:space="preserve"> do výš</w:t>
      </w:r>
      <w:r w:rsidRPr="001D7C88">
        <w:rPr>
          <w:rFonts w:hint="default"/>
        </w:rPr>
        <w:t>ky 100 000</w:t>
      </w:r>
      <w:r w:rsidRPr="001D7C88">
        <w:rPr>
          <w:rFonts w:hint="default"/>
        </w:rPr>
        <w:t xml:space="preserve"> eur.</w:t>
      </w:r>
    </w:p>
    <w:p w:rsidR="0073736B">
      <w:pPr>
        <w:bidi w:val="0"/>
      </w:pPr>
    </w:p>
    <w:p w:rsidR="005A0FB7" w:rsidRPr="001D7C88">
      <w:pPr>
        <w:bidi w:val="0"/>
        <w:rPr>
          <w:rFonts w:hint="default"/>
        </w:rPr>
      </w:pPr>
      <w:r w:rsidR="00B228B3">
        <w:t xml:space="preserve">(***) </w:t>
      </w:r>
      <w:r w:rsidRPr="001D7C88">
        <w:rPr>
          <w:rFonts w:hint="default"/>
        </w:rPr>
        <w:t>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krytia pre spoloč</w:t>
      </w:r>
      <w:r w:rsidRPr="001D7C88">
        <w:rPr>
          <w:rFonts w:hint="default"/>
        </w:rPr>
        <w:t>né</w:t>
      </w:r>
      <w:r w:rsidRPr="001D7C88">
        <w:rPr>
          <w:rFonts w:hint="default"/>
        </w:rPr>
        <w:t xml:space="preserve"> vklady.</w:t>
      </w:r>
    </w:p>
    <w:p w:rsidR="005A0FB7" w:rsidRPr="001D7C88">
      <w:pPr>
        <w:bidi w:val="0"/>
        <w:rPr>
          <w:rFonts w:hint="default"/>
        </w:rPr>
      </w:pPr>
      <w:r w:rsidR="00612A60">
        <w:t>Pri</w:t>
      </w:r>
      <w:r w:rsidRPr="001D7C88">
        <w:rPr>
          <w:rFonts w:hint="default"/>
        </w:rPr>
        <w:t xml:space="preserve"> spoloč</w:t>
      </w:r>
      <w:r w:rsidRPr="001D7C88">
        <w:rPr>
          <w:rFonts w:hint="default"/>
        </w:rPr>
        <w:t>ný</w:t>
      </w:r>
      <w:r w:rsidRPr="001D7C88">
        <w:rPr>
          <w:rFonts w:hint="default"/>
        </w:rPr>
        <w:t>ch vklado</w:t>
      </w:r>
      <w:r w:rsidR="00612A60">
        <w:t>ch</w:t>
      </w:r>
      <w:r w:rsidRPr="001D7C88">
        <w:rPr>
          <w:rFonts w:hint="default"/>
        </w:rPr>
        <w:t xml:space="preserve"> sa ú</w:t>
      </w:r>
      <w:r w:rsidRPr="001D7C88">
        <w:rPr>
          <w:rFonts w:hint="default"/>
        </w:rPr>
        <w:t>roveň</w:t>
      </w:r>
      <w:r w:rsidRPr="001D7C88">
        <w:rPr>
          <w:rFonts w:hint="default"/>
        </w:rPr>
        <w:t xml:space="preserve"> krytia vo výš</w:t>
      </w:r>
      <w:r w:rsidRPr="001D7C88">
        <w:rPr>
          <w:rFonts w:hint="default"/>
        </w:rPr>
        <w:t>ke 100 000 eur vzť</w:t>
      </w:r>
      <w:r w:rsidRPr="001D7C88">
        <w:rPr>
          <w:rFonts w:hint="default"/>
        </w:rPr>
        <w:t>ahuje na kaž</w:t>
      </w:r>
      <w:r w:rsidRPr="001D7C88">
        <w:rPr>
          <w:rFonts w:hint="default"/>
        </w:rPr>
        <w:t>dé</w:t>
      </w:r>
      <w:r w:rsidRPr="001D7C88">
        <w:rPr>
          <w:rFonts w:hint="default"/>
        </w:rPr>
        <w:t>ho vkladateľ</w:t>
      </w:r>
      <w:r w:rsidRPr="001D7C88">
        <w:rPr>
          <w:rFonts w:hint="default"/>
        </w:rPr>
        <w:t>a.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[Len</w:t>
      </w:r>
      <w:r w:rsidR="00AF6F0D">
        <w:t>,</w:t>
      </w:r>
      <w:r w:rsidRPr="001D7C88">
        <w:t xml:space="preserve"> ak je to </w:t>
      </w:r>
      <w:r w:rsidR="00AF6F0D">
        <w:rPr>
          <w:rFonts w:hint="default"/>
        </w:rPr>
        <w:t>vhodné</w:t>
      </w:r>
      <w:r w:rsidRPr="001D7C88">
        <w:rPr>
          <w:rFonts w:hint="default"/>
        </w:rPr>
        <w:t>] Vklady na úč</w:t>
      </w:r>
      <w:r w:rsidRPr="001D7C88">
        <w:rPr>
          <w:rFonts w:hint="default"/>
        </w:rPr>
        <w:t>te, na ktorý</w:t>
      </w:r>
      <w:r w:rsidRPr="001D7C88">
        <w:rPr>
          <w:rFonts w:hint="default"/>
        </w:rPr>
        <w:t xml:space="preserve"> majú</w:t>
      </w:r>
      <w:r w:rsidRPr="001D7C88">
        <w:rPr>
          <w:rFonts w:hint="default"/>
        </w:rPr>
        <w:t xml:space="preserve"> oprá</w:t>
      </w:r>
      <w:r w:rsidRPr="001D7C88">
        <w:rPr>
          <w:rFonts w:hint="default"/>
        </w:rPr>
        <w:t>vnenie dve alebo viaceré</w:t>
      </w:r>
      <w:r w:rsidRPr="001D7C88">
        <w:rPr>
          <w:rFonts w:hint="default"/>
        </w:rPr>
        <w:t xml:space="preserve"> osoby ako č</w:t>
      </w:r>
      <w:r w:rsidRPr="001D7C88">
        <w:rPr>
          <w:rFonts w:hint="default"/>
        </w:rPr>
        <w:t>lenovia sú</w:t>
      </w:r>
      <w:r w:rsidRPr="001D7C88">
        <w:rPr>
          <w:rFonts w:hint="default"/>
        </w:rPr>
        <w:t>kromnej obc</w:t>
      </w:r>
      <w:r w:rsidRPr="001D7C88">
        <w:rPr>
          <w:rFonts w:hint="default"/>
        </w:rPr>
        <w:t>hodnej spoloč</w:t>
      </w:r>
      <w:r w:rsidRPr="001D7C88">
        <w:rPr>
          <w:rFonts w:hint="default"/>
        </w:rPr>
        <w:t>nosti, združ</w:t>
      </w:r>
      <w:r w:rsidRPr="001D7C88">
        <w:rPr>
          <w:rFonts w:hint="default"/>
        </w:rPr>
        <w:t>enia alebo zoskupenia podobné</w:t>
      </w:r>
      <w:r w:rsidRPr="001D7C88">
        <w:rPr>
          <w:rFonts w:hint="default"/>
        </w:rPr>
        <w:t>ho charakteru bez prá</w:t>
      </w:r>
      <w:r w:rsidRPr="001D7C88">
        <w:rPr>
          <w:rFonts w:hint="default"/>
        </w:rPr>
        <w:t>vnej subjektivity, sa na úč</w:t>
      </w:r>
      <w:r w:rsidRPr="001D7C88">
        <w:rPr>
          <w:rFonts w:hint="default"/>
        </w:rPr>
        <w:t>ely vý</w:t>
      </w:r>
      <w:r w:rsidRPr="001D7C88">
        <w:rPr>
          <w:rFonts w:hint="default"/>
        </w:rPr>
        <w:t>poč</w:t>
      </w:r>
      <w:r w:rsidRPr="001D7C88">
        <w:rPr>
          <w:rFonts w:hint="default"/>
        </w:rPr>
        <w:t>tu ú</w:t>
      </w:r>
      <w:r w:rsidRPr="001D7C88">
        <w:rPr>
          <w:rFonts w:hint="default"/>
        </w:rPr>
        <w:t>rovne krytia vo výš</w:t>
      </w:r>
      <w:r w:rsidRPr="001D7C88">
        <w:rPr>
          <w:rFonts w:hint="default"/>
        </w:rPr>
        <w:t>ke 100 000 eur [nahraď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nou sumou</w:t>
      </w:r>
      <w:r w:rsidR="00B228B3">
        <w:t xml:space="preserve"> v </w:t>
      </w:r>
      <w:r w:rsidR="00B228B3">
        <w:rPr>
          <w:rFonts w:hint="default"/>
        </w:rPr>
        <w:t>prí</w:t>
      </w:r>
      <w:r w:rsidR="00B228B3">
        <w:rPr>
          <w:rFonts w:hint="default"/>
        </w:rPr>
        <w:t>sluš</w:t>
      </w:r>
      <w:r w:rsidR="00B228B3">
        <w:rPr>
          <w:rFonts w:hint="default"/>
        </w:rPr>
        <w:t>nej mene</w:t>
      </w:r>
      <w:r w:rsidRPr="001D7C88">
        <w:rPr>
          <w:rFonts w:hint="default"/>
        </w:rPr>
        <w:t>, ak menou nie je euro] spočí</w:t>
      </w:r>
      <w:r w:rsidRPr="001D7C88">
        <w:rPr>
          <w:rFonts w:hint="default"/>
        </w:rPr>
        <w:t>tavajú</w:t>
      </w:r>
      <w:r w:rsidRPr="001D7C88">
        <w:rPr>
          <w:rFonts w:hint="default"/>
        </w:rPr>
        <w:t xml:space="preserve"> a zaobchá</w:t>
      </w:r>
      <w:r w:rsidRPr="001D7C88">
        <w:rPr>
          <w:rFonts w:hint="default"/>
        </w:rPr>
        <w:t>dza sa s nimi, ako</w:t>
      </w:r>
      <w:r w:rsidRPr="001D7C88">
        <w:rPr>
          <w:rFonts w:hint="default"/>
        </w:rPr>
        <w:t xml:space="preserve"> keby ich vykonal jediný</w:t>
      </w:r>
      <w:r w:rsidRPr="001D7C88">
        <w:rPr>
          <w:rFonts w:hint="default"/>
        </w:rPr>
        <w:t xml:space="preserve"> vkladateľ.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V niektorý</w:t>
      </w:r>
      <w:r w:rsidRPr="001D7C88">
        <w:rPr>
          <w:rFonts w:hint="default"/>
        </w:rPr>
        <w:t>ch prí</w:t>
      </w:r>
      <w:r w:rsidRPr="001D7C88">
        <w:rPr>
          <w:rFonts w:hint="default"/>
        </w:rPr>
        <w:t>padoch [vlož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pady vymedzené</w:t>
      </w:r>
      <w:r w:rsidRPr="001D7C88">
        <w:rPr>
          <w:rFonts w:hint="default"/>
        </w:rPr>
        <w:t xml:space="preserve"> vo vnú</w:t>
      </w:r>
      <w:r w:rsidRPr="001D7C88">
        <w:rPr>
          <w:rFonts w:hint="default"/>
        </w:rPr>
        <w:t>troš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tnom prá</w:t>
      </w:r>
      <w:r w:rsidRPr="001D7C88">
        <w:rPr>
          <w:rFonts w:hint="default"/>
        </w:rPr>
        <w:t>ve] sú</w:t>
      </w:r>
      <w:r w:rsidRPr="001D7C88">
        <w:rPr>
          <w:rFonts w:hint="default"/>
        </w:rPr>
        <w:t xml:space="preserve"> vklady chrá</w:t>
      </w:r>
      <w:r w:rsidRPr="001D7C88">
        <w:rPr>
          <w:rFonts w:hint="default"/>
        </w:rPr>
        <w:t>nené</w:t>
      </w:r>
      <w:r w:rsidRPr="001D7C88">
        <w:rPr>
          <w:rFonts w:hint="default"/>
        </w:rPr>
        <w:t xml:space="preserve"> vo výš</w:t>
      </w:r>
      <w:r w:rsidRPr="001D7C88">
        <w:rPr>
          <w:rFonts w:hint="default"/>
        </w:rPr>
        <w:t>ke presahujú</w:t>
      </w:r>
      <w:r w:rsidRPr="001D7C88">
        <w:rPr>
          <w:rFonts w:hint="default"/>
        </w:rPr>
        <w:t>cej 100 000 eur [nahraď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nou sumou</w:t>
      </w:r>
      <w:r w:rsidR="00B228B3">
        <w:t xml:space="preserve"> v </w:t>
      </w:r>
      <w:r w:rsidR="00B228B3">
        <w:rPr>
          <w:rFonts w:hint="default"/>
        </w:rPr>
        <w:t>prí</w:t>
      </w:r>
      <w:r w:rsidR="00B228B3">
        <w:rPr>
          <w:rFonts w:hint="default"/>
        </w:rPr>
        <w:t>sluš</w:t>
      </w:r>
      <w:r w:rsidR="00B228B3">
        <w:rPr>
          <w:rFonts w:hint="default"/>
        </w:rPr>
        <w:t>nej mene</w:t>
      </w:r>
      <w:r w:rsidRPr="001D7C88">
        <w:rPr>
          <w:rFonts w:hint="default"/>
        </w:rPr>
        <w:t>, ak menou nie je euro]. Viac informá</w:t>
      </w:r>
      <w:r w:rsidRPr="001D7C88">
        <w:rPr>
          <w:rFonts w:hint="default"/>
        </w:rPr>
        <w:t>cií</w:t>
      </w:r>
      <w:r w:rsidRPr="001D7C88">
        <w:rPr>
          <w:rFonts w:hint="default"/>
        </w:rPr>
        <w:t xml:space="preserve"> mož</w:t>
      </w:r>
      <w:r w:rsidRPr="001D7C88">
        <w:rPr>
          <w:rFonts w:hint="default"/>
        </w:rPr>
        <w:t>no zí</w:t>
      </w:r>
      <w:r w:rsidRPr="001D7C88">
        <w:rPr>
          <w:rFonts w:hint="default"/>
        </w:rPr>
        <w:t>s</w:t>
      </w:r>
      <w:r w:rsidRPr="001D7C88">
        <w:rPr>
          <w:rFonts w:hint="default"/>
        </w:rPr>
        <w:t>kať</w:t>
      </w:r>
      <w:r w:rsidRPr="001D7C88">
        <w:rPr>
          <w:rFonts w:hint="default"/>
        </w:rPr>
        <w:t xml:space="preserve"> na strá</w:t>
      </w:r>
      <w:r w:rsidRPr="001D7C88">
        <w:rPr>
          <w:rFonts w:hint="default"/>
        </w:rPr>
        <w:t>nke [vlož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nú</w:t>
      </w:r>
      <w:r w:rsidRPr="001D7C88">
        <w:rPr>
          <w:rFonts w:hint="default"/>
        </w:rPr>
        <w:t xml:space="preserve"> adresu webové</w:t>
      </w:r>
      <w:r w:rsidRPr="001D7C88">
        <w:rPr>
          <w:rFonts w:hint="default"/>
        </w:rPr>
        <w:t>ho sí</w:t>
      </w:r>
      <w:r w:rsidRPr="001D7C88">
        <w:rPr>
          <w:rFonts w:hint="default"/>
        </w:rPr>
        <w:t>dla systé</w:t>
      </w:r>
      <w:r w:rsidRPr="001D7C88">
        <w:rPr>
          <w:rFonts w:hint="default"/>
        </w:rPr>
        <w:t>mu ochrany vkladov].</w:t>
      </w:r>
    </w:p>
    <w:p w:rsidR="0073736B">
      <w:pPr>
        <w:bidi w:val="0"/>
      </w:pPr>
    </w:p>
    <w:p w:rsidR="005A0FB7" w:rsidRPr="001D7C88">
      <w:pPr>
        <w:bidi w:val="0"/>
        <w:rPr>
          <w:b/>
          <w:bCs/>
        </w:rPr>
      </w:pPr>
      <w:r w:rsidR="00B228B3">
        <w:t xml:space="preserve">(****) </w:t>
      </w:r>
      <w:r w:rsidRPr="001D7C88">
        <w:rPr>
          <w:rFonts w:hint="default"/>
        </w:rPr>
        <w:t>Vyplatenie ná</w:t>
      </w:r>
      <w:r w:rsidRPr="001D7C88">
        <w:rPr>
          <w:rFonts w:hint="default"/>
        </w:rPr>
        <w:t>hrad.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Zodpovedný</w:t>
      </w:r>
      <w:r w:rsidRPr="001D7C88">
        <w:rPr>
          <w:rFonts w:hint="default"/>
        </w:rPr>
        <w:t>m systé</w:t>
      </w:r>
      <w:r w:rsidRPr="001D7C88">
        <w:rPr>
          <w:rFonts w:hint="default"/>
        </w:rPr>
        <w:t>mom ochrany vkladov je [vlož</w:t>
      </w:r>
      <w:r w:rsidRPr="001D7C88">
        <w:rPr>
          <w:rFonts w:hint="default"/>
        </w:rPr>
        <w:t>te ná</w:t>
      </w:r>
      <w:r w:rsidRPr="001D7C88">
        <w:rPr>
          <w:rFonts w:hint="default"/>
        </w:rPr>
        <w:t>zov a adresu, telefó</w:t>
      </w:r>
      <w:r w:rsidRPr="001D7C88">
        <w:rPr>
          <w:rFonts w:hint="default"/>
        </w:rPr>
        <w:t>nne čí</w:t>
      </w:r>
      <w:r w:rsidRPr="001D7C88">
        <w:rPr>
          <w:rFonts w:hint="default"/>
        </w:rPr>
        <w:t>slo, e-mail: a adresu webové</w:t>
      </w:r>
      <w:r w:rsidRPr="001D7C88">
        <w:rPr>
          <w:rFonts w:hint="default"/>
        </w:rPr>
        <w:t>ho sí</w:t>
      </w:r>
      <w:r w:rsidRPr="001D7C88">
        <w:rPr>
          <w:rFonts w:hint="default"/>
        </w:rPr>
        <w:t>dla]. Vyplatí</w:t>
      </w:r>
      <w:r w:rsidRPr="001D7C88">
        <w:rPr>
          <w:rFonts w:hint="default"/>
        </w:rPr>
        <w:t xml:space="preserve"> vá</w:t>
      </w:r>
      <w:r w:rsidRPr="001D7C88">
        <w:rPr>
          <w:rFonts w:hint="default"/>
        </w:rPr>
        <w:t>m ná</w:t>
      </w:r>
      <w:r w:rsidRPr="001D7C88">
        <w:rPr>
          <w:rFonts w:hint="default"/>
        </w:rPr>
        <w:t>hradu za vaš</w:t>
      </w:r>
      <w:r w:rsidRPr="001D7C88">
        <w:rPr>
          <w:rFonts w:hint="default"/>
        </w:rPr>
        <w:t>e vklady (až</w:t>
      </w:r>
      <w:r w:rsidRPr="001D7C88">
        <w:rPr>
          <w:rFonts w:hint="default"/>
        </w:rPr>
        <w:t xml:space="preserve"> do výš</w:t>
      </w:r>
      <w:r w:rsidRPr="001D7C88">
        <w:rPr>
          <w:rFonts w:hint="default"/>
        </w:rPr>
        <w:t>ky 100 000 eur [nahraď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nou sumou</w:t>
      </w:r>
      <w:r w:rsidR="00B228B3">
        <w:t xml:space="preserve"> v </w:t>
      </w:r>
      <w:r w:rsidR="00B228B3">
        <w:rPr>
          <w:rFonts w:hint="default"/>
        </w:rPr>
        <w:t>prí</w:t>
      </w:r>
      <w:r w:rsidR="00B228B3">
        <w:rPr>
          <w:rFonts w:hint="default"/>
        </w:rPr>
        <w:t>sluš</w:t>
      </w:r>
      <w:r w:rsidR="00B228B3">
        <w:rPr>
          <w:rFonts w:hint="default"/>
        </w:rPr>
        <w:t>nej mene</w:t>
      </w:r>
      <w:r w:rsidRPr="001D7C88">
        <w:rPr>
          <w:rFonts w:hint="default"/>
        </w:rPr>
        <w:t>, ak menou nie je euro]) najneskô</w:t>
      </w:r>
      <w:r w:rsidRPr="001D7C88">
        <w:rPr>
          <w:rFonts w:hint="default"/>
        </w:rPr>
        <w:t>r do [vlož</w:t>
      </w:r>
      <w:r w:rsidRPr="001D7C88">
        <w:rPr>
          <w:rFonts w:hint="default"/>
        </w:rPr>
        <w:t>te lehotu na vyplatenie ná</w:t>
      </w:r>
      <w:r w:rsidRPr="001D7C88">
        <w:rPr>
          <w:rFonts w:hint="default"/>
        </w:rPr>
        <w:t xml:space="preserve">hrad </w:t>
      </w:r>
      <w:r w:rsidR="00B92FAF">
        <w:t>u</w:t>
      </w:r>
      <w:r w:rsidRPr="001D7C88">
        <w:rPr>
          <w:rFonts w:hint="default"/>
        </w:rPr>
        <w:t>stanovenú</w:t>
      </w:r>
      <w:r w:rsidRPr="001D7C88">
        <w:rPr>
          <w:rFonts w:hint="default"/>
        </w:rPr>
        <w:t xml:space="preserve"> vnú</w:t>
      </w:r>
      <w:r w:rsidRPr="001D7C88">
        <w:rPr>
          <w:rFonts w:hint="default"/>
        </w:rPr>
        <w:t>troš</w:t>
      </w:r>
      <w:r w:rsidRPr="001D7C88">
        <w:rPr>
          <w:rFonts w:hint="default"/>
        </w:rPr>
        <w:t>tá</w:t>
      </w:r>
      <w:r w:rsidRPr="001D7C88">
        <w:rPr>
          <w:rFonts w:hint="default"/>
        </w:rPr>
        <w:t>tnym prá</w:t>
      </w:r>
      <w:r w:rsidRPr="001D7C88">
        <w:rPr>
          <w:rFonts w:hint="default"/>
        </w:rPr>
        <w:t>vnym predpisom] od [31. decembra 2023] do [siedm</w:t>
      </w:r>
      <w:r w:rsidR="00B228B3">
        <w:t>i</w:t>
      </w:r>
      <w:r w:rsidRPr="001D7C88">
        <w:rPr>
          <w:rFonts w:hint="default"/>
        </w:rPr>
        <w:t>ch pracovný</w:t>
      </w:r>
      <w:r w:rsidRPr="001D7C88">
        <w:rPr>
          <w:rFonts w:hint="default"/>
        </w:rPr>
        <w:t>ch dní</w:t>
      </w:r>
      <w:r w:rsidRPr="001D7C88">
        <w:rPr>
          <w:rFonts w:hint="default"/>
        </w:rPr>
        <w:t>].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[Doplň</w:t>
      </w:r>
      <w:r w:rsidRPr="001D7C88">
        <w:rPr>
          <w:rFonts w:hint="default"/>
        </w:rPr>
        <w:t>t</w:t>
      </w:r>
      <w:r w:rsidRPr="001D7C88">
        <w:rPr>
          <w:rFonts w:hint="default"/>
        </w:rPr>
        <w:t>e informá</w:t>
      </w:r>
      <w:r w:rsidRPr="001D7C88">
        <w:rPr>
          <w:rFonts w:hint="default"/>
        </w:rPr>
        <w:t>cie o nú</w:t>
      </w:r>
      <w:r w:rsidRPr="001D7C88">
        <w:rPr>
          <w:rFonts w:hint="default"/>
        </w:rPr>
        <w:t>dzovej/doč</w:t>
      </w:r>
      <w:r w:rsidRPr="001D7C88">
        <w:rPr>
          <w:rFonts w:hint="default"/>
        </w:rPr>
        <w:t>asnej vý</w:t>
      </w:r>
      <w:r w:rsidRPr="001D7C88">
        <w:rPr>
          <w:rFonts w:hint="default"/>
        </w:rPr>
        <w:t>plate, ak suma alebo sumy na vyplatenie ná</w:t>
      </w:r>
      <w:r w:rsidRPr="001D7C88">
        <w:rPr>
          <w:rFonts w:hint="default"/>
        </w:rPr>
        <w:t>hrad nie sú</w:t>
      </w:r>
      <w:r w:rsidRPr="001D7C88">
        <w:rPr>
          <w:rFonts w:hint="default"/>
        </w:rPr>
        <w:t xml:space="preserve"> dostupné</w:t>
      </w:r>
      <w:r w:rsidRPr="001D7C88">
        <w:rPr>
          <w:rFonts w:hint="default"/>
        </w:rPr>
        <w:t xml:space="preserve"> do siedm</w:t>
      </w:r>
      <w:r w:rsidR="00B228B3">
        <w:t>i</w:t>
      </w:r>
      <w:r w:rsidRPr="001D7C88">
        <w:rPr>
          <w:rFonts w:hint="default"/>
        </w:rPr>
        <w:t>ch pracovný</w:t>
      </w:r>
      <w:r w:rsidRPr="001D7C88">
        <w:rPr>
          <w:rFonts w:hint="default"/>
        </w:rPr>
        <w:t>ch dní</w:t>
      </w:r>
      <w:r w:rsidRPr="001D7C88">
        <w:rPr>
          <w:rFonts w:hint="default"/>
        </w:rPr>
        <w:t>.]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Ak vá</w:t>
      </w:r>
      <w:r w:rsidRPr="001D7C88">
        <w:rPr>
          <w:rFonts w:hint="default"/>
        </w:rPr>
        <w:t>m ná</w:t>
      </w:r>
      <w:r w:rsidRPr="001D7C88">
        <w:rPr>
          <w:rFonts w:hint="default"/>
        </w:rPr>
        <w:t>hrada nebola vyplatená</w:t>
      </w:r>
      <w:r w:rsidRPr="001D7C88">
        <w:rPr>
          <w:rFonts w:hint="default"/>
        </w:rPr>
        <w:t xml:space="preserve"> v tý</w:t>
      </w:r>
      <w:r w:rsidRPr="001D7C88">
        <w:rPr>
          <w:rFonts w:hint="default"/>
        </w:rPr>
        <w:t>chto lehotá</w:t>
      </w:r>
      <w:r w:rsidRPr="001D7C88">
        <w:rPr>
          <w:rFonts w:hint="default"/>
        </w:rPr>
        <w:t>ch, mali by ste kontaktovať</w:t>
      </w:r>
      <w:r w:rsidRPr="001D7C88">
        <w:rPr>
          <w:rFonts w:hint="default"/>
        </w:rPr>
        <w:t xml:space="preserve"> systé</w:t>
      </w:r>
      <w:r w:rsidRPr="001D7C88">
        <w:rPr>
          <w:rFonts w:hint="default"/>
        </w:rPr>
        <w:t>m ochrany vkladov, keďž</w:t>
      </w:r>
      <w:r w:rsidRPr="001D7C88">
        <w:rPr>
          <w:rFonts w:hint="default"/>
        </w:rPr>
        <w:t>e po urč</w:t>
      </w:r>
      <w:r w:rsidRPr="001D7C88">
        <w:rPr>
          <w:rFonts w:hint="default"/>
        </w:rPr>
        <w:t>itej lehote môž</w:t>
      </w:r>
      <w:r w:rsidRPr="001D7C88">
        <w:rPr>
          <w:rFonts w:hint="default"/>
        </w:rPr>
        <w:t>e d</w:t>
      </w:r>
      <w:r w:rsidRPr="001D7C88">
        <w:rPr>
          <w:rFonts w:hint="default"/>
        </w:rPr>
        <w:t>ô</w:t>
      </w:r>
      <w:r w:rsidRPr="001D7C88">
        <w:rPr>
          <w:rFonts w:hint="default"/>
        </w:rPr>
        <w:t>jsť</w:t>
      </w:r>
      <w:r w:rsidRPr="001D7C88">
        <w:rPr>
          <w:rFonts w:hint="default"/>
        </w:rPr>
        <w:t xml:space="preserve"> k premlč</w:t>
      </w:r>
      <w:r w:rsidRPr="001D7C88">
        <w:rPr>
          <w:rFonts w:hint="default"/>
        </w:rPr>
        <w:t>aniu lehoty na uplatnenie ná</w:t>
      </w:r>
      <w:r w:rsidRPr="001D7C88">
        <w:rPr>
          <w:rFonts w:hint="default"/>
        </w:rPr>
        <w:t>roku na vyplatenie ná</w:t>
      </w:r>
      <w:r w:rsidRPr="001D7C88">
        <w:rPr>
          <w:rFonts w:hint="default"/>
        </w:rPr>
        <w:t>hrady. Ď</w:t>
      </w:r>
      <w:r w:rsidRPr="001D7C88">
        <w:rPr>
          <w:rFonts w:hint="default"/>
        </w:rPr>
        <w:t>alš</w:t>
      </w:r>
      <w:r w:rsidRPr="001D7C88">
        <w:rPr>
          <w:rFonts w:hint="default"/>
        </w:rPr>
        <w:t>ie informá</w:t>
      </w:r>
      <w:r w:rsidRPr="001D7C88">
        <w:rPr>
          <w:rFonts w:hint="default"/>
        </w:rPr>
        <w:t>cie mož</w:t>
      </w:r>
      <w:r w:rsidRPr="001D7C88">
        <w:rPr>
          <w:rFonts w:hint="default"/>
        </w:rPr>
        <w:t>no zí</w:t>
      </w:r>
      <w:r w:rsidRPr="001D7C88">
        <w:rPr>
          <w:rFonts w:hint="default"/>
        </w:rPr>
        <w:t>skať</w:t>
      </w:r>
      <w:r w:rsidRPr="001D7C88">
        <w:rPr>
          <w:rFonts w:hint="default"/>
        </w:rPr>
        <w:t xml:space="preserve"> na strá</w:t>
      </w:r>
      <w:r w:rsidRPr="001D7C88">
        <w:rPr>
          <w:rFonts w:hint="default"/>
        </w:rPr>
        <w:t>nke [vlož</w:t>
      </w:r>
      <w:r w:rsidRPr="001D7C88">
        <w:rPr>
          <w:rFonts w:hint="default"/>
        </w:rPr>
        <w:t>te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nú</w:t>
      </w:r>
      <w:r w:rsidRPr="001D7C88">
        <w:rPr>
          <w:rFonts w:hint="default"/>
        </w:rPr>
        <w:t xml:space="preserve"> adresu webové</w:t>
      </w:r>
      <w:r w:rsidRPr="001D7C88">
        <w:rPr>
          <w:rFonts w:hint="default"/>
        </w:rPr>
        <w:t>ho sí</w:t>
      </w:r>
      <w:r w:rsidRPr="001D7C88">
        <w:rPr>
          <w:rFonts w:hint="default"/>
        </w:rPr>
        <w:t>dla systé</w:t>
      </w:r>
      <w:r w:rsidRPr="001D7C88">
        <w:rPr>
          <w:rFonts w:hint="default"/>
        </w:rPr>
        <w:t>mu ochrany vkladov].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Iné</w:t>
      </w:r>
      <w:r w:rsidRPr="001D7C88">
        <w:rPr>
          <w:rFonts w:hint="default"/>
        </w:rPr>
        <w:t xml:space="preserve"> dô</w:t>
      </w:r>
      <w:r w:rsidRPr="001D7C88">
        <w:rPr>
          <w:rFonts w:hint="default"/>
        </w:rPr>
        <w:t>lež</w:t>
      </w:r>
      <w:r w:rsidRPr="001D7C88">
        <w:rPr>
          <w:rFonts w:hint="default"/>
        </w:rPr>
        <w:t>ité</w:t>
      </w:r>
      <w:r w:rsidRPr="001D7C88">
        <w:rPr>
          <w:rFonts w:hint="default"/>
        </w:rPr>
        <w:t xml:space="preserve"> informá</w:t>
      </w:r>
      <w:r w:rsidRPr="001D7C88">
        <w:rPr>
          <w:rFonts w:hint="default"/>
        </w:rPr>
        <w:t>cie</w:t>
      </w:r>
    </w:p>
    <w:p w:rsidR="005A0FB7" w:rsidRPr="001D7C88">
      <w:pPr>
        <w:bidi w:val="0"/>
        <w:rPr>
          <w:rFonts w:hint="default"/>
        </w:rPr>
      </w:pPr>
      <w:r w:rsidRPr="001D7C88">
        <w:rPr>
          <w:rFonts w:hint="default"/>
        </w:rPr>
        <w:t>Vo vš</w:t>
      </w:r>
      <w:r w:rsidRPr="001D7C88">
        <w:rPr>
          <w:rFonts w:hint="default"/>
        </w:rPr>
        <w:t>eobecnosti sú</w:t>
      </w:r>
      <w:r w:rsidRPr="001D7C88">
        <w:rPr>
          <w:rFonts w:hint="default"/>
        </w:rPr>
        <w:t xml:space="preserve"> vš</w:t>
      </w:r>
      <w:r w:rsidRPr="001D7C88">
        <w:rPr>
          <w:rFonts w:hint="default"/>
        </w:rPr>
        <w:t>etci retailoví</w:t>
      </w:r>
      <w:r w:rsidRPr="001D7C88">
        <w:rPr>
          <w:rFonts w:hint="default"/>
        </w:rPr>
        <w:t xml:space="preserve"> vkladatelia a podni</w:t>
      </w:r>
      <w:r w:rsidRPr="001D7C88">
        <w:rPr>
          <w:rFonts w:hint="default"/>
        </w:rPr>
        <w:t>ky kryté</w:t>
      </w:r>
      <w:r w:rsidRPr="001D7C88">
        <w:rPr>
          <w:rFonts w:hint="default"/>
        </w:rPr>
        <w:t xml:space="preserve"> systé</w:t>
      </w:r>
      <w:r w:rsidRPr="001D7C88">
        <w:rPr>
          <w:rFonts w:hint="default"/>
        </w:rPr>
        <w:t xml:space="preserve">mom ochrany vkladov. </w:t>
      </w:r>
      <w:r w:rsidR="00B228B3">
        <w:rPr>
          <w:rFonts w:hint="default"/>
        </w:rPr>
        <w:t>Odchý</w:t>
      </w:r>
      <w:r w:rsidR="00B228B3">
        <w:rPr>
          <w:rFonts w:hint="default"/>
        </w:rPr>
        <w:t>lky</w:t>
      </w:r>
      <w:r w:rsidRPr="001D7C88">
        <w:rPr>
          <w:rFonts w:hint="default"/>
        </w:rPr>
        <w:t xml:space="preserve"> tý</w:t>
      </w:r>
      <w:r w:rsidRPr="001D7C88">
        <w:rPr>
          <w:rFonts w:hint="default"/>
        </w:rPr>
        <w:t>kajú</w:t>
      </w:r>
      <w:r w:rsidRPr="001D7C88">
        <w:rPr>
          <w:rFonts w:hint="default"/>
        </w:rPr>
        <w:t>ce sa niektorý</w:t>
      </w:r>
      <w:r w:rsidRPr="001D7C88">
        <w:rPr>
          <w:rFonts w:hint="default"/>
        </w:rPr>
        <w:t>ch vkladov sú</w:t>
      </w:r>
      <w:r w:rsidRPr="001D7C88">
        <w:rPr>
          <w:rFonts w:hint="default"/>
        </w:rPr>
        <w:t xml:space="preserve"> uvedené</w:t>
      </w:r>
      <w:r w:rsidRPr="001D7C88">
        <w:rPr>
          <w:rFonts w:hint="default"/>
        </w:rPr>
        <w:t xml:space="preserve"> na adrese webové</w:t>
      </w:r>
      <w:r w:rsidRPr="001D7C88">
        <w:rPr>
          <w:rFonts w:hint="default"/>
        </w:rPr>
        <w:t>ho sí</w:t>
      </w:r>
      <w:r w:rsidRPr="001D7C88">
        <w:rPr>
          <w:rFonts w:hint="default"/>
        </w:rPr>
        <w:t>dla zodpovedné</w:t>
      </w:r>
      <w:r w:rsidRPr="001D7C88">
        <w:rPr>
          <w:rFonts w:hint="default"/>
        </w:rPr>
        <w:t>ho systé</w:t>
      </w:r>
      <w:r w:rsidRPr="001D7C88">
        <w:rPr>
          <w:rFonts w:hint="default"/>
        </w:rPr>
        <w:t>mu ochrany vkladov. Vaš</w:t>
      </w:r>
      <w:r w:rsidRPr="001D7C88">
        <w:rPr>
          <w:rFonts w:hint="default"/>
        </w:rPr>
        <w:t>a banka vá</w:t>
      </w:r>
      <w:r w:rsidRPr="001D7C88">
        <w:rPr>
          <w:rFonts w:hint="default"/>
        </w:rPr>
        <w:t>m na pož</w:t>
      </w:r>
      <w:r w:rsidRPr="001D7C88">
        <w:rPr>
          <w:rFonts w:hint="default"/>
        </w:rPr>
        <w:t>iadanie poskytne informá</w:t>
      </w:r>
      <w:r w:rsidRPr="001D7C88">
        <w:rPr>
          <w:rFonts w:hint="default"/>
        </w:rPr>
        <w:t>cie aj o tom, č</w:t>
      </w:r>
      <w:r w:rsidRPr="001D7C88">
        <w:rPr>
          <w:rFonts w:hint="default"/>
        </w:rPr>
        <w:t>i sú</w:t>
      </w:r>
      <w:r w:rsidRPr="001D7C88">
        <w:rPr>
          <w:rFonts w:hint="default"/>
        </w:rPr>
        <w:t xml:space="preserve"> niektoré</w:t>
      </w:r>
      <w:r w:rsidRPr="001D7C88">
        <w:rPr>
          <w:rFonts w:hint="default"/>
        </w:rPr>
        <w:t xml:space="preserve"> produkty kryté</w:t>
      </w:r>
      <w:r w:rsidRPr="001D7C88">
        <w:rPr>
          <w:rFonts w:hint="default"/>
        </w:rPr>
        <w:t>, alebo nie. Ak sú</w:t>
      </w:r>
      <w:r w:rsidRPr="001D7C88">
        <w:rPr>
          <w:rFonts w:hint="default"/>
        </w:rPr>
        <w:t xml:space="preserve"> </w:t>
      </w:r>
      <w:r w:rsidRPr="001D7C88">
        <w:rPr>
          <w:rFonts w:hint="default"/>
        </w:rPr>
        <w:t>vklady kryté</w:t>
      </w:r>
      <w:r w:rsidRPr="001D7C88">
        <w:rPr>
          <w:rFonts w:hint="default"/>
        </w:rPr>
        <w:t>, banka vá</w:t>
      </w:r>
      <w:r w:rsidRPr="001D7C88">
        <w:rPr>
          <w:rFonts w:hint="default"/>
        </w:rPr>
        <w:t>m to potvrdí</w:t>
      </w:r>
      <w:r w:rsidRPr="001D7C88">
        <w:rPr>
          <w:rFonts w:hint="default"/>
        </w:rPr>
        <w:t xml:space="preserve"> aj na vý</w:t>
      </w:r>
      <w:r w:rsidRPr="001D7C88">
        <w:rPr>
          <w:rFonts w:hint="default"/>
        </w:rPr>
        <w:t>pise z úč</w:t>
      </w:r>
      <w:r w:rsidRPr="001D7C88">
        <w:rPr>
          <w:rFonts w:hint="default"/>
        </w:rPr>
        <w:t>tu.“.</w:t>
      </w: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jc w:val="both"/>
        <w:rPr>
          <w:i/>
          <w:iCs/>
        </w:rPr>
      </w:pPr>
    </w:p>
    <w:p w:rsidR="005A0FB7" w:rsidRPr="001D7C88">
      <w:pPr>
        <w:bidi w:val="0"/>
        <w:jc w:val="center"/>
        <w:rPr>
          <w:rFonts w:hint="default"/>
          <w:b/>
          <w:bCs/>
        </w:rPr>
      </w:pPr>
      <w:r w:rsidRPr="001D7C88">
        <w:rPr>
          <w:rFonts w:hint="default"/>
          <w:b/>
          <w:bCs/>
        </w:rPr>
        <w:t>Č</w:t>
      </w:r>
      <w:r w:rsidRPr="001D7C88">
        <w:rPr>
          <w:rFonts w:hint="default"/>
          <w:b/>
          <w:bCs/>
        </w:rPr>
        <w:t>l. II</w:t>
      </w:r>
    </w:p>
    <w:p w:rsidR="005A0FB7" w:rsidRPr="001D7C88">
      <w:pPr>
        <w:bidi w:val="0"/>
        <w:jc w:val="center"/>
        <w:rPr>
          <w:rFonts w:hint="default"/>
          <w:b/>
          <w:bCs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Zá</w:t>
      </w:r>
      <w:r w:rsidRPr="001D7C88">
        <w:rPr>
          <w:rFonts w:hint="default"/>
        </w:rPr>
        <w:t>kon č</w:t>
      </w:r>
      <w:r w:rsidRPr="001D7C88">
        <w:rPr>
          <w:rFonts w:hint="default"/>
        </w:rPr>
        <w:t>. 40/1964 Zb. Obč</w:t>
      </w:r>
      <w:r w:rsidRPr="001D7C88">
        <w:rPr>
          <w:rFonts w:hint="default"/>
        </w:rPr>
        <w:t>iansky zá</w:t>
      </w:r>
      <w:r w:rsidRPr="001D7C88">
        <w:rPr>
          <w:rFonts w:hint="default"/>
        </w:rPr>
        <w:t>konní</w:t>
      </w:r>
      <w:r w:rsidRPr="001D7C88">
        <w:rPr>
          <w:rFonts w:hint="default"/>
        </w:rPr>
        <w:t>k v znení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35/1965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58/1969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131/1982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94/1988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188/1988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 xml:space="preserve">. 87/1990 Zb., </w:t>
      </w:r>
      <w:r w:rsidRPr="001D7C88">
        <w:rPr>
          <w:rFonts w:hint="default"/>
        </w:rPr>
        <w:t>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105/1990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116/1990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87/1991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509/1991 Zb.,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264/1992 Zb., zá</w:t>
      </w:r>
      <w:r w:rsidRPr="001D7C88">
        <w:rPr>
          <w:rFonts w:hint="default"/>
        </w:rPr>
        <w:t xml:space="preserve">kona </w:t>
      </w:r>
      <w:r w:rsidR="00024735">
        <w:rPr>
          <w:rFonts w:hint="default"/>
        </w:rPr>
        <w:t>Ná</w:t>
      </w:r>
      <w:r w:rsidR="00024735">
        <w:rPr>
          <w:rFonts w:hint="default"/>
        </w:rPr>
        <w:t xml:space="preserve">rodnej rady Slovenskej republiky </w:t>
      </w:r>
      <w:r w:rsidRPr="001D7C88">
        <w:rPr>
          <w:rFonts w:hint="default"/>
        </w:rPr>
        <w:t>č</w:t>
      </w:r>
      <w:r w:rsidRPr="001D7C88">
        <w:rPr>
          <w:rFonts w:hint="default"/>
        </w:rPr>
        <w:t>. 278/1993 Z. z., zá</w:t>
      </w:r>
      <w:r w:rsidRPr="001D7C88">
        <w:rPr>
          <w:rFonts w:hint="default"/>
        </w:rPr>
        <w:t xml:space="preserve">kona </w:t>
      </w:r>
      <w:r w:rsidR="00024735">
        <w:rPr>
          <w:rFonts w:hint="default"/>
        </w:rPr>
        <w:t>Ná</w:t>
      </w:r>
      <w:r w:rsidR="00024735">
        <w:rPr>
          <w:rFonts w:hint="default"/>
        </w:rPr>
        <w:t xml:space="preserve">rodnej rady Slovenskej republiky </w:t>
      </w:r>
      <w:r w:rsidRPr="001D7C88">
        <w:rPr>
          <w:rFonts w:hint="default"/>
        </w:rPr>
        <w:t>č</w:t>
      </w:r>
      <w:r w:rsidRPr="001D7C88">
        <w:rPr>
          <w:rFonts w:hint="default"/>
        </w:rPr>
        <w:t>. 249/1994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153/1</w:t>
      </w:r>
      <w:r w:rsidRPr="001D7C88">
        <w:rPr>
          <w:rFonts w:hint="default"/>
        </w:rPr>
        <w:t>997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211/1997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252/1999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218/2000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261/2001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281/2001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23/2002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34/2002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95/2002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184/2002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215</w:t>
      </w:r>
      <w:r w:rsidRPr="001D7C88">
        <w:rPr>
          <w:rFonts w:hint="default"/>
        </w:rPr>
        <w:t>/</w:t>
      </w:r>
      <w:r w:rsidRPr="001D7C88">
        <w:rPr>
          <w:rFonts w:hint="default"/>
        </w:rPr>
        <w:t>2002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526/2002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504/2003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515/2003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150/2004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404/2004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635/2004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171/2005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266/2005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336/2005 Z. z., zá</w:t>
      </w:r>
      <w:r w:rsidRPr="001D7C88">
        <w:rPr>
          <w:rFonts w:hint="default"/>
        </w:rPr>
        <w:t>kona č.</w:t>
      </w:r>
      <w:r w:rsidRPr="001D7C88">
        <w:rPr>
          <w:rFonts w:hint="default"/>
        </w:rPr>
        <w:t xml:space="preserve"> </w:t>
      </w:r>
      <w:r w:rsidRPr="001D7C88">
        <w:rPr>
          <w:rFonts w:hint="default"/>
        </w:rPr>
        <w:t>118/2006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188/2006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84/2007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335/2007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568/2007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214/2008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379/2008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477/2008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186/2009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575/2009 Z. z., zá</w:t>
      </w:r>
      <w:r w:rsidRPr="001D7C88">
        <w:rPr>
          <w:rFonts w:hint="default"/>
        </w:rPr>
        <w:t>kona</w:t>
      </w:r>
      <w:r w:rsidRPr="001D7C88">
        <w:rPr>
          <w:rFonts w:hint="default"/>
        </w:rPr>
        <w:t xml:space="preserve"> </w:t>
      </w:r>
      <w:r w:rsidRPr="001D7C88">
        <w:rPr>
          <w:rFonts w:hint="default"/>
        </w:rPr>
        <w:t>č</w:t>
      </w:r>
      <w:r w:rsidRPr="001D7C88">
        <w:rPr>
          <w:rFonts w:hint="default"/>
        </w:rPr>
        <w:t>. 129/2010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546/2010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130/2011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161/2011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69/2012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180/2013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102/2014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106/2014 Z. z.,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335/2014 Z. z. a zá</w:t>
      </w:r>
      <w:r w:rsidRPr="001D7C88">
        <w:rPr>
          <w:rFonts w:hint="default"/>
        </w:rPr>
        <w:t>kona č</w:t>
      </w:r>
      <w:r w:rsidRPr="001D7C88">
        <w:rPr>
          <w:rFonts w:hint="default"/>
        </w:rPr>
        <w:t>. 39/2015 Z. z. sa d</w:t>
      </w:r>
      <w:r w:rsidRPr="001D7C88">
        <w:rPr>
          <w:rFonts w:hint="default"/>
        </w:rPr>
        <w:t>o</w:t>
      </w:r>
      <w:r w:rsidRPr="001D7C88">
        <w:rPr>
          <w:rFonts w:hint="default"/>
        </w:rPr>
        <w:t>pĺň</w:t>
      </w:r>
      <w:r w:rsidRPr="001D7C88">
        <w:rPr>
          <w:rFonts w:hint="default"/>
        </w:rPr>
        <w:t xml:space="preserve">a takto: </w:t>
      </w:r>
    </w:p>
    <w:p w:rsidR="005A0FB7" w:rsidRPr="001D7C88">
      <w:pPr>
        <w:bidi w:val="0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§</w:t>
      </w:r>
      <w:r w:rsidRPr="001D7C88">
        <w:rPr>
          <w:rFonts w:hint="default"/>
        </w:rPr>
        <w:t xml:space="preserve"> 786 sa dopĺň</w:t>
      </w:r>
      <w:r w:rsidRPr="001D7C88">
        <w:rPr>
          <w:rFonts w:hint="default"/>
        </w:rPr>
        <w:t>a odsekmi 3 a 4, ktoré</w:t>
      </w:r>
      <w:r w:rsidRPr="001D7C88">
        <w:rPr>
          <w:rFonts w:hint="default"/>
        </w:rPr>
        <w:t xml:space="preserve"> znejú</w:t>
      </w:r>
      <w:r w:rsidRPr="001D7C88">
        <w:rPr>
          <w:rFonts w:hint="default"/>
        </w:rPr>
        <w:t xml:space="preserve">: 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>(3) Listinný</w:t>
      </w:r>
      <w:r w:rsidRPr="001D7C88">
        <w:rPr>
          <w:rFonts w:hint="default"/>
        </w:rPr>
        <w:t xml:space="preserve"> vkladový</w:t>
      </w:r>
      <w:r w:rsidRPr="001D7C88">
        <w:rPr>
          <w:rFonts w:hint="default"/>
        </w:rPr>
        <w:t xml:space="preserve"> list môž</w:t>
      </w:r>
      <w:r w:rsidRPr="001D7C88">
        <w:rPr>
          <w:rFonts w:hint="default"/>
        </w:rPr>
        <w:t>e mať</w:t>
      </w:r>
      <w:r w:rsidRPr="001D7C88">
        <w:rPr>
          <w:rFonts w:hint="default"/>
        </w:rPr>
        <w:t xml:space="preserve"> len formu cenn</w:t>
      </w:r>
      <w:r w:rsidR="00024735">
        <w:rPr>
          <w:rFonts w:hint="default"/>
        </w:rPr>
        <w:t>é</w:t>
      </w:r>
      <w:r w:rsidR="00024735">
        <w:rPr>
          <w:rFonts w:hint="default"/>
        </w:rPr>
        <w:t>ho</w:t>
      </w:r>
      <w:r w:rsidRPr="001D7C88">
        <w:t xml:space="preserve"> papier</w:t>
      </w:r>
      <w:r w:rsidR="00024735">
        <w:t>a</w:t>
      </w:r>
      <w:r w:rsidRPr="001D7C88">
        <w:rPr>
          <w:rFonts w:hint="default"/>
        </w:rPr>
        <w:t xml:space="preserve"> na meno. Na ná</w:t>
      </w:r>
      <w:r w:rsidRPr="001D7C88">
        <w:rPr>
          <w:rFonts w:hint="default"/>
        </w:rPr>
        <w:t>lež</w:t>
      </w:r>
      <w:r w:rsidRPr="001D7C88">
        <w:rPr>
          <w:rFonts w:hint="default"/>
        </w:rPr>
        <w:t>itosti vkladový</w:t>
      </w:r>
      <w:r w:rsidRPr="001D7C88">
        <w:rPr>
          <w:rFonts w:hint="default"/>
        </w:rPr>
        <w:t>ch listov sa vzť</w:t>
      </w:r>
      <w:r w:rsidRPr="001D7C88">
        <w:rPr>
          <w:rFonts w:hint="default"/>
        </w:rPr>
        <w:t>ahujú</w:t>
      </w:r>
      <w:r w:rsidRPr="001D7C88">
        <w:rPr>
          <w:rFonts w:hint="default"/>
        </w:rPr>
        <w:t xml:space="preserve"> vš</w:t>
      </w:r>
      <w:r w:rsidRPr="001D7C88">
        <w:rPr>
          <w:rFonts w:hint="default"/>
        </w:rPr>
        <w:t>eobecné</w:t>
      </w:r>
      <w:r w:rsidRPr="001D7C88">
        <w:rPr>
          <w:rFonts w:hint="default"/>
        </w:rPr>
        <w:t xml:space="preserve"> ustanovenia o ná</w:t>
      </w:r>
      <w:r w:rsidRPr="001D7C88">
        <w:rPr>
          <w:rFonts w:hint="default"/>
        </w:rPr>
        <w:t>lež</w:t>
      </w:r>
      <w:r w:rsidRPr="001D7C88">
        <w:rPr>
          <w:rFonts w:hint="default"/>
        </w:rPr>
        <w:t>itostiach cenný</w:t>
      </w:r>
      <w:r w:rsidRPr="001D7C88">
        <w:rPr>
          <w:rFonts w:hint="default"/>
        </w:rPr>
        <w:t xml:space="preserve">ch papierov a primerane ustanovenia </w:t>
      </w:r>
      <w:r w:rsidRPr="001D7C88">
        <w:rPr>
          <w:rFonts w:hint="default"/>
        </w:rPr>
        <w:t>osobitné</w:t>
      </w:r>
      <w:r w:rsidRPr="001D7C88">
        <w:rPr>
          <w:rFonts w:hint="default"/>
        </w:rPr>
        <w:t>ho zá</w:t>
      </w:r>
      <w:r w:rsidRPr="001D7C88">
        <w:rPr>
          <w:rFonts w:hint="default"/>
        </w:rPr>
        <w:t>kona o ná</w:t>
      </w:r>
      <w:r w:rsidRPr="001D7C88">
        <w:rPr>
          <w:rFonts w:hint="default"/>
        </w:rPr>
        <w:t>lež</w:t>
      </w:r>
      <w:r w:rsidRPr="001D7C88">
        <w:rPr>
          <w:rFonts w:hint="default"/>
        </w:rPr>
        <w:t>itostiach dlhopisov; ná</w:t>
      </w:r>
      <w:r w:rsidRPr="001D7C88">
        <w:rPr>
          <w:rFonts w:hint="default"/>
        </w:rPr>
        <w:t>lež</w:t>
      </w:r>
      <w:r w:rsidRPr="001D7C88">
        <w:rPr>
          <w:rFonts w:hint="default"/>
        </w:rPr>
        <w:t>itosť</w:t>
      </w:r>
      <w:r w:rsidRPr="001D7C88">
        <w:rPr>
          <w:rFonts w:hint="default"/>
        </w:rPr>
        <w:t>ou vkladové</w:t>
      </w:r>
      <w:r w:rsidRPr="001D7C88">
        <w:rPr>
          <w:rFonts w:hint="default"/>
        </w:rPr>
        <w:t>ho listu je aj zá</w:t>
      </w:r>
      <w:r w:rsidRPr="001D7C88">
        <w:rPr>
          <w:rFonts w:hint="default"/>
        </w:rPr>
        <w:t>vä</w:t>
      </w:r>
      <w:r w:rsidRPr="001D7C88">
        <w:rPr>
          <w:rFonts w:hint="default"/>
        </w:rPr>
        <w:t>zok peň</w:t>
      </w:r>
      <w:r w:rsidRPr="001D7C88">
        <w:rPr>
          <w:rFonts w:hint="default"/>
        </w:rPr>
        <w:t>až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ú</w:t>
      </w:r>
      <w:r w:rsidRPr="001D7C88">
        <w:rPr>
          <w:rFonts w:hint="default"/>
        </w:rPr>
        <w:t>stavu ako emitenta vyplá</w:t>
      </w:r>
      <w:r w:rsidRPr="001D7C88">
        <w:rPr>
          <w:rFonts w:hint="default"/>
        </w:rPr>
        <w:t>cať</w:t>
      </w:r>
      <w:r w:rsidRPr="001D7C88">
        <w:rPr>
          <w:rFonts w:hint="default"/>
        </w:rPr>
        <w:t xml:space="preserve"> dohodnuté</w:t>
      </w:r>
      <w:r w:rsidRPr="001D7C88">
        <w:rPr>
          <w:rFonts w:hint="default"/>
        </w:rPr>
        <w:t xml:space="preserve"> vý</w:t>
      </w:r>
      <w:r w:rsidRPr="001D7C88">
        <w:rPr>
          <w:rFonts w:hint="default"/>
        </w:rPr>
        <w:t>nosy v </w:t>
      </w:r>
      <w:r w:rsidRPr="001D7C88">
        <w:rPr>
          <w:rFonts w:hint="default"/>
        </w:rPr>
        <w:t>urč</w:t>
      </w:r>
      <w:r w:rsidRPr="001D7C88">
        <w:rPr>
          <w:rFonts w:hint="default"/>
        </w:rPr>
        <w:t>ený</w:t>
      </w:r>
      <w:r w:rsidRPr="001D7C88">
        <w:rPr>
          <w:rFonts w:hint="default"/>
        </w:rPr>
        <w:t>ch termí</w:t>
      </w:r>
      <w:r w:rsidRPr="001D7C88">
        <w:rPr>
          <w:rFonts w:hint="default"/>
        </w:rPr>
        <w:t>noch, spô</w:t>
      </w:r>
      <w:r w:rsidRPr="001D7C88">
        <w:rPr>
          <w:rFonts w:hint="default"/>
        </w:rPr>
        <w:t>sob tý</w:t>
      </w:r>
      <w:r w:rsidRPr="001D7C88">
        <w:rPr>
          <w:rFonts w:hint="default"/>
        </w:rPr>
        <w:t>chto vý</w:t>
      </w:r>
      <w:r w:rsidRPr="001D7C88">
        <w:rPr>
          <w:rFonts w:hint="default"/>
        </w:rPr>
        <w:t>plat a urč</w:t>
      </w:r>
      <w:r w:rsidRPr="001D7C88">
        <w:rPr>
          <w:rFonts w:hint="default"/>
        </w:rPr>
        <w:t>enie platobné</w:t>
      </w:r>
      <w:r w:rsidRPr="001D7C88">
        <w:rPr>
          <w:rFonts w:hint="default"/>
        </w:rPr>
        <w:t xml:space="preserve">ho miesta. 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(4) Vkladový</w:t>
      </w:r>
      <w:r w:rsidRPr="001D7C88">
        <w:rPr>
          <w:rFonts w:hint="default"/>
        </w:rPr>
        <w:t xml:space="preserve"> list na meno je prevodi</w:t>
      </w:r>
      <w:r w:rsidRPr="001D7C88">
        <w:rPr>
          <w:rFonts w:hint="default"/>
        </w:rPr>
        <w:t>teľ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rubopisom, </w:t>
      </w:r>
      <w:r w:rsidR="00024735">
        <w:t>ak</w:t>
      </w:r>
      <w:r w:rsidRPr="001D7C88">
        <w:rPr>
          <w:rFonts w:hint="default"/>
        </w:rPr>
        <w:t xml:space="preserve"> peň</w:t>
      </w:r>
      <w:r w:rsidRPr="001D7C88">
        <w:rPr>
          <w:rFonts w:hint="default"/>
        </w:rPr>
        <w:t>až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stav ako emitent vý</w:t>
      </w:r>
      <w:r w:rsidRPr="001D7C88">
        <w:rPr>
          <w:rFonts w:hint="default"/>
        </w:rPr>
        <w:t>slovne v texte vkladové</w:t>
      </w:r>
      <w:r w:rsidRPr="001D7C88">
        <w:rPr>
          <w:rFonts w:hint="default"/>
        </w:rPr>
        <w:t>ho listu neuviedol, ž</w:t>
      </w:r>
      <w:r w:rsidRPr="001D7C88">
        <w:rPr>
          <w:rFonts w:hint="default"/>
        </w:rPr>
        <w:t>e je neprevoditeľ</w:t>
      </w:r>
      <w:r w:rsidRPr="001D7C88">
        <w:rPr>
          <w:rFonts w:hint="default"/>
        </w:rPr>
        <w:t>ný</w:t>
      </w:r>
      <w:r w:rsidRPr="001D7C88">
        <w:rPr>
          <w:rFonts w:hint="default"/>
        </w:rPr>
        <w:t>. Pri neprevoditeľ</w:t>
      </w:r>
      <w:r w:rsidRPr="001D7C88">
        <w:rPr>
          <w:rFonts w:hint="default"/>
        </w:rPr>
        <w:t>nom vkladovom liste na meno sa musí</w:t>
      </w:r>
      <w:r w:rsidRPr="001D7C88">
        <w:rPr>
          <w:rFonts w:hint="default"/>
        </w:rPr>
        <w:t xml:space="preserve"> v texte vkladové</w:t>
      </w:r>
      <w:r w:rsidRPr="001D7C88">
        <w:rPr>
          <w:rFonts w:hint="default"/>
        </w:rPr>
        <w:t>ho listu v emisný</w:t>
      </w:r>
      <w:r w:rsidRPr="001D7C88">
        <w:rPr>
          <w:rFonts w:hint="default"/>
        </w:rPr>
        <w:t>ch podmienkach uviesť</w:t>
      </w:r>
      <w:r w:rsidRPr="001D7C88">
        <w:rPr>
          <w:rFonts w:hint="default"/>
        </w:rPr>
        <w:t>, ako bude emitent postupovať</w:t>
      </w:r>
      <w:r w:rsidRPr="001D7C88">
        <w:rPr>
          <w:rFonts w:hint="default"/>
        </w:rPr>
        <w:t xml:space="preserve"> </w:t>
      </w:r>
      <w:r w:rsidR="00024735">
        <w:rPr>
          <w:rFonts w:hint="default"/>
        </w:rPr>
        <w:t>pri ú</w:t>
      </w:r>
      <w:r w:rsidR="00024735">
        <w:rPr>
          <w:rFonts w:hint="default"/>
        </w:rPr>
        <w:t>mr</w:t>
      </w:r>
      <w:r w:rsidR="00024735">
        <w:rPr>
          <w:rFonts w:hint="default"/>
        </w:rPr>
        <w:t>tí</w:t>
      </w:r>
      <w:r w:rsidRPr="001D7C88">
        <w:rPr>
          <w:rFonts w:hint="default"/>
        </w:rPr>
        <w:t xml:space="preserve"> ich majiteľ</w:t>
      </w:r>
      <w:r w:rsidRPr="001D7C88">
        <w:rPr>
          <w:rFonts w:hint="default"/>
        </w:rPr>
        <w:t>a. Ak sa peň</w:t>
      </w:r>
      <w:r w:rsidRPr="001D7C88">
        <w:rPr>
          <w:rFonts w:hint="default"/>
        </w:rPr>
        <w:t>až</w:t>
      </w:r>
      <w:r w:rsidRPr="001D7C88">
        <w:rPr>
          <w:rFonts w:hint="default"/>
        </w:rPr>
        <w:t>ný</w:t>
      </w:r>
      <w:r w:rsidRPr="001D7C88">
        <w:rPr>
          <w:rFonts w:hint="default"/>
        </w:rPr>
        <w:t xml:space="preserve"> ú</w:t>
      </w:r>
      <w:r w:rsidRPr="001D7C88">
        <w:rPr>
          <w:rFonts w:hint="default"/>
        </w:rPr>
        <w:t>stav ako emitent zavä</w:t>
      </w:r>
      <w:r w:rsidRPr="001D7C88">
        <w:rPr>
          <w:rFonts w:hint="default"/>
        </w:rPr>
        <w:t>zuje na odkú</w:t>
      </w:r>
      <w:r w:rsidRPr="001D7C88">
        <w:rPr>
          <w:rFonts w:hint="default"/>
        </w:rPr>
        <w:t>penie neprevoditeľ</w:t>
      </w:r>
      <w:r w:rsidRPr="001D7C88">
        <w:rPr>
          <w:rFonts w:hint="default"/>
        </w:rPr>
        <w:t>né</w:t>
      </w:r>
      <w:r w:rsidRPr="001D7C88">
        <w:rPr>
          <w:rFonts w:hint="default"/>
        </w:rPr>
        <w:t>ho vkladové</w:t>
      </w:r>
      <w:r w:rsidRPr="001D7C88">
        <w:rPr>
          <w:rFonts w:hint="default"/>
        </w:rPr>
        <w:t>ho listu na meno pred uplynutí</w:t>
      </w:r>
      <w:r w:rsidRPr="001D7C88">
        <w:rPr>
          <w:rFonts w:hint="default"/>
        </w:rPr>
        <w:t>m doby jeho splatnosti, je povinný</w:t>
      </w:r>
      <w:r w:rsidRPr="001D7C88">
        <w:rPr>
          <w:rFonts w:hint="default"/>
        </w:rPr>
        <w:t xml:space="preserve"> podmienky tohto odkú</w:t>
      </w:r>
      <w:r w:rsidRPr="001D7C88">
        <w:rPr>
          <w:rFonts w:hint="default"/>
        </w:rPr>
        <w:t>penia uviesť</w:t>
      </w:r>
      <w:r w:rsidRPr="001D7C88">
        <w:rPr>
          <w:rFonts w:hint="default"/>
        </w:rPr>
        <w:t xml:space="preserve"> v emisný</w:t>
      </w:r>
      <w:r w:rsidRPr="001D7C88">
        <w:rPr>
          <w:rFonts w:hint="default"/>
        </w:rPr>
        <w:t>ch podmienkach.“.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pStyle w:val="Heading1"/>
        <w:bidi w:val="0"/>
        <w:rPr>
          <w:rFonts w:hint="default"/>
        </w:rPr>
      </w:pPr>
      <w:r w:rsidRPr="001D7C88">
        <w:rPr>
          <w:rFonts w:hint="default"/>
        </w:rPr>
        <w:t>Č</w:t>
      </w:r>
      <w:r w:rsidRPr="001D7C88">
        <w:rPr>
          <w:rFonts w:hint="default"/>
        </w:rPr>
        <w:t>l. III</w:t>
      </w:r>
    </w:p>
    <w:p w:rsidR="005A0FB7" w:rsidRPr="001D7C88">
      <w:pPr>
        <w:bidi w:val="0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Zá</w:t>
      </w:r>
      <w:r w:rsidRPr="001D7C88">
        <w:rPr>
          <w:rFonts w:hint="default"/>
        </w:rPr>
        <w:t>kon č. </w:t>
      </w:r>
      <w:r w:rsidRPr="001D7C88">
        <w:rPr>
          <w:rFonts w:hint="default"/>
        </w:rPr>
        <w:t>371/2014 Z. z. o</w:t>
      </w:r>
      <w:r w:rsidRPr="001D7C88">
        <w:rPr>
          <w:rFonts w:hint="default"/>
        </w:rPr>
        <w:t xml:space="preserve"> rieš</w:t>
      </w:r>
      <w:r w:rsidRPr="001D7C88">
        <w:rPr>
          <w:rFonts w:hint="default"/>
        </w:rPr>
        <w:t>ení</w:t>
      </w:r>
      <w:r w:rsidRPr="001D7C88">
        <w:rPr>
          <w:rFonts w:hint="default"/>
        </w:rPr>
        <w:t xml:space="preserve"> krí</w:t>
      </w:r>
      <w:r w:rsidRPr="001D7C88">
        <w:rPr>
          <w:rFonts w:hint="default"/>
        </w:rPr>
        <w:t>zový</w:t>
      </w:r>
      <w:r w:rsidRPr="001D7C88">
        <w:rPr>
          <w:rFonts w:hint="default"/>
        </w:rPr>
        <w:t>ch situá</w:t>
      </w:r>
      <w:r w:rsidRPr="001D7C88">
        <w:rPr>
          <w:rFonts w:hint="default"/>
        </w:rPr>
        <w:t>cií</w:t>
      </w:r>
      <w:r w:rsidRPr="001D7C88">
        <w:rPr>
          <w:rFonts w:hint="default"/>
        </w:rPr>
        <w:t xml:space="preserve"> na finanč</w:t>
      </w:r>
      <w:r w:rsidRPr="001D7C88">
        <w:rPr>
          <w:rFonts w:hint="default"/>
        </w:rPr>
        <w:t>nom trhu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 v znení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kona č. </w:t>
      </w:r>
      <w:r w:rsidRPr="001D7C88">
        <w:rPr>
          <w:rFonts w:hint="default"/>
        </w:rPr>
        <w:t>39/2015 Z. </w:t>
      </w:r>
      <w:r w:rsidRPr="001D7C88">
        <w:rPr>
          <w:rFonts w:hint="default"/>
        </w:rPr>
        <w:t>z. sa mení</w:t>
      </w:r>
      <w:r w:rsidRPr="001D7C88">
        <w:rPr>
          <w:rFonts w:hint="default"/>
        </w:rPr>
        <w:t xml:space="preserve"> a dopĺň</w:t>
      </w:r>
      <w:r w:rsidRPr="001D7C88">
        <w:rPr>
          <w:rFonts w:hint="default"/>
        </w:rPr>
        <w:t>a takto:</w:t>
      </w:r>
    </w:p>
    <w:p w:rsidR="005A0FB7" w:rsidRPr="001D7C88">
      <w:pPr>
        <w:bidi w:val="0"/>
        <w:jc w:val="both"/>
      </w:pPr>
    </w:p>
    <w:p w:rsidR="005A0FB7" w:rsidRPr="001D7C88">
      <w:pPr>
        <w:bidi w:val="0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1. V §</w:t>
      </w:r>
      <w:r w:rsidRPr="001D7C88">
        <w:rPr>
          <w:rFonts w:hint="default"/>
        </w:rPr>
        <w:t xml:space="preserve"> 33 ods. 1 pí</w:t>
      </w:r>
      <w:r w:rsidRPr="001D7C88">
        <w:rPr>
          <w:rFonts w:hint="default"/>
        </w:rPr>
        <w:t>sm. g) sa za slovo „</w:t>
      </w:r>
      <w:r w:rsidRPr="001D7C88">
        <w:rPr>
          <w:rFonts w:hint="default"/>
        </w:rPr>
        <w:t>ochrana“</w:t>
      </w:r>
      <w:r w:rsidRPr="001D7C88">
        <w:rPr>
          <w:rFonts w:hint="default"/>
        </w:rPr>
        <w:t xml:space="preserve"> vkladá</w:t>
      </w:r>
      <w:r w:rsidRPr="001D7C88">
        <w:rPr>
          <w:rFonts w:hint="default"/>
        </w:rPr>
        <w:t xml:space="preserve"> slovo „</w:t>
      </w:r>
      <w:r w:rsidRPr="001D7C88">
        <w:rPr>
          <w:rFonts w:hint="default"/>
        </w:rPr>
        <w:t>krytý</w:t>
      </w:r>
      <w:r w:rsidRPr="001D7C88">
        <w:rPr>
          <w:rFonts w:hint="default"/>
        </w:rPr>
        <w:t>ch“</w:t>
      </w:r>
      <w:r w:rsidRPr="001D7C88">
        <w:rPr>
          <w:rFonts w:hint="default"/>
        </w:rPr>
        <w:t xml:space="preserve">. </w:t>
      </w:r>
    </w:p>
    <w:p w:rsidR="005A0FB7" w:rsidRPr="001D7C88">
      <w:pPr>
        <w:bidi w:val="0"/>
        <w:jc w:val="both"/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2. V §</w:t>
      </w:r>
      <w:r w:rsidRPr="001D7C88">
        <w:rPr>
          <w:rFonts w:hint="default"/>
        </w:rPr>
        <w:t xml:space="preserve"> 59 ods. 1 pí</w:t>
      </w:r>
      <w:r w:rsidRPr="001D7C88">
        <w:rPr>
          <w:rFonts w:hint="default"/>
        </w:rPr>
        <w:t>smeno a) znie:</w:t>
      </w:r>
    </w:p>
    <w:p w:rsidR="005A0FB7" w:rsidRPr="001D7C88">
      <w:pPr>
        <w:bidi w:val="0"/>
        <w:jc w:val="both"/>
        <w:rPr>
          <w:rFonts w:hint="default"/>
        </w:rPr>
      </w:pPr>
      <w:r w:rsidRPr="001D7C88">
        <w:rPr>
          <w:rFonts w:hint="default"/>
        </w:rPr>
        <w:t>„</w:t>
      </w:r>
      <w:r w:rsidRPr="001D7C88">
        <w:rPr>
          <w:rFonts w:hint="default"/>
        </w:rPr>
        <w:t xml:space="preserve">a) </w:t>
      </w:r>
      <w:r w:rsidRPr="001D7C88">
        <w:rPr>
          <w:rFonts w:hint="default"/>
        </w:rPr>
        <w:t>kryté</w:t>
      </w:r>
      <w:r w:rsidRPr="001D7C88">
        <w:rPr>
          <w:rFonts w:hint="default"/>
        </w:rPr>
        <w:t xml:space="preserve"> vklady podľ</w:t>
      </w:r>
      <w:r w:rsidRPr="001D7C88">
        <w:rPr>
          <w:rFonts w:hint="default"/>
        </w:rPr>
        <w:t>a osobitné</w:t>
      </w:r>
      <w:r w:rsidRPr="001D7C88">
        <w:rPr>
          <w:rFonts w:hint="default"/>
        </w:rPr>
        <w:t>ho predpisu</w:t>
      </w:r>
      <w:r w:rsidR="0073736B">
        <w:t>,</w:t>
      </w:r>
      <w:r w:rsidRPr="001D7C88">
        <w:rPr>
          <w:vertAlign w:val="superscript"/>
        </w:rPr>
        <w:t>1</w:t>
      </w:r>
      <w:r w:rsidRPr="001D7C88">
        <w:rPr>
          <w:rFonts w:hint="default"/>
        </w:rPr>
        <w:t>)“.</w:t>
      </w:r>
    </w:p>
    <w:p w:rsidR="005A0FB7" w:rsidRPr="001D7C88">
      <w:pPr>
        <w:bidi w:val="0"/>
        <w:jc w:val="both"/>
        <w:rPr>
          <w:rFonts w:hint="default"/>
        </w:rPr>
      </w:pPr>
    </w:p>
    <w:p w:rsidR="005A0FB7" w:rsidRPr="001D7C88">
      <w:pPr>
        <w:bidi w:val="0"/>
        <w:ind w:firstLine="708"/>
        <w:jc w:val="both"/>
        <w:rPr>
          <w:rFonts w:hint="default"/>
        </w:rPr>
      </w:pPr>
      <w:r w:rsidRPr="001D7C88">
        <w:rPr>
          <w:rFonts w:hint="default"/>
        </w:rPr>
        <w:t>3. V §</w:t>
      </w:r>
      <w:r w:rsidRPr="001D7C88">
        <w:rPr>
          <w:rFonts w:hint="default"/>
        </w:rPr>
        <w:t xml:space="preserve"> 59 ods. 9 pí</w:t>
      </w:r>
      <w:r w:rsidRPr="001D7C88">
        <w:rPr>
          <w:rFonts w:hint="default"/>
        </w:rPr>
        <w:t>sm. b), §</w:t>
      </w:r>
      <w:r w:rsidRPr="001D7C88">
        <w:rPr>
          <w:rFonts w:hint="default"/>
        </w:rPr>
        <w:t xml:space="preserve"> 80 ods. 2, §</w:t>
      </w:r>
      <w:r w:rsidRPr="001D7C88">
        <w:rPr>
          <w:rFonts w:hint="default"/>
        </w:rPr>
        <w:t xml:space="preserve"> 81 ods. 2, §</w:t>
      </w:r>
      <w:r w:rsidRPr="001D7C88">
        <w:rPr>
          <w:rFonts w:hint="default"/>
        </w:rPr>
        <w:t xml:space="preserve"> 82 ods. 2</w:t>
      </w:r>
      <w:r w:rsidR="00024735">
        <w:t xml:space="preserve"> a</w:t>
      </w:r>
      <w:r w:rsidRPr="001D7C88">
        <w:rPr>
          <w:rFonts w:hint="default"/>
        </w:rPr>
        <w:t xml:space="preserve"> §</w:t>
      </w:r>
      <w:r w:rsidRPr="001D7C88">
        <w:rPr>
          <w:rFonts w:hint="default"/>
        </w:rPr>
        <w:t xml:space="preserve"> 89 ods. 2 a 4 sa slová</w:t>
      </w:r>
      <w:r w:rsidRPr="001D7C88">
        <w:rPr>
          <w:rFonts w:hint="default"/>
        </w:rPr>
        <w:t xml:space="preserve"> „</w:t>
      </w:r>
      <w:r w:rsidRPr="001D7C88">
        <w:rPr>
          <w:rFonts w:hint="default"/>
        </w:rPr>
        <w:t>chrá</w:t>
      </w:r>
      <w:r w:rsidRPr="001D7C88">
        <w:rPr>
          <w:rFonts w:hint="default"/>
        </w:rPr>
        <w:t>nený</w:t>
      </w:r>
      <w:r w:rsidRPr="001D7C88">
        <w:rPr>
          <w:rFonts w:hint="default"/>
        </w:rPr>
        <w:t xml:space="preserve"> vklad“</w:t>
      </w:r>
      <w:r w:rsidRPr="001D7C88">
        <w:rPr>
          <w:rFonts w:hint="default"/>
        </w:rPr>
        <w:t xml:space="preserve"> a „</w:t>
      </w:r>
      <w:r w:rsidRPr="001D7C88">
        <w:rPr>
          <w:rFonts w:hint="default"/>
        </w:rPr>
        <w:t>chrá</w:t>
      </w:r>
      <w:r w:rsidRPr="001D7C88">
        <w:rPr>
          <w:rFonts w:hint="default"/>
        </w:rPr>
        <w:t>nený</w:t>
      </w:r>
      <w:r w:rsidRPr="001D7C88">
        <w:rPr>
          <w:rFonts w:hint="default"/>
        </w:rPr>
        <w:t xml:space="preserve"> vklad</w:t>
      </w:r>
      <w:r w:rsidRPr="001D7C88">
        <w:rPr>
          <w:vertAlign w:val="superscript"/>
        </w:rPr>
        <w:t>1</w:t>
      </w:r>
      <w:r w:rsidRPr="001D7C88">
        <w:rPr>
          <w:rFonts w:hint="default"/>
        </w:rPr>
        <w:t>)“</w:t>
      </w:r>
      <w:r w:rsidRPr="001D7C88">
        <w:rPr>
          <w:rFonts w:hint="default"/>
        </w:rPr>
        <w:t xml:space="preserve"> vo vš</w:t>
      </w:r>
      <w:r w:rsidRPr="001D7C88">
        <w:rPr>
          <w:rFonts w:hint="default"/>
        </w:rPr>
        <w:t>etký</w:t>
      </w:r>
      <w:r w:rsidRPr="001D7C88">
        <w:rPr>
          <w:rFonts w:hint="default"/>
        </w:rPr>
        <w:t>ch tvaroch nahrá</w:t>
      </w:r>
      <w:r w:rsidRPr="001D7C88">
        <w:rPr>
          <w:rFonts w:hint="default"/>
        </w:rPr>
        <w:t>dzajú</w:t>
      </w:r>
      <w:r w:rsidRPr="001D7C88">
        <w:rPr>
          <w:rFonts w:hint="default"/>
        </w:rPr>
        <w:t xml:space="preserve"> slovami „</w:t>
      </w:r>
      <w:r w:rsidRPr="001D7C88">
        <w:rPr>
          <w:rFonts w:hint="default"/>
        </w:rPr>
        <w:t>krytý</w:t>
      </w:r>
      <w:r w:rsidRPr="001D7C88">
        <w:rPr>
          <w:rFonts w:hint="default"/>
        </w:rPr>
        <w:t xml:space="preserve"> vklad</w:t>
      </w:r>
      <w:r w:rsidRPr="001D7C88">
        <w:rPr>
          <w:vertAlign w:val="superscript"/>
        </w:rPr>
        <w:t>1</w:t>
      </w:r>
      <w:r w:rsidRPr="001D7C88">
        <w:rPr>
          <w:rFonts w:hint="default"/>
        </w:rPr>
        <w:t>)“</w:t>
      </w:r>
      <w:r w:rsidRPr="001D7C88">
        <w:rPr>
          <w:rFonts w:hint="default"/>
        </w:rPr>
        <w:t xml:space="preserve"> v prí</w:t>
      </w:r>
      <w:r w:rsidRPr="001D7C88">
        <w:rPr>
          <w:rFonts w:hint="default"/>
        </w:rPr>
        <w:t>sluš</w:t>
      </w:r>
      <w:r w:rsidRPr="001D7C88">
        <w:rPr>
          <w:rFonts w:hint="default"/>
        </w:rPr>
        <w:t>nom tvare.</w:t>
      </w:r>
    </w:p>
    <w:p w:rsidR="005A0FB7" w:rsidRPr="001D7C88">
      <w:pPr>
        <w:bidi w:val="0"/>
        <w:jc w:val="both"/>
      </w:pPr>
    </w:p>
    <w:p w:rsidR="005A0FB7" w:rsidRPr="001D7C88">
      <w:pPr>
        <w:bidi w:val="0"/>
        <w:jc w:val="both"/>
      </w:pPr>
    </w:p>
    <w:p w:rsidR="005A0FB7" w:rsidRPr="001D7C88">
      <w:pPr>
        <w:pStyle w:val="Heading1"/>
        <w:bidi w:val="0"/>
        <w:rPr>
          <w:rFonts w:hint="default"/>
        </w:rPr>
      </w:pPr>
      <w:r w:rsidRPr="001D7C88">
        <w:rPr>
          <w:rFonts w:hint="default"/>
        </w:rPr>
        <w:t>Č</w:t>
      </w:r>
      <w:r w:rsidRPr="001D7C88">
        <w:rPr>
          <w:rFonts w:hint="default"/>
        </w:rPr>
        <w:t>l. </w:t>
      </w:r>
      <w:r w:rsidRPr="001D7C88">
        <w:rPr>
          <w:rFonts w:hint="default"/>
        </w:rPr>
        <w:t xml:space="preserve">IV </w:t>
      </w:r>
    </w:p>
    <w:p w:rsidR="005A0FB7" w:rsidRPr="001D7C88">
      <w:pPr>
        <w:bidi w:val="0"/>
        <w:jc w:val="both"/>
      </w:pPr>
    </w:p>
    <w:p w:rsidR="005A0FB7" w:rsidRPr="001D7C88">
      <w:pPr>
        <w:pStyle w:val="BodyText2"/>
        <w:bidi w:val="0"/>
        <w:rPr>
          <w:rFonts w:hint="default"/>
        </w:rPr>
      </w:pPr>
      <w:r w:rsidRPr="001D7C88">
        <w:rPr>
          <w:rFonts w:hint="default"/>
        </w:rPr>
        <w:t>Predseda Ná</w:t>
      </w:r>
      <w:r w:rsidRPr="001D7C88">
        <w:rPr>
          <w:rFonts w:hint="default"/>
        </w:rPr>
        <w:t>rodnej rady Slovenskej republiky sa splnomocň</w:t>
      </w:r>
      <w:r w:rsidRPr="001D7C88">
        <w:rPr>
          <w:rFonts w:hint="default"/>
        </w:rPr>
        <w:t>uje, aby v Zbierke zá</w:t>
      </w:r>
      <w:r w:rsidRPr="001D7C88">
        <w:rPr>
          <w:rFonts w:hint="default"/>
        </w:rPr>
        <w:t>konov Slovenskej republiky vyhlá</w:t>
      </w:r>
      <w:r w:rsidRPr="001D7C88">
        <w:rPr>
          <w:rFonts w:hint="default"/>
        </w:rPr>
        <w:t>sil ú</w:t>
      </w:r>
      <w:r w:rsidRPr="001D7C88">
        <w:rPr>
          <w:rFonts w:hint="default"/>
        </w:rPr>
        <w:t>plné</w:t>
      </w:r>
      <w:r w:rsidRPr="001D7C88">
        <w:rPr>
          <w:rFonts w:hint="default"/>
        </w:rPr>
        <w:t xml:space="preserve"> znenie zá</w:t>
      </w:r>
      <w:r w:rsidRPr="001D7C88">
        <w:rPr>
          <w:rFonts w:hint="default"/>
        </w:rPr>
        <w:t>kona Ná</w:t>
      </w:r>
      <w:r w:rsidRPr="001D7C88">
        <w:rPr>
          <w:rFonts w:hint="default"/>
        </w:rPr>
        <w:t>rodnej rady Slovenskej republiky č. </w:t>
      </w:r>
      <w:r w:rsidRPr="001D7C88">
        <w:rPr>
          <w:rFonts w:hint="default"/>
        </w:rPr>
        <w:t>118/1996 Z. </w:t>
      </w:r>
      <w:r w:rsidRPr="001D7C88">
        <w:rPr>
          <w:rFonts w:hint="default"/>
        </w:rPr>
        <w:t>z. o ochrane vkladov a o zmene a doplnení</w:t>
      </w:r>
      <w:r w:rsidRPr="001D7C88">
        <w:rPr>
          <w:rFonts w:hint="default"/>
        </w:rPr>
        <w:t xml:space="preserve"> niektorý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konov, ako vy</w:t>
      </w:r>
      <w:r w:rsidRPr="001D7C88">
        <w:rPr>
          <w:rFonts w:hint="default"/>
        </w:rPr>
        <w:t>plý</w:t>
      </w:r>
      <w:r w:rsidRPr="001D7C88">
        <w:rPr>
          <w:rFonts w:hint="default"/>
        </w:rPr>
        <w:t>va zo zmien a doplnení</w:t>
      </w:r>
      <w:r w:rsidRPr="001D7C88">
        <w:rPr>
          <w:rFonts w:hint="default"/>
        </w:rPr>
        <w:t xml:space="preserve"> vykonaný</w:t>
      </w:r>
      <w:r w:rsidRPr="001D7C88">
        <w:rPr>
          <w:rFonts w:hint="default"/>
        </w:rPr>
        <w:t>ch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154/1999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397/2001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492/2001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340/2003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186/2004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554/2004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650/2004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747/2004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</w:t>
      </w:r>
      <w:r w:rsidRPr="001D7C88">
        <w:rPr>
          <w:rFonts w:hint="default"/>
        </w:rPr>
        <w:t>onom č. </w:t>
      </w:r>
      <w:r w:rsidRPr="001D7C88">
        <w:rPr>
          <w:rFonts w:hint="default"/>
        </w:rPr>
        <w:t>578/2005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209/2007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659/2007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421/2008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552/2008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276/2009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492/2009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70/2010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505/2010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233/20</w:t>
      </w:r>
      <w:r w:rsidRPr="001D7C88">
        <w:rPr>
          <w:rFonts w:hint="default"/>
        </w:rPr>
        <w:t>12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352/2013 Z. </w:t>
      </w:r>
      <w:r w:rsidRPr="001D7C88">
        <w:rPr>
          <w:rFonts w:hint="default"/>
        </w:rPr>
        <w:t>z.,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213/2014 Z. z.</w:t>
      </w:r>
      <w:r w:rsidR="00E20D94">
        <w:t>,</w:t>
      </w:r>
      <w:r w:rsidRPr="001D7C88">
        <w:rPr>
          <w:rFonts w:hint="default"/>
        </w:rPr>
        <w:t xml:space="preserve"> zá</w:t>
      </w:r>
      <w:r w:rsidRPr="001D7C88">
        <w:rPr>
          <w:rFonts w:hint="default"/>
        </w:rPr>
        <w:t>konom č. </w:t>
      </w:r>
      <w:r w:rsidRPr="001D7C88">
        <w:rPr>
          <w:rFonts w:hint="default"/>
        </w:rPr>
        <w:t>371/2014 Z. </w:t>
      </w:r>
      <w:r w:rsidRPr="001D7C88">
        <w:rPr>
          <w:rFonts w:hint="default"/>
        </w:rPr>
        <w:t>z. a tý</w:t>
      </w:r>
      <w:r w:rsidRPr="001D7C88">
        <w:rPr>
          <w:rFonts w:hint="default"/>
        </w:rPr>
        <w:t>mto zá</w:t>
      </w:r>
      <w:r w:rsidRPr="001D7C88">
        <w:rPr>
          <w:rFonts w:hint="default"/>
        </w:rPr>
        <w:t xml:space="preserve">konom. </w:t>
      </w:r>
    </w:p>
    <w:p w:rsidR="005A0FB7" w:rsidRPr="001D7C88">
      <w:pPr>
        <w:bidi w:val="0"/>
        <w:jc w:val="both"/>
      </w:pPr>
    </w:p>
    <w:p w:rsidR="005A0FB7" w:rsidRPr="001D7C88">
      <w:pPr>
        <w:pStyle w:val="NormalCentered"/>
        <w:widowControl w:val="0"/>
        <w:overflowPunct w:val="0"/>
        <w:bidi w:val="0"/>
        <w:adjustRightInd w:val="0"/>
        <w:spacing w:before="0" w:after="0"/>
        <w:jc w:val="both"/>
        <w:rPr>
          <w:kern w:val="28"/>
          <w:lang w:eastAsia="sk-SK"/>
        </w:rPr>
      </w:pPr>
    </w:p>
    <w:p w:rsidR="005A0FB7" w:rsidRPr="001D7C88">
      <w:pPr>
        <w:bidi w:val="0"/>
        <w:jc w:val="center"/>
        <w:rPr>
          <w:rFonts w:hint="default"/>
          <w:b/>
          <w:bCs/>
        </w:rPr>
      </w:pPr>
      <w:r w:rsidRPr="001D7C88">
        <w:rPr>
          <w:rFonts w:hint="default"/>
          <w:b/>
          <w:bCs/>
        </w:rPr>
        <w:t>Č</w:t>
      </w:r>
      <w:r w:rsidRPr="001D7C88">
        <w:rPr>
          <w:rFonts w:hint="default"/>
          <w:b/>
          <w:bCs/>
        </w:rPr>
        <w:t xml:space="preserve">l. V </w:t>
      </w:r>
    </w:p>
    <w:p w:rsidR="005A0FB7" w:rsidRPr="001D7C88">
      <w:pPr>
        <w:bidi w:val="0"/>
        <w:jc w:val="center"/>
        <w:rPr>
          <w:rFonts w:hint="default"/>
          <w:b/>
          <w:bCs/>
        </w:rPr>
      </w:pPr>
      <w:r w:rsidRPr="001D7C88">
        <w:rPr>
          <w:rFonts w:hint="default"/>
          <w:b/>
          <w:bCs/>
        </w:rPr>
        <w:t>Úč</w:t>
      </w:r>
      <w:r w:rsidRPr="001D7C88">
        <w:rPr>
          <w:rFonts w:hint="default"/>
          <w:b/>
          <w:bCs/>
        </w:rPr>
        <w:t>innosť</w:t>
      </w:r>
    </w:p>
    <w:p w:rsidR="005A0FB7" w:rsidRPr="001D7C88">
      <w:pPr>
        <w:bidi w:val="0"/>
        <w:jc w:val="both"/>
        <w:rPr>
          <w:b/>
          <w:bCs/>
        </w:rPr>
      </w:pPr>
    </w:p>
    <w:p w:rsidR="005A0FB7" w:rsidRPr="001D7C88">
      <w:pPr>
        <w:bidi w:val="0"/>
        <w:ind w:firstLine="709"/>
        <w:jc w:val="both"/>
        <w:rPr>
          <w:rFonts w:hint="default"/>
        </w:rPr>
      </w:pPr>
      <w:r w:rsidRPr="001D7C88">
        <w:rPr>
          <w:rFonts w:hint="default"/>
        </w:rPr>
        <w:t>Tento zá</w:t>
      </w:r>
      <w:r w:rsidRPr="001D7C88">
        <w:rPr>
          <w:rFonts w:hint="default"/>
        </w:rPr>
        <w:t>kon nadobú</w:t>
      </w:r>
      <w:r w:rsidRPr="001D7C88">
        <w:rPr>
          <w:rFonts w:hint="default"/>
        </w:rPr>
        <w:t>da úč</w:t>
      </w:r>
      <w:r w:rsidRPr="001D7C88">
        <w:rPr>
          <w:rFonts w:hint="default"/>
        </w:rPr>
        <w:t>innosť</w:t>
      </w:r>
      <w:r w:rsidRPr="001D7C88">
        <w:rPr>
          <w:rFonts w:hint="default"/>
        </w:rPr>
        <w:t xml:space="preserve"> 15. októ</w:t>
      </w:r>
      <w:r w:rsidRPr="001D7C88">
        <w:rPr>
          <w:rFonts w:hint="default"/>
        </w:rPr>
        <w:t xml:space="preserve">bra 2015, okrem </w:t>
      </w:r>
      <w:r w:rsidR="00E20D94">
        <w:rPr>
          <w:rFonts w:hint="default"/>
        </w:rPr>
        <w:t>č</w:t>
      </w:r>
      <w:r w:rsidR="00E20D94">
        <w:rPr>
          <w:rFonts w:hint="default"/>
        </w:rPr>
        <w:t xml:space="preserve">l. I </w:t>
      </w:r>
      <w:r w:rsidRPr="001D7C88">
        <w:rPr>
          <w:rFonts w:hint="default"/>
        </w:rPr>
        <w:t>§</w:t>
      </w:r>
      <w:r w:rsidRPr="001D7C88">
        <w:rPr>
          <w:rFonts w:hint="default"/>
        </w:rPr>
        <w:t xml:space="preserve"> 10 ods. 12</w:t>
      </w:r>
      <w:r w:rsidR="00E20D94">
        <w:t xml:space="preserve"> v bode 27</w:t>
      </w:r>
      <w:r w:rsidRPr="001D7C88">
        <w:rPr>
          <w:rFonts w:hint="default"/>
        </w:rPr>
        <w:t>, ktorý</w:t>
      </w:r>
      <w:r w:rsidRPr="001D7C88">
        <w:rPr>
          <w:rFonts w:hint="default"/>
        </w:rPr>
        <w:t xml:space="preserve"> nadobú</w:t>
      </w:r>
      <w:r w:rsidRPr="001D7C88">
        <w:rPr>
          <w:rFonts w:hint="default"/>
        </w:rPr>
        <w:t>da úč</w:t>
      </w:r>
      <w:r w:rsidRPr="001D7C88">
        <w:rPr>
          <w:rFonts w:hint="default"/>
        </w:rPr>
        <w:t>innosť</w:t>
      </w:r>
      <w:r w:rsidRPr="001D7C88">
        <w:rPr>
          <w:rFonts w:hint="default"/>
        </w:rPr>
        <w:t xml:space="preserve"> 31. má</w:t>
      </w:r>
      <w:r w:rsidRPr="001D7C88">
        <w:rPr>
          <w:rFonts w:hint="default"/>
        </w:rPr>
        <w:t>ja 2016.</w:t>
      </w:r>
    </w:p>
    <w:p w:rsidR="005A0FB7" w:rsidRPr="001D7C88">
      <w:pPr>
        <w:bidi w:val="0"/>
        <w:ind w:firstLine="709"/>
        <w:jc w:val="both"/>
        <w:rPr>
          <w:rFonts w:hint="default"/>
        </w:rPr>
      </w:pPr>
    </w:p>
    <w:p w:rsidR="005A0FB7" w:rsidRPr="001D7C88">
      <w:pPr>
        <w:bidi w:val="0"/>
        <w:ind w:firstLine="709"/>
        <w:jc w:val="both"/>
        <w:rPr>
          <w:rFonts w:hint="default"/>
        </w:rPr>
      </w:pPr>
    </w:p>
    <w:p w:rsidR="005A0FB7" w:rsidRPr="001D7C88">
      <w:pPr>
        <w:bidi w:val="0"/>
        <w:ind w:firstLine="709"/>
        <w:jc w:val="both"/>
        <w:rPr>
          <w:rFonts w:hint="default"/>
        </w:rPr>
      </w:pPr>
    </w:p>
    <w:p w:rsidR="005A0FB7" w:rsidRPr="001D7C88">
      <w:pPr>
        <w:bidi w:val="0"/>
        <w:ind w:firstLine="709"/>
        <w:jc w:val="both"/>
        <w:rPr>
          <w:rFonts w:hint="default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B7">
    <w:pPr>
      <w:pStyle w:val="Footer"/>
      <w:framePr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748">
      <w:rPr>
        <w:rStyle w:val="PageNumber"/>
        <w:noProof/>
      </w:rPr>
      <w:t>15</w:t>
    </w:r>
    <w:r>
      <w:rPr>
        <w:rStyle w:val="PageNumber"/>
      </w:rPr>
      <w:fldChar w:fldCharType="end"/>
    </w:r>
  </w:p>
  <w:p w:rsidR="005A0FB7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67B"/>
    <w:multiLevelType w:val="hybridMultilevel"/>
    <w:tmpl w:val="D62A84D0"/>
    <w:lvl w:ilvl="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20F79FD"/>
    <w:multiLevelType w:val="hybridMultilevel"/>
    <w:tmpl w:val="28F25A8A"/>
    <w:lvl w:ilvl="0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BE00A2A"/>
    <w:multiLevelType w:val="hybridMultilevel"/>
    <w:tmpl w:val="7BD2CC0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1E460CB6"/>
    <w:multiLevelType w:val="hybridMultilevel"/>
    <w:tmpl w:val="9A923C08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20CB3C76"/>
    <w:multiLevelType w:val="hybridMultilevel"/>
    <w:tmpl w:val="57749088"/>
    <w:lvl w:ilvl="0">
      <w:start w:val="3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32E246B7"/>
    <w:multiLevelType w:val="hybridMultilevel"/>
    <w:tmpl w:val="A600C82E"/>
    <w:lvl w:ilvl="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735F1"/>
    <w:multiLevelType w:val="hybridMultilevel"/>
    <w:tmpl w:val="09FC78B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3C7F0CC8"/>
    <w:multiLevelType w:val="hybridMultilevel"/>
    <w:tmpl w:val="38127670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410E6CE9"/>
    <w:multiLevelType w:val="hybridMultilevel"/>
    <w:tmpl w:val="989E5F1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46BF5BB1"/>
    <w:multiLevelType w:val="hybridMultilevel"/>
    <w:tmpl w:val="B3288FDC"/>
    <w:lvl w:ilvl="0">
      <w:start w:val="3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ascii="Times New Roman" w:hAnsi="Times New Roman"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46FE34EE"/>
    <w:multiLevelType w:val="hybridMultilevel"/>
    <w:tmpl w:val="F7CABF5C"/>
    <w:lvl w:ilvl="0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1">
    <w:nsid w:val="4E196DBF"/>
    <w:multiLevelType w:val="hybridMultilevel"/>
    <w:tmpl w:val="3BE06F2A"/>
    <w:lvl w:ilvl="0">
      <w:start w:val="4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4F356103"/>
    <w:multiLevelType w:val="hybridMultilevel"/>
    <w:tmpl w:val="FB92BF0C"/>
    <w:lvl w:ilvl="0">
      <w:start w:val="1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5C5619C0"/>
    <w:multiLevelType w:val="hybridMultilevel"/>
    <w:tmpl w:val="7D8E2692"/>
    <w:lvl w:ilvl="0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  <w:iCs w:val="0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5EA80D0E"/>
    <w:multiLevelType w:val="hybridMultilevel"/>
    <w:tmpl w:val="849861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5F2318EF"/>
    <w:multiLevelType w:val="hybridMultilevel"/>
    <w:tmpl w:val="80022C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64031F4B"/>
    <w:multiLevelType w:val="hybridMultilevel"/>
    <w:tmpl w:val="4F7A8476"/>
    <w:lvl w:ilvl="0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64F31523"/>
    <w:multiLevelType w:val="hybridMultilevel"/>
    <w:tmpl w:val="61B288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66372A5E"/>
    <w:multiLevelType w:val="hybridMultilevel"/>
    <w:tmpl w:val="FCB2C2F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67BF6095"/>
    <w:multiLevelType w:val="hybridMultilevel"/>
    <w:tmpl w:val="53569FC8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681E1470"/>
    <w:multiLevelType w:val="hybridMultilevel"/>
    <w:tmpl w:val="6F1CDFB4"/>
    <w:lvl w:ilvl="0">
      <w:start w:val="4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6A77165D"/>
    <w:multiLevelType w:val="hybridMultilevel"/>
    <w:tmpl w:val="09F42B96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7A252EB4"/>
    <w:multiLevelType w:val="hybridMultilevel"/>
    <w:tmpl w:val="B146483C"/>
    <w:lvl w:ilvl="0">
      <w:start w:val="4"/>
      <w:numFmt w:val="decimal"/>
      <w:lvlText w:val="(%1)"/>
      <w:lvlJc w:val="left"/>
      <w:pPr>
        <w:tabs>
          <w:tab w:val="num" w:pos="1170"/>
        </w:tabs>
        <w:ind w:left="1170" w:hanging="117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7C9955FE"/>
    <w:multiLevelType w:val="hybridMultilevel"/>
    <w:tmpl w:val="745A26D6"/>
    <w:lvl w:ilvl="0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7D95224F"/>
    <w:multiLevelType w:val="hybridMultilevel"/>
    <w:tmpl w:val="E2F6B9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7F1355F6"/>
    <w:multiLevelType w:val="hybridMultilevel"/>
    <w:tmpl w:val="41FCC10E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20"/>
  </w:num>
  <w:num w:numId="10">
    <w:abstractNumId w:val="19"/>
  </w:num>
  <w:num w:numId="11">
    <w:abstractNumId w:val="1"/>
  </w:num>
  <w:num w:numId="12">
    <w:abstractNumId w:val="5"/>
  </w:num>
  <w:num w:numId="13">
    <w:abstractNumId w:val="24"/>
  </w:num>
  <w:num w:numId="14">
    <w:abstractNumId w:val="4"/>
  </w:num>
  <w:num w:numId="15">
    <w:abstractNumId w:val="21"/>
  </w:num>
  <w:num w:numId="16">
    <w:abstractNumId w:val="22"/>
  </w:num>
  <w:num w:numId="17">
    <w:abstractNumId w:val="11"/>
  </w:num>
  <w:num w:numId="18">
    <w:abstractNumId w:val="3"/>
  </w:num>
  <w:num w:numId="19">
    <w:abstractNumId w:val="6"/>
  </w:num>
  <w:num w:numId="20">
    <w:abstractNumId w:val="18"/>
  </w:num>
  <w:num w:numId="21">
    <w:abstractNumId w:val="25"/>
  </w:num>
  <w:num w:numId="22">
    <w:abstractNumId w:val="16"/>
  </w:num>
  <w:num w:numId="23">
    <w:abstractNumId w:val="8"/>
  </w:num>
  <w:num w:numId="24">
    <w:abstractNumId w:val="7"/>
  </w:num>
  <w:num w:numId="25">
    <w:abstractNumId w:val="1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D0975"/>
    <w:rsid w:val="00024735"/>
    <w:rsid w:val="000729FD"/>
    <w:rsid w:val="00076EA3"/>
    <w:rsid w:val="000D51CB"/>
    <w:rsid w:val="000F32B4"/>
    <w:rsid w:val="00112ADA"/>
    <w:rsid w:val="00161F8C"/>
    <w:rsid w:val="00182EF0"/>
    <w:rsid w:val="001A37B6"/>
    <w:rsid w:val="001B1FB5"/>
    <w:rsid w:val="001C5ACB"/>
    <w:rsid w:val="001D7C88"/>
    <w:rsid w:val="001E77F7"/>
    <w:rsid w:val="002135B1"/>
    <w:rsid w:val="00257D0E"/>
    <w:rsid w:val="00281118"/>
    <w:rsid w:val="002A6FE8"/>
    <w:rsid w:val="003D57B3"/>
    <w:rsid w:val="004230D9"/>
    <w:rsid w:val="00423FD3"/>
    <w:rsid w:val="00480602"/>
    <w:rsid w:val="00497748"/>
    <w:rsid w:val="004E6DD5"/>
    <w:rsid w:val="00501C87"/>
    <w:rsid w:val="005A0FB7"/>
    <w:rsid w:val="005B54B3"/>
    <w:rsid w:val="005E6BD0"/>
    <w:rsid w:val="00606105"/>
    <w:rsid w:val="00612A60"/>
    <w:rsid w:val="00692C4E"/>
    <w:rsid w:val="006E11DE"/>
    <w:rsid w:val="006E6985"/>
    <w:rsid w:val="0073736B"/>
    <w:rsid w:val="00847B75"/>
    <w:rsid w:val="00884642"/>
    <w:rsid w:val="00885888"/>
    <w:rsid w:val="008C0399"/>
    <w:rsid w:val="008D0975"/>
    <w:rsid w:val="009C08F1"/>
    <w:rsid w:val="00A47305"/>
    <w:rsid w:val="00A57ADB"/>
    <w:rsid w:val="00AF6F0D"/>
    <w:rsid w:val="00B228B3"/>
    <w:rsid w:val="00B300B0"/>
    <w:rsid w:val="00B419E6"/>
    <w:rsid w:val="00B92FAF"/>
    <w:rsid w:val="00B948B4"/>
    <w:rsid w:val="00BA1787"/>
    <w:rsid w:val="00CF511E"/>
    <w:rsid w:val="00D52EF9"/>
    <w:rsid w:val="00D73C85"/>
    <w:rsid w:val="00D97981"/>
    <w:rsid w:val="00E20D94"/>
    <w:rsid w:val="00E344EC"/>
    <w:rsid w:val="00E60998"/>
    <w:rsid w:val="00E70D0E"/>
    <w:rsid w:val="00EA1F75"/>
    <w:rsid w:val="00EA6EB5"/>
    <w:rsid w:val="00EB4FA4"/>
    <w:rsid w:val="00EB670B"/>
    <w:rsid w:val="00ED7869"/>
    <w:rsid w:val="00EE4C22"/>
    <w:rsid w:val="00F211B4"/>
    <w:rsid w:val="00F24A8D"/>
    <w:rsid w:val="00F4505F"/>
    <w:rsid w:val="00FE4DF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overflowPunct w:val="0"/>
      <w:autoSpaceDE/>
      <w:autoSpaceDN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kern w:val="28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widowControl/>
      <w:overflowPunct/>
      <w:autoSpaceDE w:val="0"/>
      <w:autoSpaceDN w:val="0"/>
      <w:adjustRightInd/>
      <w:jc w:val="center"/>
      <w:outlineLvl w:val="3"/>
    </w:pPr>
    <w:rPr>
      <w:b/>
      <w:bCs/>
      <w:kern w:val="0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2"/>
      <w:szCs w:val="22"/>
      <w:rtl w:val="0"/>
      <w:cs w:val="0"/>
      <w:lang w:val="sk-SK" w:eastAsia="sk-SK"/>
    </w:rPr>
  </w:style>
  <w:style w:type="paragraph" w:customStyle="1" w:styleId="Normlny">
    <w:name w:val="_Normálny"/>
    <w:basedOn w:val="Normal"/>
    <w:uiPriority w:val="99"/>
    <w:pPr>
      <w:widowControl/>
      <w:overflowPunct/>
      <w:autoSpaceDE w:val="0"/>
      <w:autoSpaceDN w:val="0"/>
      <w:adjustRightInd/>
      <w:jc w:val="left"/>
    </w:pPr>
    <w:rPr>
      <w:kern w:val="0"/>
      <w:sz w:val="20"/>
      <w:szCs w:val="20"/>
      <w:lang w:eastAsia="en-US"/>
    </w:rPr>
  </w:style>
  <w:style w:type="paragraph" w:customStyle="1" w:styleId="Default">
    <w:name w:val="Default"/>
    <w:uiPriority w:val="9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eastAsiaTheme="minorEastAsi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kern w:val="28"/>
      <w:rtl w:val="0"/>
      <w:cs w:val="0"/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FootnoteReference"/>
    <w:link w:val="CommentSubject"/>
    <w:uiPriority w:val="99"/>
    <w:locked/>
    <w:rPr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b/>
      <w:bCs/>
      <w:shd w:val="clear" w:color="auto" w:fill="auto"/>
      <w:vertAlign w:val="superscript"/>
      <w:rtl w:val="0"/>
      <w:cs w:val="0"/>
    </w:rPr>
  </w:style>
  <w:style w:type="character" w:customStyle="1" w:styleId="CharChar2">
    <w:name w:val="Char Char2"/>
    <w:uiPriority w:val="99"/>
    <w:rPr>
      <w:sz w:val="24"/>
      <w:lang w:val="sk-SK"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  <w:rtl w:val="0"/>
      <w:cs w:val="0"/>
    </w:rPr>
  </w:style>
  <w:style w:type="paragraph" w:customStyle="1" w:styleId="ListParagraph1">
    <w:name w:val="List Paragraph1"/>
    <w:basedOn w:val="Normal"/>
    <w:uiPriority w:val="99"/>
    <w:pPr>
      <w:ind w:left="720"/>
      <w:jc w:val="left"/>
    </w:pPr>
  </w:style>
  <w:style w:type="character" w:customStyle="1" w:styleId="CommentTextChar">
    <w:name w:val="Comment Text Char"/>
    <w:basedOn w:val="DefaultParagraphFont"/>
    <w:uiPriority w:val="99"/>
    <w:rPr>
      <w:rFonts w:ascii="Times New Roman" w:hAnsi="Times New Roman" w:cs="Times New Roman"/>
      <w:kern w:val="28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widowControl/>
      <w:autoSpaceDE w:val="0"/>
      <w:autoSpaceDN w:val="0"/>
      <w:jc w:val="both"/>
    </w:pPr>
    <w:rPr>
      <w:kern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Times New Roman" w:hAnsi="Times New Roman" w:cs="Times New Roman"/>
      <w:rtl w:val="0"/>
      <w:cs w:val="0"/>
      <w:lang w:val="en-GB"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kern w:val="28"/>
      <w:sz w:val="24"/>
      <w:szCs w:val="24"/>
      <w:rtl w:val="0"/>
      <w:cs w:val="0"/>
    </w:rPr>
  </w:style>
  <w:style w:type="paragraph" w:customStyle="1" w:styleId="NormalCentered">
    <w:name w:val="Normal Centered"/>
    <w:basedOn w:val="Normal"/>
    <w:uiPriority w:val="99"/>
    <w:pPr>
      <w:widowControl/>
      <w:overflowPunct/>
      <w:adjustRightInd/>
      <w:spacing w:before="120" w:after="120"/>
      <w:jc w:val="center"/>
    </w:pPr>
    <w:rPr>
      <w:kern w:val="0"/>
      <w:lang w:eastAsia="en-GB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kern w:val="28"/>
      <w:sz w:val="16"/>
      <w:szCs w:val="16"/>
      <w:rtl w:val="0"/>
      <w:cs w:val="0"/>
    </w:rPr>
  </w:style>
  <w:style w:type="paragraph" w:customStyle="1" w:styleId="BULLET1">
    <w:name w:val="BULLET1"/>
    <w:basedOn w:val="Normal"/>
    <w:uiPriority w:val="99"/>
    <w:pPr>
      <w:widowControl/>
      <w:numPr>
        <w:numId w:val="12"/>
      </w:numPr>
      <w:tabs>
        <w:tab w:val="left" w:pos="709"/>
      </w:tabs>
      <w:overflowPunct/>
      <w:adjustRightInd/>
      <w:spacing w:after="200" w:line="276" w:lineRule="auto"/>
      <w:ind w:left="709" w:hanging="349"/>
      <w:jc w:val="both"/>
    </w:pPr>
    <w:rPr>
      <w:rFonts w:ascii="Calibri" w:hAnsi="Calibri" w:cs="Calibri"/>
      <w:noProof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pPr>
      <w:widowControl/>
      <w:overflowPunct/>
      <w:adjustRightInd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  <w:rtl w:val="0"/>
      <w:cs w:val="0"/>
    </w:rPr>
  </w:style>
  <w:style w:type="paragraph" w:customStyle="1" w:styleId="CM4">
    <w:name w:val="CM4"/>
    <w:basedOn w:val="Normal"/>
    <w:next w:val="Normal"/>
    <w:uiPriority w:val="99"/>
    <w:pPr>
      <w:widowControl/>
      <w:overflowPunct/>
      <w:autoSpaceDE w:val="0"/>
      <w:autoSpaceDN w:val="0"/>
      <w:jc w:val="left"/>
    </w:pPr>
    <w:rPr>
      <w:rFonts w:ascii="EUAlbertina" w:hAnsi="EUAlbertina" w:cs="EUAlbertina"/>
      <w:kern w:val="0"/>
      <w:lang w:eastAsia="en-US"/>
    </w:rPr>
  </w:style>
  <w:style w:type="paragraph" w:customStyle="1" w:styleId="CharCharChar2CharCharCharCharChar">
    <w:name w:val="Char Char Char2 Char Char Char Char Char"/>
    <w:basedOn w:val="Normal"/>
    <w:uiPriority w:val="99"/>
    <w:pPr>
      <w:widowControl/>
      <w:overflowPunct/>
      <w:adjustRightInd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Title">
    <w:name w:val="Title"/>
    <w:basedOn w:val="Normal"/>
    <w:link w:val="NzovChar"/>
    <w:uiPriority w:val="99"/>
    <w:qFormat/>
    <w:pPr>
      <w:widowControl/>
      <w:overflowPunct/>
      <w:adjustRightInd/>
      <w:jc w:val="center"/>
    </w:pPr>
    <w:rPr>
      <w:b/>
      <w:bCs/>
      <w:spacing w:val="20"/>
      <w:kern w:val="0"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Times New Roman" w:hAnsi="Times New Roman" w:cs="Times New Roman"/>
      <w:b/>
      <w:bCs/>
      <w:spacing w:val="20"/>
      <w:sz w:val="24"/>
      <w:szCs w:val="24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kern w:val="28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5DD8-AF9A-47D5-8C79-0E2EF01F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199</TotalTime>
  <Pages>15</Pages>
  <Words>6130</Words>
  <Characters>34946</Characters>
  <Application>Microsoft Office Word</Application>
  <DocSecurity>0</DocSecurity>
  <Lines>0</Lines>
  <Paragraphs>0</Paragraphs>
  <ScaleCrop>false</ScaleCrop>
  <Company>NBS</Company>
  <LinksUpToDate>false</LinksUpToDate>
  <CharactersWithSpaces>40995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Buznova</dc:creator>
  <cp:lastModifiedBy>Matyasovszky Pavol</cp:lastModifiedBy>
  <cp:revision>39</cp:revision>
  <cp:lastPrinted>2015-05-05T10:04:00Z</cp:lastPrinted>
  <dcterms:created xsi:type="dcterms:W3CDTF">2015-05-07T09:19:00Z</dcterms:created>
  <dcterms:modified xsi:type="dcterms:W3CDTF">2015-05-27T11:21:00Z</dcterms:modified>
</cp:coreProperties>
</file>