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78A9" w:rsidP="003F27F5">
      <w:pPr>
        <w:pStyle w:val="Heading4"/>
        <w:bidi w:val="0"/>
        <w:spacing w:after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 ô v o d o v á   s p r á v a</w:t>
      </w:r>
    </w:p>
    <w:p w:rsidR="00B278A9" w:rsidP="003F27F5">
      <w:pPr>
        <w:bidi w:val="0"/>
        <w:spacing w:after="160"/>
        <w:ind w:left="360" w:hanging="360"/>
        <w:rPr>
          <w:rFonts w:ascii="Times New Roman" w:hAnsi="Times New Roman"/>
          <w:b/>
          <w:bCs/>
        </w:rPr>
      </w:pPr>
    </w:p>
    <w:p w:rsidR="00B278A9" w:rsidP="003F27F5">
      <w:pPr>
        <w:pStyle w:val="Heading3"/>
        <w:bidi w:val="0"/>
        <w:spacing w:before="0"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Všeobecná časť</w:t>
      </w:r>
    </w:p>
    <w:p w:rsidR="00B278A9" w:rsidP="00B278A9">
      <w:pPr>
        <w:bidi w:val="0"/>
        <w:spacing w:after="160"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novely zá</w:t>
      </w:r>
      <w:r>
        <w:rPr>
          <w:rFonts w:ascii="Times New Roman" w:eastAsia="Arial Unicode MS" w:hAnsi="Times New Roman" w:hint="default"/>
        </w:rPr>
        <w:t>kona, ktorý</w:t>
      </w:r>
      <w:r>
        <w:rPr>
          <w:rFonts w:ascii="Times New Roman" w:eastAsia="Arial Unicode MS" w:hAnsi="Times New Roman" w:hint="default"/>
        </w:rPr>
        <w:t>m sa mení</w:t>
      </w:r>
      <w:r>
        <w:rPr>
          <w:rFonts w:ascii="Times New Roman" w:eastAsia="Arial Unicode MS" w:hAnsi="Times New Roman" w:hint="default"/>
        </w:rPr>
        <w:t xml:space="preserve"> a </w:t>
      </w:r>
      <w:r>
        <w:rPr>
          <w:rFonts w:ascii="Times New Roman" w:eastAsia="Arial Unicode MS" w:hAnsi="Times New Roman" w:hint="default"/>
        </w:rPr>
        <w:t>dopĺň</w:t>
      </w:r>
      <w:r>
        <w:rPr>
          <w:rFonts w:ascii="Times New Roman" w:eastAsia="Arial Unicode MS" w:hAnsi="Times New Roman" w:hint="default"/>
        </w:rPr>
        <w:t>a zá</w:t>
      </w:r>
      <w:r>
        <w:rPr>
          <w:rFonts w:ascii="Times New Roman" w:eastAsia="Arial Unicode MS" w:hAnsi="Times New Roman" w:hint="default"/>
        </w:rPr>
        <w:t>kon č</w:t>
      </w:r>
      <w:r>
        <w:rPr>
          <w:rFonts w:ascii="Times New Roman" w:eastAsia="Arial Unicode MS" w:hAnsi="Times New Roman" w:hint="default"/>
        </w:rPr>
        <w:t>. 448/2008 Z.z. o </w:t>
      </w:r>
      <w:r>
        <w:rPr>
          <w:rFonts w:ascii="Times New Roman" w:eastAsia="Arial Unicode MS" w:hAnsi="Times New Roman" w:hint="default"/>
        </w:rPr>
        <w:t>sociá</w:t>
      </w:r>
      <w:r>
        <w:rPr>
          <w:rFonts w:ascii="Times New Roman" w:eastAsia="Arial Unicode MS" w:hAnsi="Times New Roman" w:hint="default"/>
        </w:rPr>
        <w:t>lnych služ</w:t>
      </w:r>
      <w:r>
        <w:rPr>
          <w:rFonts w:ascii="Times New Roman" w:eastAsia="Arial Unicode MS" w:hAnsi="Times New Roman" w:hint="default"/>
        </w:rPr>
        <w:t>bá</w:t>
      </w:r>
      <w:r>
        <w:rPr>
          <w:rFonts w:ascii="Times New Roman" w:eastAsia="Arial Unicode MS" w:hAnsi="Times New Roman" w:hint="default"/>
        </w:rPr>
        <w:t>ch a o zmene a </w:t>
      </w:r>
      <w:r>
        <w:rPr>
          <w:rFonts w:ascii="Times New Roman" w:eastAsia="Arial Unicode MS" w:hAnsi="Times New Roman" w:hint="default"/>
        </w:rPr>
        <w:t>doplnení</w:t>
      </w:r>
      <w:r>
        <w:rPr>
          <w:rFonts w:ascii="Times New Roman" w:eastAsia="Arial Unicode MS" w:hAnsi="Times New Roman" w:hint="default"/>
        </w:rPr>
        <w:t xml:space="preserve"> zá</w:t>
      </w:r>
      <w:r>
        <w:rPr>
          <w:rFonts w:ascii="Times New Roman" w:eastAsia="Arial Unicode MS" w:hAnsi="Times New Roman" w:hint="default"/>
        </w:rPr>
        <w:t>kona č</w:t>
      </w:r>
      <w:r>
        <w:rPr>
          <w:rFonts w:ascii="Times New Roman" w:eastAsia="Arial Unicode MS" w:hAnsi="Times New Roman" w:hint="default"/>
        </w:rPr>
        <w:t>. 455/1991 Zb. o </w:t>
      </w:r>
      <w:r>
        <w:rPr>
          <w:rFonts w:ascii="Times New Roman" w:eastAsia="Arial Unicode MS" w:hAnsi="Times New Roman" w:hint="default"/>
        </w:rPr>
        <w:t>ž</w:t>
      </w:r>
      <w:r>
        <w:rPr>
          <w:rFonts w:ascii="Times New Roman" w:eastAsia="Arial Unicode MS" w:hAnsi="Times New Roman" w:hint="default"/>
        </w:rPr>
        <w:t>ivnostenskom podnikaní</w:t>
      </w:r>
      <w:r>
        <w:rPr>
          <w:rFonts w:ascii="Times New Roman" w:eastAsia="Arial Unicode MS" w:hAnsi="Times New Roman" w:hint="default"/>
        </w:rPr>
        <w:t xml:space="preserve"> (ž</w:t>
      </w:r>
      <w:r>
        <w:rPr>
          <w:rFonts w:ascii="Times New Roman" w:eastAsia="Arial Unicode MS" w:hAnsi="Times New Roman" w:hint="default"/>
        </w:rPr>
        <w:t>ivnostenský</w:t>
      </w:r>
      <w:r>
        <w:rPr>
          <w:rFonts w:ascii="Times New Roman" w:eastAsia="Arial Unicode MS" w:hAnsi="Times New Roman" w:hint="default"/>
        </w:rPr>
        <w:t xml:space="preserve"> zá</w:t>
      </w:r>
      <w:r>
        <w:rPr>
          <w:rFonts w:ascii="Times New Roman" w:eastAsia="Arial Unicode MS" w:hAnsi="Times New Roman" w:hint="default"/>
        </w:rPr>
        <w:t>kon) v </w:t>
      </w:r>
      <w:r>
        <w:rPr>
          <w:rFonts w:ascii="Times New Roman" w:eastAsia="Arial Unicode MS" w:hAnsi="Times New Roman" w:hint="default"/>
        </w:rPr>
        <w:t>znení</w:t>
      </w:r>
      <w:r>
        <w:rPr>
          <w:rFonts w:ascii="Times New Roman" w:eastAsia="Arial Unicode MS" w:hAnsi="Times New Roman" w:hint="default"/>
        </w:rPr>
        <w:t xml:space="preserve"> neskorší</w:t>
      </w:r>
      <w:r>
        <w:rPr>
          <w:rFonts w:ascii="Times New Roman" w:eastAsia="Arial Unicode MS" w:hAnsi="Times New Roman" w:hint="default"/>
        </w:rPr>
        <w:t>ch predpis</w:t>
      </w:r>
      <w:r>
        <w:rPr>
          <w:rFonts w:ascii="Times New Roman" w:eastAsia="Arial Unicode MS" w:hAnsi="Times New Roman" w:hint="default"/>
        </w:rPr>
        <w:t>ov (ď</w:t>
      </w:r>
      <w:r>
        <w:rPr>
          <w:rFonts w:ascii="Times New Roman" w:eastAsia="Arial Unicode MS" w:hAnsi="Times New Roman" w:hint="default"/>
        </w:rPr>
        <w:t>alej len zá</w:t>
      </w:r>
      <w:r>
        <w:rPr>
          <w:rFonts w:ascii="Times New Roman" w:eastAsia="Arial Unicode MS" w:hAnsi="Times New Roman" w:hint="default"/>
        </w:rPr>
        <w:t>kon), predkladá</w:t>
      </w:r>
      <w:r>
        <w:rPr>
          <w:rFonts w:ascii="Times New Roman" w:eastAsia="Arial Unicode MS" w:hAnsi="Times New Roman" w:hint="default"/>
        </w:rPr>
        <w:t xml:space="preserve"> do legislatí</w:t>
      </w:r>
      <w:r>
        <w:rPr>
          <w:rFonts w:ascii="Times New Roman" w:eastAsia="Arial Unicode MS" w:hAnsi="Times New Roman" w:hint="default"/>
        </w:rPr>
        <w:t>vneho procesu poslankyň</w:t>
      </w:r>
      <w:r>
        <w:rPr>
          <w:rFonts w:ascii="Times New Roman" w:eastAsia="Arial Unicode MS" w:hAnsi="Times New Roman" w:hint="default"/>
        </w:rPr>
        <w:t>a Monika Gibalová</w:t>
      </w:r>
      <w:r>
        <w:rPr>
          <w:rFonts w:ascii="Times New Roman" w:eastAsia="Arial Unicode MS" w:hAnsi="Times New Roman" w:hint="default"/>
        </w:rPr>
        <w:t xml:space="preserve"> a poslanec Martin Fronc. </w:t>
      </w:r>
    </w:p>
    <w:p w:rsidR="003C10BD" w:rsidP="003C10BD">
      <w:pPr>
        <w:bidi w:val="0"/>
        <w:spacing w:after="160" w:line="276" w:lineRule="auto"/>
        <w:jc w:val="both"/>
        <w:rPr>
          <w:rFonts w:ascii="Times New Roman" w:hAnsi="Times New Roman"/>
          <w:strike/>
          <w:color w:val="FF0000"/>
        </w:rPr>
      </w:pPr>
      <w:r>
        <w:rPr>
          <w:rFonts w:ascii="Times New Roman" w:hAnsi="Times New Roman"/>
        </w:rPr>
        <w:t>Zákon o sociálnych službách (Čl. I, Štvrtá časť, Tretia hlava) pojednáva podľa názvu o finančnej podpore neverejného poskytovateľa sociálnej služby poskytujúceho sociálnu službu vo verejnom záujme. Podrobnosti sú zakotvené v §75, kde sa terminologicky správne používa vo všetkých odsekoch termín „finančný príspevok“. V záujme zjednotenia termínov sa navrhuje zmena názvu: „Finančný príspevok neverejnému poskytovateľovi sociálnej služby poskytujúceho sociálnu službu vo verejnom záujme“. Termín „finančný príspevok“ sa používa ako terminus technicus v dikcii celého zákona a má obligatórny charakter.</w:t>
      </w:r>
    </w:p>
    <w:p w:rsidR="00B278A9" w:rsidP="00B278A9">
      <w:pPr>
        <w:bidi w:val="0"/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Hlavným účelom predkladanej novely zákona je odstránenie rozdielneho prístupu poskytovania finančného príspevku na prevádzku poskytovanej sociálnej služby neverejnému poskytovateľovi sociálnej služby, ktorý neposkytuje sociálnu službu s cieľom dosiahnuť zisk, ak o poskytovanie tejto sociálnej služby neverejného poskytov</w:t>
      </w:r>
      <w:r w:rsidR="0018016A">
        <w:rPr>
          <w:rFonts w:ascii="Times New Roman" w:hAnsi="Times New Roman"/>
        </w:rPr>
        <w:t>ateľa požiadala obec, resp. VUC.</w:t>
      </w:r>
      <w:r>
        <w:rPr>
          <w:rFonts w:ascii="Times New Roman" w:hAnsi="Times New Roman"/>
        </w:rPr>
        <w:t xml:space="preserve"> </w:t>
      </w:r>
      <w:r w:rsidR="00886843">
        <w:rPr>
          <w:rFonts w:ascii="Times New Roman" w:hAnsi="Times New Roman"/>
        </w:rPr>
        <w:t>S</w:t>
      </w:r>
      <w:r>
        <w:rPr>
          <w:rFonts w:ascii="Times New Roman" w:hAnsi="Times New Roman"/>
        </w:rPr>
        <w:t>účasne sa zakotvuje akceptácia vôle fyzickej osoby vybrať s</w:t>
      </w:r>
      <w:r w:rsidR="00886843">
        <w:rPr>
          <w:rFonts w:ascii="Times New Roman" w:hAnsi="Times New Roman"/>
        </w:rPr>
        <w:t>i slobodne poskytovateľa služby</w:t>
      </w:r>
      <w:r w:rsidR="0018016A">
        <w:rPr>
          <w:rFonts w:ascii="Times New Roman" w:hAnsi="Times New Roman"/>
        </w:rPr>
        <w:t xml:space="preserve">, </w:t>
      </w:r>
      <w:r w:rsidR="00886843">
        <w:rPr>
          <w:rFonts w:ascii="Times New Roman" w:hAnsi="Times New Roman"/>
        </w:rPr>
        <w:t>ako významná referencia pre obligatórnosť poskytnutia fina</w:t>
      </w:r>
      <w:r w:rsidR="003C10BD">
        <w:rPr>
          <w:rFonts w:ascii="Times New Roman" w:hAnsi="Times New Roman"/>
        </w:rPr>
        <w:t>nčného príspevku poskytovateľov</w:t>
      </w:r>
      <w:r w:rsidR="00886843">
        <w:rPr>
          <w:rFonts w:ascii="Times New Roman" w:hAnsi="Times New Roman"/>
        </w:rPr>
        <w:t xml:space="preserve"> sociálnej služby na prevádzku poskytovanej služby.</w:t>
      </w:r>
    </w:p>
    <w:p w:rsidR="00B278A9" w:rsidP="00767721">
      <w:pPr>
        <w:bidi w:val="0"/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 §75 zákona zakotvujú ex lege selektívny spôsob financovania sociálnych služieb podľa právneho postavenia poskytovateľov sociálnych služieb. Najvýraznejšie rozdiely medzi právnym postavením tzv. verejných poskytovateľov sociálnej služby a neverejných poskytovateľov sociálnej služby sú v odlišných možnostiach ich prístupu k poskytovaniu sociálnych služieb z dôvodu regulatívnych opatrení v §75 zákona, ktoré podmieňujú financovanie sociálnych služieb poskytovaných neverejným poskytovateľom sociálnej služby len v tom prípade, ak si sociálnu službu u takého poskyt</w:t>
      </w:r>
      <w:r w:rsidR="0018016A">
        <w:rPr>
          <w:rFonts w:ascii="Times New Roman" w:hAnsi="Times New Roman"/>
        </w:rPr>
        <w:t>ovateľa objedná obec alebo VUC, pričom sa nezohľadňuje osobná voľba odkázanej fyzickej osobe na výber poskytovateľa sociálnej služby.</w:t>
      </w:r>
    </w:p>
    <w:p w:rsidR="00B278A9" w:rsidP="00767721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predmetu právnej regulácie zákona o sociálnych službách (ako sa uvádza v Náleze ÚS SR PL. ÚS 13/09-08) vyplýva, že ide o zákon ktorý časťou svojho normatívneho obsahu smeruje aj k vytvoreniu právnych podmienok na zabezpečenie základného práva podľa čl. 39 ods. 2 ústavy, t. j. práva každého (každej fyzickej osoby), kto je v hmotnej núdzi na takú pomoc, ktorá je nevyhnutná na zabezpečenie základných životných podmienok. V zmysle čl. 51 ods. 1 ústavy sa základného práva podľa čl. 39 ods. 2 ústavy možno domáhať len v medziach zákonov, ktoré tieto ustanovenia vykonávajú, t. j. zákon o sociálnych službách treba považovať za jeden z osobitných zákonov, ktorý smeruje (aj) k zabezpečeniu základného práva podľa čl. 39 ods. 2 ústavy a ktorého prijatie ústava predpokladá (čl. 51 ods. 1 v spojení s čl. 39 ods. 3 ústavy). Tento záver možno vyvodiť aj z textu § 6 ods. 2 písm. a) zákona o sociálnych službách, podľa ktorého fyzická osoba má právo na poskytovanie sociálnej služby, ktorá svojím rozsahom, formou a spôsobom poskytovania umožňuje realizovať jej základné ľudské práva a slobody, zachováva jej ľudskú dôstojnosť, aktivizuje ju k posilneniu sebestačnosti, zabraňuje jej sociálnemu vylúčeniu a podporuje jej začlenenie do spoločnosti.  </w:t>
      </w:r>
    </w:p>
    <w:p w:rsidR="00B278A9" w:rsidP="00B278A9">
      <w:pPr>
        <w:bidi w:val="0"/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uvedených dôvodov je potrebné posudzovať právne postavenie poskytovateľov sociálnych služieb vymedzené v zákone o sociálnych službách v organickej súvislosti s právami fyzických osôb, ktoré im v spojení so zárukami vyplývajúcimi z čl. 39 ods. 2 ústavy poskytuje tento zákon (v terminológii zákona o sociálnych službách ide o tzv. „prijímateľa sociálnej služby“; pozri § 3 ods. 2 tohto zákona). V tomto kontexte treba brať do úvahy najmä § 6 ods. 1 tohto zákona, podľa ktorého má fyzická osoba za podmienok ustanovených týmto zákonom právo výberu sociálnej služby a formy jej poskytovania a právo výberu poskytovateľa sociálnej služby v rozsahu ustanovenom v zákone. V zmysle uvedeného však dochádza k praktickému zamedzeniu tohto práva, nakoľko normatívny charakter ustanovení §75 priamo vylučuje možnosť slobodného výberu poskytovateľa sociálnej služby len z titulu právne odlišného postavenia nevereného poskytovateľa sociálnej služby, ktorý neposkytuje sociálnu službu s cieľom dosiahnuť zisk a ktorým nie je ani obec, ani VUC.</w:t>
      </w:r>
    </w:p>
    <w:p w:rsidR="00B278A9" w:rsidP="00B278A9">
      <w:pPr>
        <w:bidi w:val="0"/>
        <w:spacing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 je v </w:t>
      </w:r>
      <w:r>
        <w:rPr>
          <w:rFonts w:ascii="Times New Roman" w:eastAsia="Arial Unicode MS" w:hAnsi="Times New Roman" w:hint="default"/>
        </w:rPr>
        <w:t>sú</w:t>
      </w:r>
      <w:r>
        <w:rPr>
          <w:rFonts w:ascii="Times New Roman" w:eastAsia="Arial Unicode MS" w:hAnsi="Times New Roman" w:hint="default"/>
        </w:rPr>
        <w:t>lade s </w:t>
      </w:r>
      <w:r>
        <w:rPr>
          <w:rFonts w:ascii="Times New Roman" w:eastAsia="Arial Unicode MS" w:hAnsi="Times New Roman" w:hint="default"/>
        </w:rPr>
        <w:t>Ú</w:t>
      </w:r>
      <w:r>
        <w:rPr>
          <w:rFonts w:ascii="Times New Roman" w:eastAsia="Arial Unicode MS" w:hAnsi="Times New Roman" w:hint="default"/>
        </w:rPr>
        <w:t>stavou Slovenskej republiky, so zá</w:t>
      </w:r>
      <w:r>
        <w:rPr>
          <w:rFonts w:ascii="Times New Roman" w:eastAsia="Arial Unicode MS" w:hAnsi="Times New Roman" w:hint="default"/>
        </w:rPr>
        <w:t>konmi ako aj s </w:t>
      </w:r>
      <w:r>
        <w:rPr>
          <w:rFonts w:ascii="Times New Roman" w:eastAsia="Arial Unicode MS" w:hAnsi="Times New Roman" w:hint="default"/>
        </w:rPr>
        <w:t>medziná</w:t>
      </w:r>
      <w:r>
        <w:rPr>
          <w:rFonts w:ascii="Times New Roman" w:eastAsia="Arial Unicode MS" w:hAnsi="Times New Roman" w:hint="default"/>
        </w:rPr>
        <w:t>rodný</w:t>
      </w:r>
      <w:r>
        <w:rPr>
          <w:rFonts w:ascii="Times New Roman" w:eastAsia="Arial Unicode MS" w:hAnsi="Times New Roman" w:hint="default"/>
        </w:rPr>
        <w:t>mi zmluvami, ktorý</w:t>
      </w:r>
      <w:r>
        <w:rPr>
          <w:rFonts w:ascii="Times New Roman" w:eastAsia="Arial Unicode MS" w:hAnsi="Times New Roman" w:hint="default"/>
        </w:rPr>
        <w:t>mi je Slovenská</w:t>
      </w:r>
      <w:r>
        <w:rPr>
          <w:rFonts w:ascii="Times New Roman" w:eastAsia="Arial Unicode MS" w:hAnsi="Times New Roman" w:hint="default"/>
        </w:rPr>
        <w:t xml:space="preserve"> republika viazaná.</w:t>
      </w:r>
    </w:p>
    <w:p w:rsidR="00B278A9" w:rsidP="00B278A9">
      <w:pPr>
        <w:bidi w:val="0"/>
        <w:spacing w:after="160" w:line="276" w:lineRule="auto"/>
        <w:jc w:val="both"/>
        <w:rPr>
          <w:rFonts w:ascii="Times New Roman" w:eastAsia="Arial Unicode MS" w:hAnsi="Times New Roman" w:hint="default"/>
        </w:rPr>
      </w:pPr>
      <w:r>
        <w:rPr>
          <w:rFonts w:ascii="Times New Roman" w:eastAsia="Arial Unicode MS" w:hAnsi="Times New Roman" w:hint="default"/>
        </w:rPr>
        <w:t>Ná</w:t>
      </w:r>
      <w:r>
        <w:rPr>
          <w:rFonts w:ascii="Times New Roman" w:eastAsia="Arial Unicode MS" w:hAnsi="Times New Roman" w:hint="default"/>
        </w:rPr>
        <w:t>vrh zá</w:t>
      </w:r>
      <w:r>
        <w:rPr>
          <w:rFonts w:ascii="Times New Roman" w:eastAsia="Arial Unicode MS" w:hAnsi="Times New Roman" w:hint="default"/>
        </w:rPr>
        <w:t>kona nemá</w:t>
      </w:r>
      <w:r>
        <w:rPr>
          <w:rFonts w:ascii="Times New Roman" w:eastAsia="Arial Unicode MS" w:hAnsi="Times New Roman" w:hint="default"/>
        </w:rPr>
        <w:t xml:space="preserve"> vplyv na informat</w:t>
      </w:r>
      <w:r>
        <w:rPr>
          <w:rFonts w:ascii="Times New Roman" w:eastAsia="Arial Unicode MS" w:hAnsi="Times New Roman" w:hint="default"/>
        </w:rPr>
        <w:t>izá</w:t>
      </w:r>
      <w:r>
        <w:rPr>
          <w:rFonts w:ascii="Times New Roman" w:eastAsia="Arial Unicode MS" w:hAnsi="Times New Roman" w:hint="default"/>
        </w:rPr>
        <w:t>ciu spoloč</w:t>
      </w:r>
      <w:r>
        <w:rPr>
          <w:rFonts w:ascii="Times New Roman" w:eastAsia="Arial Unicode MS" w:hAnsi="Times New Roman" w:hint="default"/>
        </w:rPr>
        <w:t>nosti a </w:t>
      </w:r>
      <w:r>
        <w:rPr>
          <w:rFonts w:ascii="Times New Roman" w:eastAsia="Arial Unicode MS" w:hAnsi="Times New Roman" w:hint="default"/>
        </w:rPr>
        <w:t>ž</w:t>
      </w:r>
      <w:r>
        <w:rPr>
          <w:rFonts w:ascii="Times New Roman" w:eastAsia="Arial Unicode MS" w:hAnsi="Times New Roman" w:hint="default"/>
        </w:rPr>
        <w:t>ivotné</w:t>
      </w:r>
      <w:r>
        <w:rPr>
          <w:rFonts w:ascii="Times New Roman" w:eastAsia="Arial Unicode MS" w:hAnsi="Times New Roman" w:hint="default"/>
        </w:rPr>
        <w:t xml:space="preserve"> prostredie, a </w:t>
      </w:r>
      <w:r>
        <w:rPr>
          <w:rFonts w:ascii="Times New Roman" w:eastAsia="Arial Unicode MS" w:hAnsi="Times New Roman" w:hint="default"/>
        </w:rPr>
        <w:t>bude mať</w:t>
      </w:r>
      <w:r>
        <w:rPr>
          <w:rFonts w:ascii="Times New Roman" w:eastAsia="Arial Unicode MS" w:hAnsi="Times New Roman" w:hint="default"/>
        </w:rPr>
        <w:t xml:space="preserve"> negatí</w:t>
      </w:r>
      <w:r>
        <w:rPr>
          <w:rFonts w:ascii="Times New Roman" w:eastAsia="Arial Unicode MS" w:hAnsi="Times New Roman" w:hint="default"/>
        </w:rPr>
        <w:t>vny vplyv na rozpoč</w:t>
      </w:r>
      <w:r>
        <w:rPr>
          <w:rFonts w:ascii="Times New Roman" w:eastAsia="Arial Unicode MS" w:hAnsi="Times New Roman" w:hint="default"/>
        </w:rPr>
        <w:t xml:space="preserve">et verejnej. </w:t>
      </w:r>
    </w:p>
    <w:p w:rsidR="00B278A9" w:rsidRPr="00767721" w:rsidP="00767721">
      <w:pPr>
        <w:bidi w:val="0"/>
        <w:spacing w:after="240" w:line="276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Vplyv na </w:t>
      </w:r>
      <w:r>
        <w:rPr>
          <w:rFonts w:ascii="Times New Roman" w:eastAsia="Arial Unicode MS" w:hAnsi="Times New Roman" w:hint="default"/>
        </w:rPr>
        <w:t>podnikateľ</w:t>
      </w:r>
      <w:r>
        <w:rPr>
          <w:rFonts w:ascii="Times New Roman" w:eastAsia="Arial Unicode MS" w:hAnsi="Times New Roman" w:hint="default"/>
        </w:rPr>
        <w:t>ské</w:t>
      </w:r>
      <w:r>
        <w:rPr>
          <w:rFonts w:ascii="Times New Roman" w:eastAsia="Arial Unicode MS" w:hAnsi="Times New Roman" w:hint="default"/>
        </w:rPr>
        <w:t xml:space="preserve"> prostredie a sociá</w:t>
      </w:r>
      <w:r>
        <w:rPr>
          <w:rFonts w:ascii="Times New Roman" w:eastAsia="Arial Unicode MS" w:hAnsi="Times New Roman" w:hint="default"/>
        </w:rPr>
        <w:t>lne vplyvy sú</w:t>
      </w:r>
      <w:r>
        <w:rPr>
          <w:rFonts w:ascii="Times New Roman" w:eastAsia="Arial Unicode MS" w:hAnsi="Times New Roman" w:hint="default"/>
        </w:rPr>
        <w:t>, ako vyplý</w:t>
      </w:r>
      <w:r>
        <w:rPr>
          <w:rFonts w:ascii="Times New Roman" w:eastAsia="Arial Unicode MS" w:hAnsi="Times New Roman" w:hint="default"/>
        </w:rPr>
        <w:t>va aj z </w:t>
      </w:r>
      <w:r>
        <w:rPr>
          <w:rFonts w:ascii="Times New Roman" w:eastAsia="Arial Unicode MS" w:hAnsi="Times New Roman" w:hint="default"/>
        </w:rPr>
        <w:t>dô</w:t>
      </w:r>
      <w:r>
        <w:rPr>
          <w:rFonts w:ascii="Times New Roman" w:eastAsia="Arial Unicode MS" w:hAnsi="Times New Roman" w:hint="default"/>
        </w:rPr>
        <w:t>vodovej sprá</w:t>
      </w:r>
      <w:r>
        <w:rPr>
          <w:rFonts w:ascii="Times New Roman" w:eastAsia="Arial Unicode MS" w:hAnsi="Times New Roman" w:hint="default"/>
        </w:rPr>
        <w:t>vy vš</w:t>
      </w:r>
      <w:r>
        <w:rPr>
          <w:rFonts w:ascii="Times New Roman" w:eastAsia="Arial Unicode MS" w:hAnsi="Times New Roman" w:hint="default"/>
        </w:rPr>
        <w:t>eobecnej č</w:t>
      </w:r>
      <w:r>
        <w:rPr>
          <w:rFonts w:ascii="Times New Roman" w:eastAsia="Arial Unicode MS" w:hAnsi="Times New Roman" w:hint="default"/>
        </w:rPr>
        <w:t>asti, pozití</w:t>
      </w:r>
      <w:r>
        <w:rPr>
          <w:rFonts w:ascii="Times New Roman" w:eastAsia="Arial Unicode MS" w:hAnsi="Times New Roman" w:hint="default"/>
        </w:rPr>
        <w:t>vne.</w:t>
      </w:r>
    </w:p>
    <w:p w:rsidR="003F27F5" w:rsidP="003F27F5">
      <w:pPr>
        <w:bidi w:val="0"/>
        <w:spacing w:before="160" w:after="160"/>
        <w:jc w:val="both"/>
        <w:rPr>
          <w:rFonts w:ascii="Calibri" w:hAnsi="Calibri" w:cs="Calibri"/>
          <w:b/>
          <w:sz w:val="26"/>
        </w:rPr>
      </w:pPr>
    </w:p>
    <w:p w:rsidR="00B278A9" w:rsidP="003F27F5">
      <w:pPr>
        <w:bidi w:val="0"/>
        <w:spacing w:before="160" w:after="160"/>
        <w:jc w:val="both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 xml:space="preserve">B) Osobitná časť </w:t>
      </w:r>
    </w:p>
    <w:p w:rsidR="00B278A9" w:rsidRPr="00767721" w:rsidP="00767721">
      <w:pPr>
        <w:pStyle w:val="Heading3"/>
        <w:bidi w:val="0"/>
        <w:spacing w:before="0"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 w:rsidR="00B278A9" w:rsidP="00B278A9">
      <w:pPr>
        <w:bidi w:val="0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>K bodu 1</w:t>
      </w:r>
      <w:bookmarkStart w:id="0" w:name="_GoBack"/>
      <w:bookmarkEnd w:id="0"/>
    </w:p>
    <w:p w:rsidR="00B278A9" w:rsidP="00767721">
      <w:pPr>
        <w:bidi w:val="0"/>
        <w:spacing w:after="160" w:line="276" w:lineRule="auto"/>
        <w:jc w:val="both"/>
        <w:rPr>
          <w:rFonts w:ascii="Times New Roman" w:eastAsia="Arial Unicode MS" w:hAnsi="Times New Roman"/>
          <w:b/>
        </w:rPr>
      </w:pPr>
      <w:r>
        <w:rPr>
          <w:rFonts w:ascii="Times New Roman" w:hAnsi="Times New Roman"/>
        </w:rPr>
        <w:t>Navrhovanou úpravou sa mení nadpis nad §75, ktorý znie: „Finančný príspevok neverejnému poskytovateľovi sociálnej služby, poskytujúceho sociálnu službu vo verejnom záujme“. V platnom znení sa uvádza príspevok ako „finančná podpora“. Ide o zosúladenie pojmov, nakoľko v dikcii celého zákona sa používa pojem „ ...finančný príspevok ...“.</w:t>
      </w:r>
    </w:p>
    <w:p w:rsidR="00B278A9" w:rsidP="00B278A9">
      <w:pPr>
        <w:bidi w:val="0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K bodu 2, 3, 4, 5, 6 a 7 </w:t>
      </w:r>
    </w:p>
    <w:p w:rsidR="00B278A9" w:rsidRPr="00767721" w:rsidP="00767721">
      <w:pPr>
        <w:bidi w:val="0"/>
        <w:spacing w:after="160" w:line="276" w:lineRule="auto"/>
        <w:jc w:val="both"/>
        <w:rPr>
          <w:rFonts w:ascii="Times New Roman" w:hAnsi="Times New Roman"/>
        </w:rPr>
      </w:pPr>
      <w:r w:rsidRPr="00767721">
        <w:rPr>
          <w:rFonts w:ascii="Times New Roman" w:hAnsi="Times New Roman"/>
        </w:rPr>
        <w:t xml:space="preserve">Zakotvuje sa primárne akceptovať právo fyzickej osoby – občana, vybrať si poskytovateľa sociálnej služby, ak tento neposkytuje sociálnu službu s cieľom dosiahnuť zisk, pričom sa v plnom rozsahu akceptuje originálna kompetencia pôsobnosti obce alebo VUC pri jednotlivých druhoch sociálnej služby v zmysle ustanovení zákona o sociálnych službách.  </w:t>
      </w:r>
    </w:p>
    <w:p w:rsidR="00B278A9" w:rsidRPr="00767721" w:rsidP="00767721">
      <w:pPr>
        <w:tabs>
          <w:tab w:val="left" w:pos="2210"/>
        </w:tabs>
        <w:bidi w:val="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  <w:b/>
        </w:rPr>
        <w:t>K bodu 8,9 a 10</w:t>
      </w:r>
    </w:p>
    <w:p w:rsidR="00767721" w:rsidP="00767721">
      <w:pPr>
        <w:bidi w:val="0"/>
        <w:spacing w:after="160" w:line="276" w:lineRule="auto"/>
        <w:jc w:val="both"/>
        <w:rPr>
          <w:rFonts w:ascii="Times New Roman" w:hAnsi="Times New Roman"/>
        </w:rPr>
      </w:pPr>
      <w:r w:rsidR="00B278A9">
        <w:rPr>
          <w:rFonts w:ascii="Times New Roman" w:hAnsi="Times New Roman"/>
        </w:rPr>
        <w:t>Navrhuje sa fakultatívnosť poskytovania finančného príspevku zo strany obce a VUC pri taxatívne určených druhoch sociálnych služieb pre neverejného poskytovateľa sociálnej služby zmeniť na obligatórny príspevok, s primárnou akceptáciou vôle fyzickej osoby slobodne si vybrať poskytovateľa sociálnej služby, u ktorého si následne obec a VUC konkrétnu službu objedná.</w:t>
      </w:r>
    </w:p>
    <w:p w:rsidR="00B278A9" w:rsidRPr="00767721" w:rsidP="00767721">
      <w:pPr>
        <w:bidi w:val="0"/>
        <w:spacing w:after="160" w:line="276" w:lineRule="auto"/>
        <w:jc w:val="both"/>
        <w:rPr>
          <w:rFonts w:ascii="Times New Roman" w:eastAsia="Arial Unicode MS" w:hAnsi="Times New Roman" w:hint="default"/>
          <w:b/>
        </w:rPr>
      </w:pPr>
      <w:r w:rsidRPr="00767721">
        <w:rPr>
          <w:rFonts w:ascii="Times New Roman" w:eastAsia="Arial Unicode MS" w:hAnsi="Times New Roman"/>
          <w:b/>
        </w:rPr>
        <w:t>K </w:t>
      </w:r>
      <w:r w:rsidRPr="00767721">
        <w:rPr>
          <w:rFonts w:ascii="Times New Roman" w:eastAsia="Arial Unicode MS" w:hAnsi="Times New Roman" w:hint="default"/>
          <w:b/>
        </w:rPr>
        <w:t>Č</w:t>
      </w:r>
      <w:r w:rsidRPr="00767721">
        <w:rPr>
          <w:rFonts w:ascii="Times New Roman" w:eastAsia="Arial Unicode MS" w:hAnsi="Times New Roman" w:hint="default"/>
          <w:b/>
        </w:rPr>
        <w:t>l. II</w:t>
      </w:r>
    </w:p>
    <w:p w:rsidR="00D56701" w:rsidP="00FB58CC">
      <w:pPr>
        <w:tabs>
          <w:tab w:val="left" w:pos="7140"/>
        </w:tabs>
        <w:bidi w:val="0"/>
        <w:spacing w:line="276" w:lineRule="auto"/>
        <w:jc w:val="both"/>
        <w:rPr>
          <w:rFonts w:ascii="Times New Roman" w:hAnsi="Times New Roman"/>
        </w:rPr>
      </w:pPr>
      <w:r w:rsidR="00B278A9">
        <w:rPr>
          <w:rFonts w:ascii="Times New Roman" w:hAnsi="Times New Roman"/>
        </w:rPr>
        <w:t>Účinnosť zákona sa navrhuje od 1. septembra 2015.</w:t>
        <w:tab/>
      </w:r>
    </w:p>
    <w:sectPr w:rsidSect="00767721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278A9"/>
    <w:rsid w:val="0003773A"/>
    <w:rsid w:val="0018016A"/>
    <w:rsid w:val="003C10BD"/>
    <w:rsid w:val="003F27F5"/>
    <w:rsid w:val="005E60BB"/>
    <w:rsid w:val="00767721"/>
    <w:rsid w:val="00886843"/>
    <w:rsid w:val="00953641"/>
    <w:rsid w:val="00B278A9"/>
    <w:rsid w:val="00D56701"/>
    <w:rsid w:val="00FB58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A9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8A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8A9"/>
    <w:pPr>
      <w:keepNext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locked/>
    <w:rsid w:val="00B278A9"/>
    <w:rPr>
      <w:rFonts w:ascii="Arial" w:hAnsi="Arial" w:cs="Arial"/>
      <w:b/>
      <w:bCs/>
      <w:sz w:val="26"/>
      <w:szCs w:val="26"/>
      <w:rtl w:val="0"/>
      <w:cs w:val="0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278A9"/>
    <w:rPr>
      <w:rFonts w:ascii="Times New Roman" w:hAnsi="Times New Roman" w:cs="Times New Roman"/>
      <w:b/>
      <w:bCs/>
      <w:sz w:val="26"/>
      <w:szCs w:val="26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913</Words>
  <Characters>5208</Characters>
  <Application>Microsoft Office Word</Application>
  <DocSecurity>0</DocSecurity>
  <Lines>0</Lines>
  <Paragraphs>0</Paragraphs>
  <ScaleCrop>false</ScaleCrop>
  <Company>Kancelaria NR SR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Gašparíková, Jarmila</cp:lastModifiedBy>
  <cp:revision>2</cp:revision>
  <dcterms:created xsi:type="dcterms:W3CDTF">2015-05-26T15:45:00Z</dcterms:created>
  <dcterms:modified xsi:type="dcterms:W3CDTF">2015-05-26T15:45:00Z</dcterms:modified>
</cp:coreProperties>
</file>