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pStyle w:val="BodyTextIndent1"/>
        <w:tabs>
          <w:tab w:val="num" w:pos="0"/>
          <w:tab w:val="clear" w:pos="540"/>
        </w:tabs>
        <w:overflowPunct/>
        <w:autoSpaceDE/>
        <w:autoSpaceDN/>
        <w:bidi w:val="0"/>
        <w:adjustRightInd/>
        <w:rPr>
          <w:rFonts w:ascii="Times New Roman" w:hAnsi="Times New Roman"/>
        </w:rPr>
      </w:pPr>
    </w:p>
    <w:p w:rsidR="002C3B67" w:rsidRPr="00DA5B8F">
      <w:pPr>
        <w:bidi w:val="0"/>
        <w:spacing w:line="480" w:lineRule="auto"/>
        <w:jc w:val="center"/>
        <w:rPr>
          <w:rFonts w:ascii="Times New Roman" w:hAnsi="Times New Roman"/>
          <w:b/>
          <w:bCs/>
          <w:sz w:val="28"/>
          <w:szCs w:val="28"/>
          <w:lang w:val="sk-SK"/>
        </w:rPr>
      </w:pPr>
      <w:r w:rsidRPr="00DA5B8F">
        <w:rPr>
          <w:rFonts w:ascii="Times New Roman" w:hAnsi="Times New Roman"/>
          <w:b/>
          <w:bCs/>
          <w:sz w:val="28"/>
          <w:szCs w:val="28"/>
          <w:lang w:val="sk-SK"/>
        </w:rPr>
        <w:t xml:space="preserve">Výročná správa o činnosti </w:t>
      </w:r>
    </w:p>
    <w:p w:rsidR="002C3B67" w:rsidRPr="00DA5B8F">
      <w:pPr>
        <w:bidi w:val="0"/>
        <w:spacing w:line="480" w:lineRule="auto"/>
        <w:jc w:val="center"/>
        <w:rPr>
          <w:rFonts w:ascii="Times New Roman" w:hAnsi="Times New Roman"/>
          <w:b/>
          <w:bCs/>
          <w:sz w:val="28"/>
          <w:szCs w:val="28"/>
          <w:lang w:val="sk-SK"/>
        </w:rPr>
      </w:pPr>
      <w:r w:rsidRPr="00DA5B8F">
        <w:rPr>
          <w:rFonts w:ascii="Times New Roman" w:hAnsi="Times New Roman"/>
          <w:b/>
          <w:bCs/>
          <w:sz w:val="28"/>
          <w:szCs w:val="28"/>
          <w:lang w:val="sk-SK"/>
        </w:rPr>
        <w:t xml:space="preserve">Fondu národného majetku Slovenskej republiky </w:t>
      </w:r>
    </w:p>
    <w:p w:rsidR="002C3B67" w:rsidRPr="00DA5B8F">
      <w:pPr>
        <w:bidi w:val="0"/>
        <w:spacing w:line="480" w:lineRule="auto"/>
        <w:jc w:val="center"/>
        <w:rPr>
          <w:rFonts w:ascii="Times New Roman" w:hAnsi="Times New Roman"/>
          <w:b/>
          <w:bCs/>
          <w:sz w:val="28"/>
          <w:szCs w:val="28"/>
          <w:lang w:val="sk-SK"/>
        </w:rPr>
      </w:pPr>
      <w:r w:rsidRPr="00DA5B8F">
        <w:rPr>
          <w:rFonts w:ascii="Times New Roman" w:hAnsi="Times New Roman"/>
          <w:b/>
          <w:bCs/>
          <w:sz w:val="28"/>
          <w:szCs w:val="28"/>
          <w:lang w:val="sk-SK"/>
        </w:rPr>
        <w:t>za rok 201</w:t>
      </w:r>
      <w:r w:rsidRPr="00DA5B8F" w:rsidR="00F53FFE">
        <w:rPr>
          <w:rFonts w:ascii="Times New Roman" w:hAnsi="Times New Roman"/>
          <w:b/>
          <w:bCs/>
          <w:sz w:val="28"/>
          <w:szCs w:val="28"/>
          <w:lang w:val="sk-SK"/>
        </w:rPr>
        <w:t>4</w:t>
      </w:r>
    </w:p>
    <w:p w:rsidR="002C3B67" w:rsidRPr="00DA5B8F">
      <w:pPr>
        <w:pStyle w:val="BodyTextIndent1"/>
        <w:tabs>
          <w:tab w:val="num" w:pos="0"/>
          <w:tab w:val="clear" w:pos="540"/>
        </w:tabs>
        <w:overflowPunct/>
        <w:autoSpaceDE/>
        <w:autoSpaceDN/>
        <w:bidi w:val="0"/>
        <w:adjustRightInd/>
        <w:spacing w:before="0"/>
        <w:rPr>
          <w:rFonts w:ascii="Times New Roman" w:hAnsi="Times New Roman"/>
          <w:b/>
          <w:bCs/>
        </w:rPr>
      </w:pPr>
      <w:r w:rsidRPr="00DA5B8F">
        <w:rPr>
          <w:rFonts w:ascii="Times New Roman" w:hAnsi="Times New Roman"/>
        </w:rPr>
        <w:br w:type="page"/>
      </w:r>
      <w:r w:rsidRPr="00DA5B8F">
        <w:rPr>
          <w:rFonts w:ascii="Times New Roman" w:hAnsi="Times New Roman"/>
          <w:b/>
          <w:bCs/>
        </w:rPr>
        <w:t>OBSAH</w:t>
      </w:r>
    </w:p>
    <w:p w:rsidR="002C3B67" w:rsidRPr="00DA5B8F">
      <w:pPr>
        <w:bidi w:val="0"/>
        <w:rPr>
          <w:rFonts w:ascii="Times New Roman" w:hAnsi="Times New Roman"/>
          <w:lang w:val="sk-SK"/>
        </w:rPr>
      </w:pPr>
    </w:p>
    <w:p w:rsidR="002C3B67" w:rsidRPr="00DA5B8F">
      <w:pPr>
        <w:tabs>
          <w:tab w:val="right" w:leader="dot" w:pos="9360"/>
        </w:tabs>
        <w:bidi w:val="0"/>
        <w:spacing w:line="264" w:lineRule="auto"/>
        <w:jc w:val="both"/>
        <w:rPr>
          <w:rFonts w:ascii="Times New Roman" w:hAnsi="Times New Roman"/>
          <w:lang w:val="sk-SK"/>
        </w:rPr>
      </w:pPr>
      <w:r w:rsidRPr="00DA5B8F">
        <w:rPr>
          <w:rFonts w:ascii="Times New Roman" w:hAnsi="Times New Roman"/>
          <w:lang w:val="sk-SK"/>
        </w:rPr>
        <w:t xml:space="preserve">Obsah </w:t>
        <w:tab/>
        <w:t>2</w:t>
      </w:r>
    </w:p>
    <w:p w:rsidR="002C3B67" w:rsidRPr="00DA5B8F">
      <w:pPr>
        <w:tabs>
          <w:tab w:val="right" w:leader="dot" w:pos="9360"/>
        </w:tabs>
        <w:bidi w:val="0"/>
        <w:spacing w:line="264" w:lineRule="auto"/>
        <w:jc w:val="both"/>
        <w:rPr>
          <w:rFonts w:ascii="Times New Roman" w:hAnsi="Times New Roman"/>
          <w:lang w:val="sk-SK"/>
        </w:rPr>
      </w:pPr>
      <w:r w:rsidRPr="00DA5B8F">
        <w:rPr>
          <w:rFonts w:ascii="Times New Roman" w:hAnsi="Times New Roman"/>
          <w:lang w:val="sk-SK"/>
        </w:rPr>
        <w:t xml:space="preserve">Zoznam použitých skratiek </w:t>
        <w:tab/>
        <w:t>3</w:t>
      </w:r>
    </w:p>
    <w:p w:rsidR="002C3B67" w:rsidRPr="00DA5B8F">
      <w:pPr>
        <w:numPr>
          <w:numId w:val="1"/>
        </w:numPr>
        <w:tabs>
          <w:tab w:val="left" w:pos="360"/>
          <w:tab w:val="right" w:leader="dot" w:pos="9360"/>
        </w:tabs>
        <w:bidi w:val="0"/>
        <w:spacing w:before="240" w:line="264" w:lineRule="auto"/>
        <w:ind w:left="357" w:hanging="357"/>
        <w:jc w:val="both"/>
        <w:rPr>
          <w:rFonts w:ascii="Times New Roman" w:hAnsi="Times New Roman"/>
          <w:b/>
          <w:bCs/>
          <w:caps/>
          <w:lang w:val="sk-SK"/>
        </w:rPr>
      </w:pPr>
      <w:r w:rsidRPr="00DA5B8F">
        <w:rPr>
          <w:rFonts w:ascii="Times New Roman" w:hAnsi="Times New Roman"/>
          <w:b/>
          <w:bCs/>
          <w:caps/>
          <w:lang w:val="sk-SK"/>
        </w:rPr>
        <w:t xml:space="preserve">Identifikácia organizácie </w:t>
        <w:tab/>
        <w:t>4</w:t>
      </w:r>
    </w:p>
    <w:p w:rsidR="002C3B67" w:rsidRPr="00DA5B8F">
      <w:pPr>
        <w:numPr>
          <w:numId w:val="1"/>
        </w:numPr>
        <w:tabs>
          <w:tab w:val="right" w:pos="360"/>
          <w:tab w:val="right" w:leader="dot" w:pos="9360"/>
        </w:tabs>
        <w:bidi w:val="0"/>
        <w:spacing w:before="240" w:line="264" w:lineRule="auto"/>
        <w:ind w:left="357" w:hanging="357"/>
        <w:jc w:val="both"/>
        <w:rPr>
          <w:rFonts w:ascii="Times New Roman" w:hAnsi="Times New Roman"/>
          <w:b/>
          <w:bCs/>
          <w:caps/>
          <w:lang w:val="sk-SK"/>
        </w:rPr>
      </w:pPr>
      <w:r w:rsidRPr="00DA5B8F">
        <w:rPr>
          <w:rFonts w:ascii="Times New Roman" w:hAnsi="Times New Roman"/>
          <w:b/>
          <w:bCs/>
          <w:caps/>
          <w:lang w:val="sk-SK"/>
        </w:rPr>
        <w:t xml:space="preserve">Fond národného majetku Slovenskej republiky </w:t>
        <w:tab/>
        <w:t>5</w:t>
      </w:r>
    </w:p>
    <w:p w:rsidR="002C3B67" w:rsidRPr="00DA5B8F">
      <w:pPr>
        <w:numPr>
          <w:ilvl w:val="1"/>
          <w:numId w:val="2"/>
        </w:numPr>
        <w:tabs>
          <w:tab w:val="clear" w:pos="360"/>
          <w:tab w:val="num" w:pos="900"/>
          <w:tab w:val="right" w:leader="dot" w:pos="9360"/>
        </w:tabs>
        <w:bidi w:val="0"/>
        <w:spacing w:line="264" w:lineRule="auto"/>
        <w:ind w:firstLine="0"/>
        <w:jc w:val="both"/>
        <w:rPr>
          <w:rFonts w:ascii="Times New Roman" w:hAnsi="Times New Roman"/>
          <w:lang w:val="sk-SK"/>
        </w:rPr>
      </w:pPr>
      <w:r w:rsidRPr="00DA5B8F">
        <w:rPr>
          <w:rFonts w:ascii="Times New Roman" w:hAnsi="Times New Roman"/>
          <w:lang w:val="sk-SK"/>
        </w:rPr>
        <w:t xml:space="preserve">Postavenie fondu </w:t>
        <w:tab/>
        <w:t>5</w:t>
      </w:r>
    </w:p>
    <w:p w:rsidR="002C3B67" w:rsidRPr="00DA5B8F">
      <w:pPr>
        <w:numPr>
          <w:ilvl w:val="1"/>
          <w:numId w:val="2"/>
        </w:numPr>
        <w:tabs>
          <w:tab w:val="clear" w:pos="360"/>
          <w:tab w:val="num" w:pos="900"/>
          <w:tab w:val="right" w:leader="dot" w:pos="9360"/>
        </w:tabs>
        <w:bidi w:val="0"/>
        <w:spacing w:line="264" w:lineRule="auto"/>
        <w:ind w:firstLine="0"/>
        <w:jc w:val="both"/>
        <w:rPr>
          <w:rFonts w:ascii="Times New Roman" w:hAnsi="Times New Roman"/>
          <w:lang w:val="sk-SK"/>
        </w:rPr>
      </w:pPr>
      <w:r w:rsidRPr="00DA5B8F">
        <w:rPr>
          <w:rFonts w:ascii="Times New Roman" w:hAnsi="Times New Roman"/>
          <w:lang w:val="sk-SK"/>
        </w:rPr>
        <w:t xml:space="preserve">Pôsobnosť fondu </w:t>
        <w:tab/>
        <w:t>5</w:t>
      </w:r>
    </w:p>
    <w:p w:rsidR="002C3B67" w:rsidRPr="00DA5B8F">
      <w:pPr>
        <w:numPr>
          <w:ilvl w:val="1"/>
          <w:numId w:val="2"/>
        </w:numPr>
        <w:tabs>
          <w:tab w:val="clear" w:pos="360"/>
          <w:tab w:val="num" w:pos="900"/>
          <w:tab w:val="right" w:leader="dot" w:pos="9360"/>
        </w:tabs>
        <w:bidi w:val="0"/>
        <w:spacing w:line="264" w:lineRule="auto"/>
        <w:ind w:firstLine="0"/>
        <w:jc w:val="both"/>
        <w:rPr>
          <w:rFonts w:ascii="Times New Roman" w:hAnsi="Times New Roman"/>
          <w:lang w:val="sk-SK"/>
        </w:rPr>
      </w:pPr>
      <w:r w:rsidRPr="00DA5B8F">
        <w:rPr>
          <w:rFonts w:ascii="Times New Roman" w:hAnsi="Times New Roman"/>
          <w:lang w:val="sk-SK"/>
        </w:rPr>
        <w:t xml:space="preserve">Majetok fondu a jeho použitie </w:t>
        <w:tab/>
        <w:t>5</w:t>
      </w:r>
    </w:p>
    <w:p w:rsidR="002C3B67" w:rsidRPr="00DA5B8F">
      <w:pPr>
        <w:numPr>
          <w:ilvl w:val="1"/>
          <w:numId w:val="2"/>
        </w:numPr>
        <w:tabs>
          <w:tab w:val="clear" w:pos="360"/>
          <w:tab w:val="num" w:pos="900"/>
          <w:tab w:val="right" w:leader="dot" w:pos="9360"/>
        </w:tabs>
        <w:bidi w:val="0"/>
        <w:spacing w:line="264" w:lineRule="auto"/>
        <w:ind w:firstLine="0"/>
        <w:jc w:val="both"/>
        <w:rPr>
          <w:rFonts w:ascii="Times New Roman" w:hAnsi="Times New Roman"/>
          <w:lang w:val="sk-SK"/>
        </w:rPr>
      </w:pPr>
      <w:r w:rsidRPr="00DA5B8F">
        <w:rPr>
          <w:rFonts w:ascii="Times New Roman" w:hAnsi="Times New Roman"/>
          <w:lang w:val="sk-SK"/>
        </w:rPr>
        <w:t xml:space="preserve">Vzťah fondu k orgánom štátnej správy a iným subjektom </w:t>
        <w:tab/>
        <w:t>6</w:t>
      </w:r>
    </w:p>
    <w:p w:rsidR="002C3B67" w:rsidRPr="00DA5B8F">
      <w:pPr>
        <w:numPr>
          <w:ilvl w:val="1"/>
          <w:numId w:val="2"/>
        </w:numPr>
        <w:tabs>
          <w:tab w:val="clear" w:pos="360"/>
          <w:tab w:val="num" w:pos="900"/>
          <w:tab w:val="right" w:leader="dot" w:pos="9360"/>
        </w:tabs>
        <w:bidi w:val="0"/>
        <w:spacing w:line="264" w:lineRule="auto"/>
        <w:ind w:firstLine="0"/>
        <w:jc w:val="both"/>
        <w:rPr>
          <w:rFonts w:ascii="Times New Roman" w:hAnsi="Times New Roman"/>
          <w:lang w:val="sk-SK"/>
        </w:rPr>
      </w:pPr>
      <w:r w:rsidRPr="00DA5B8F">
        <w:rPr>
          <w:rFonts w:ascii="Times New Roman" w:hAnsi="Times New Roman"/>
          <w:lang w:val="sk-SK"/>
        </w:rPr>
        <w:t xml:space="preserve">Orgány fondu </w:t>
        <w:tab/>
        <w:t>6</w:t>
      </w:r>
    </w:p>
    <w:p w:rsidR="002C3B67" w:rsidRPr="00DA5B8F">
      <w:pPr>
        <w:numPr>
          <w:ilvl w:val="1"/>
          <w:numId w:val="2"/>
        </w:numPr>
        <w:tabs>
          <w:tab w:val="clear" w:pos="360"/>
          <w:tab w:val="num" w:pos="900"/>
          <w:tab w:val="right" w:leader="dot" w:pos="9360"/>
        </w:tabs>
        <w:bidi w:val="0"/>
        <w:spacing w:line="264" w:lineRule="auto"/>
        <w:ind w:firstLine="0"/>
        <w:jc w:val="both"/>
        <w:rPr>
          <w:rFonts w:ascii="Times New Roman" w:hAnsi="Times New Roman"/>
          <w:lang w:val="sk-SK"/>
        </w:rPr>
      </w:pPr>
      <w:r w:rsidRPr="00DA5B8F">
        <w:rPr>
          <w:rFonts w:ascii="Times New Roman" w:hAnsi="Times New Roman"/>
          <w:lang w:val="sk-SK"/>
        </w:rPr>
        <w:t xml:space="preserve">Organizačná štruktúra fondu </w:t>
        <w:tab/>
        <w:t>8</w:t>
      </w:r>
    </w:p>
    <w:p w:rsidR="002C3B67" w:rsidRPr="00DA5B8F">
      <w:pPr>
        <w:pStyle w:val="Header"/>
        <w:numPr>
          <w:numId w:val="1"/>
        </w:numPr>
        <w:tabs>
          <w:tab w:val="clear" w:pos="4703"/>
          <w:tab w:val="right" w:leader="dot" w:pos="9360"/>
          <w:tab w:val="clear" w:pos="9406"/>
        </w:tabs>
        <w:bidi w:val="0"/>
        <w:spacing w:before="240" w:line="264" w:lineRule="auto"/>
        <w:ind w:left="357" w:hanging="357"/>
        <w:jc w:val="both"/>
        <w:rPr>
          <w:rFonts w:ascii="Times New Roman" w:hAnsi="Times New Roman"/>
          <w:b/>
          <w:bCs/>
          <w:caps/>
          <w:lang w:val="sk-SK"/>
        </w:rPr>
      </w:pPr>
      <w:r w:rsidRPr="00DA5B8F">
        <w:rPr>
          <w:rFonts w:ascii="Times New Roman" w:hAnsi="Times New Roman"/>
          <w:b/>
          <w:bCs/>
          <w:caps/>
          <w:lang w:val="sk-SK"/>
        </w:rPr>
        <w:t>Hlavné aktivity fondu v roku 201</w:t>
      </w:r>
      <w:r w:rsidRPr="00DA5B8F" w:rsidR="00F53FFE">
        <w:rPr>
          <w:rFonts w:ascii="Times New Roman" w:hAnsi="Times New Roman"/>
          <w:b/>
          <w:bCs/>
          <w:caps/>
          <w:lang w:val="sk-SK"/>
        </w:rPr>
        <w:t>4</w:t>
      </w:r>
      <w:r w:rsidRPr="00DA5B8F">
        <w:rPr>
          <w:rFonts w:ascii="Times New Roman" w:hAnsi="Times New Roman"/>
          <w:b/>
          <w:bCs/>
          <w:caps/>
          <w:lang w:val="sk-SK"/>
        </w:rPr>
        <w:t xml:space="preserve"> </w:t>
        <w:tab/>
        <w:t>9</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sidR="003474EE">
        <w:rPr>
          <w:rFonts w:ascii="Times New Roman" w:hAnsi="Times New Roman"/>
          <w:lang w:val="sk-SK"/>
        </w:rPr>
        <w:t>Nakladanie s majetkovými účasťami fondu</w:t>
      </w:r>
      <w:r w:rsidRPr="00DA5B8F">
        <w:rPr>
          <w:rFonts w:ascii="Times New Roman" w:hAnsi="Times New Roman"/>
          <w:lang w:val="sk-SK"/>
        </w:rPr>
        <w:t xml:space="preserve"> </w:t>
        <w:tab/>
        <w:t>9</w:t>
      </w:r>
    </w:p>
    <w:p w:rsidR="00C71980"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Výkon akcionárskych práv </w:t>
        <w:tab/>
        <w:t>1</w:t>
      </w:r>
      <w:r w:rsidR="00C9672C">
        <w:rPr>
          <w:rFonts w:ascii="Times New Roman" w:hAnsi="Times New Roman"/>
          <w:lang w:val="sk-SK"/>
        </w:rPr>
        <w:t>3</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Kapitálový trh a dlhopisy </w:t>
        <w:tab/>
        <w:t>1</w:t>
      </w:r>
      <w:r w:rsidR="00C9672C">
        <w:rPr>
          <w:rFonts w:ascii="Times New Roman" w:hAnsi="Times New Roman"/>
          <w:lang w:val="sk-SK"/>
        </w:rPr>
        <w:t>7</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Reštitúcie a bezodplatné prevody </w:t>
        <w:tab/>
      </w:r>
      <w:r w:rsidR="00D67CD1">
        <w:rPr>
          <w:rFonts w:ascii="Times New Roman" w:hAnsi="Times New Roman"/>
          <w:lang w:val="sk-SK"/>
        </w:rPr>
        <w:t>20</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Monitorovanie pohľadávok, likvidácie, exekúcie a konkurzy </w:t>
        <w:tab/>
        <w:t>2</w:t>
      </w:r>
      <w:r w:rsidR="00D67CD1">
        <w:rPr>
          <w:rFonts w:ascii="Times New Roman" w:hAnsi="Times New Roman"/>
          <w:lang w:val="sk-SK"/>
        </w:rPr>
        <w:t>2</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Kontrola a vybavovanie sťažností </w:t>
        <w:tab/>
        <w:t>2</w:t>
      </w:r>
      <w:r w:rsidR="00D67CD1">
        <w:rPr>
          <w:rFonts w:ascii="Times New Roman" w:hAnsi="Times New Roman"/>
          <w:lang w:val="sk-SK"/>
        </w:rPr>
        <w:t>4</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Súdne spory a právna agenda </w:t>
        <w:tab/>
        <w:t>2</w:t>
      </w:r>
      <w:r w:rsidR="00D67CD1">
        <w:rPr>
          <w:rFonts w:ascii="Times New Roman" w:hAnsi="Times New Roman"/>
          <w:lang w:val="sk-SK"/>
        </w:rPr>
        <w:t>6</w:t>
      </w:r>
    </w:p>
    <w:p w:rsidR="002C3B67" w:rsidRPr="00DA5B8F">
      <w:pPr>
        <w:pStyle w:val="Header"/>
        <w:numPr>
          <w:ilvl w:val="1"/>
          <w:numId w:val="5"/>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 xml:space="preserve">Poskytovanie informácií </w:t>
        <w:tab/>
        <w:t>2</w:t>
      </w:r>
      <w:r w:rsidR="00D67CD1">
        <w:rPr>
          <w:rFonts w:ascii="Times New Roman" w:hAnsi="Times New Roman"/>
          <w:lang w:val="sk-SK"/>
        </w:rPr>
        <w:t>8</w:t>
      </w:r>
    </w:p>
    <w:p w:rsidR="002C3B67" w:rsidRPr="00DA5B8F">
      <w:pPr>
        <w:numPr>
          <w:numId w:val="1"/>
        </w:numPr>
        <w:tabs>
          <w:tab w:val="right" w:leader="dot" w:pos="9360"/>
        </w:tabs>
        <w:bidi w:val="0"/>
        <w:spacing w:before="240" w:line="264" w:lineRule="auto"/>
        <w:ind w:left="357" w:hanging="357"/>
        <w:jc w:val="both"/>
        <w:rPr>
          <w:rFonts w:ascii="Times New Roman" w:hAnsi="Times New Roman"/>
          <w:b/>
          <w:bCs/>
          <w:caps/>
          <w:lang w:val="sk-SK"/>
        </w:rPr>
      </w:pPr>
      <w:r w:rsidRPr="00DA5B8F">
        <w:rPr>
          <w:rFonts w:ascii="Times New Roman" w:hAnsi="Times New Roman"/>
          <w:b/>
          <w:bCs/>
          <w:caps/>
          <w:lang w:val="sk-SK"/>
        </w:rPr>
        <w:t>Hospodárenie fondu v roku 201</w:t>
      </w:r>
      <w:r w:rsidRPr="00DA5B8F" w:rsidR="00F53FFE">
        <w:rPr>
          <w:rFonts w:ascii="Times New Roman" w:hAnsi="Times New Roman"/>
          <w:b/>
          <w:bCs/>
          <w:caps/>
          <w:lang w:val="sk-SK"/>
        </w:rPr>
        <w:t>4</w:t>
      </w:r>
      <w:r w:rsidRPr="00DA5B8F">
        <w:rPr>
          <w:rFonts w:ascii="Times New Roman" w:hAnsi="Times New Roman"/>
          <w:b/>
          <w:bCs/>
          <w:caps/>
          <w:lang w:val="sk-SK"/>
        </w:rPr>
        <w:t xml:space="preserve"> </w:t>
        <w:tab/>
      </w:r>
      <w:r w:rsidR="00D67CD1">
        <w:rPr>
          <w:rFonts w:ascii="Times New Roman" w:hAnsi="Times New Roman"/>
          <w:b/>
          <w:bCs/>
          <w:caps/>
          <w:lang w:val="sk-SK"/>
        </w:rPr>
        <w:t>30</w:t>
      </w:r>
    </w:p>
    <w:p w:rsidR="002C3B67" w:rsidRPr="00DA5B8F">
      <w:pPr>
        <w:pStyle w:val="Header"/>
        <w:numPr>
          <w:ilvl w:val="1"/>
          <w:numId w:val="6"/>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Príjmy fondu (počítané na báze cash flow)</w:t>
        <w:tab/>
      </w:r>
      <w:r w:rsidR="00D67CD1">
        <w:rPr>
          <w:rFonts w:ascii="Times New Roman" w:hAnsi="Times New Roman"/>
          <w:lang w:val="sk-SK"/>
        </w:rPr>
        <w:t>30</w:t>
      </w:r>
    </w:p>
    <w:p w:rsidR="002C3B67" w:rsidRPr="00DA5B8F">
      <w:pPr>
        <w:pStyle w:val="Header"/>
        <w:numPr>
          <w:ilvl w:val="1"/>
          <w:numId w:val="6"/>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Výdavky fondu (počítané na báze cash flow)</w:t>
        <w:tab/>
      </w:r>
      <w:r w:rsidR="00D67CD1">
        <w:rPr>
          <w:rFonts w:ascii="Times New Roman" w:hAnsi="Times New Roman"/>
          <w:lang w:val="sk-SK"/>
        </w:rPr>
        <w:t>31</w:t>
      </w:r>
    </w:p>
    <w:p w:rsidR="002C3B67" w:rsidRPr="00DA5B8F">
      <w:pPr>
        <w:pStyle w:val="Header"/>
        <w:numPr>
          <w:ilvl w:val="1"/>
          <w:numId w:val="6"/>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Bilancia príjmov a výdavkov fondu k 31. 12. 201</w:t>
      </w:r>
      <w:r w:rsidRPr="00DA5B8F" w:rsidR="00F53FFE">
        <w:rPr>
          <w:rFonts w:ascii="Times New Roman" w:hAnsi="Times New Roman"/>
          <w:lang w:val="sk-SK"/>
        </w:rPr>
        <w:t>4</w:t>
      </w:r>
      <w:r w:rsidRPr="00DA5B8F">
        <w:rPr>
          <w:rFonts w:ascii="Times New Roman" w:hAnsi="Times New Roman"/>
          <w:lang w:val="sk-SK"/>
        </w:rPr>
        <w:t xml:space="preserve"> (počítaná na báze cash flow) </w:t>
        <w:tab/>
        <w:t>3</w:t>
      </w:r>
      <w:r w:rsidR="00D67CD1">
        <w:rPr>
          <w:rFonts w:ascii="Times New Roman" w:hAnsi="Times New Roman"/>
          <w:lang w:val="sk-SK"/>
        </w:rPr>
        <w:t>4</w:t>
      </w:r>
    </w:p>
    <w:p w:rsidR="002C3B67" w:rsidRPr="00DA5B8F">
      <w:pPr>
        <w:pStyle w:val="Header"/>
        <w:numPr>
          <w:ilvl w:val="1"/>
          <w:numId w:val="6"/>
        </w:numPr>
        <w:tabs>
          <w:tab w:val="clear" w:pos="360"/>
          <w:tab w:val="num" w:pos="900"/>
          <w:tab w:val="clear" w:pos="4703"/>
          <w:tab w:val="right" w:leader="dot" w:pos="9360"/>
          <w:tab w:val="clear" w:pos="9406"/>
        </w:tabs>
        <w:bidi w:val="0"/>
        <w:spacing w:line="264" w:lineRule="auto"/>
        <w:ind w:firstLine="0"/>
        <w:jc w:val="both"/>
        <w:rPr>
          <w:rFonts w:ascii="Times New Roman" w:hAnsi="Times New Roman"/>
          <w:lang w:val="sk-SK"/>
        </w:rPr>
      </w:pPr>
      <w:r w:rsidRPr="00DA5B8F">
        <w:rPr>
          <w:rFonts w:ascii="Times New Roman" w:hAnsi="Times New Roman"/>
          <w:lang w:val="sk-SK"/>
        </w:rPr>
        <w:t>Stav majetku fondu k 31. 12. 201</w:t>
      </w:r>
      <w:r w:rsidRPr="00DA5B8F" w:rsidR="00F53FFE">
        <w:rPr>
          <w:rFonts w:ascii="Times New Roman" w:hAnsi="Times New Roman"/>
          <w:lang w:val="sk-SK"/>
        </w:rPr>
        <w:t>4</w:t>
      </w:r>
      <w:r w:rsidRPr="00DA5B8F">
        <w:rPr>
          <w:rFonts w:ascii="Times New Roman" w:hAnsi="Times New Roman"/>
          <w:lang w:val="sk-SK"/>
        </w:rPr>
        <w:t xml:space="preserve"> </w:t>
        <w:tab/>
        <w:t>3</w:t>
      </w:r>
      <w:r w:rsidR="00D67CD1">
        <w:rPr>
          <w:rFonts w:ascii="Times New Roman" w:hAnsi="Times New Roman"/>
          <w:lang w:val="sk-SK"/>
        </w:rPr>
        <w:t>5</w:t>
      </w:r>
    </w:p>
    <w:p w:rsidR="002C3B67" w:rsidRPr="00DA5B8F">
      <w:pPr>
        <w:numPr>
          <w:numId w:val="1"/>
        </w:numPr>
        <w:tabs>
          <w:tab w:val="right" w:leader="dot" w:pos="9360"/>
        </w:tabs>
        <w:bidi w:val="0"/>
        <w:spacing w:before="240" w:line="264" w:lineRule="auto"/>
        <w:ind w:left="357" w:hanging="357"/>
        <w:jc w:val="both"/>
        <w:rPr>
          <w:rFonts w:ascii="Times New Roman" w:hAnsi="Times New Roman"/>
          <w:b/>
          <w:bCs/>
          <w:caps/>
          <w:lang w:val="sk-SK"/>
        </w:rPr>
      </w:pPr>
      <w:r w:rsidRPr="00DA5B8F">
        <w:rPr>
          <w:rFonts w:ascii="Times New Roman" w:hAnsi="Times New Roman"/>
          <w:b/>
          <w:bCs/>
          <w:caps/>
          <w:lang w:val="sk-SK"/>
        </w:rPr>
        <w:t xml:space="preserve">Personálne otázky </w:t>
        <w:tab/>
        <w:t>3</w:t>
      </w:r>
      <w:r w:rsidR="00D67CD1">
        <w:rPr>
          <w:rFonts w:ascii="Times New Roman" w:hAnsi="Times New Roman"/>
          <w:b/>
          <w:bCs/>
          <w:caps/>
          <w:lang w:val="sk-SK"/>
        </w:rPr>
        <w:t>6</w:t>
      </w:r>
    </w:p>
    <w:p w:rsidR="002C3B67" w:rsidRPr="00DA5B8F">
      <w:pPr>
        <w:numPr>
          <w:numId w:val="1"/>
        </w:numPr>
        <w:tabs>
          <w:tab w:val="right" w:leader="dot" w:pos="9360"/>
        </w:tabs>
        <w:bidi w:val="0"/>
        <w:spacing w:before="240" w:line="264" w:lineRule="auto"/>
        <w:ind w:left="357" w:hanging="357"/>
        <w:jc w:val="both"/>
        <w:rPr>
          <w:rFonts w:ascii="Times New Roman" w:hAnsi="Times New Roman"/>
          <w:b/>
          <w:bCs/>
          <w:caps/>
          <w:lang w:val="sk-SK"/>
        </w:rPr>
      </w:pPr>
      <w:r w:rsidRPr="00DA5B8F">
        <w:rPr>
          <w:rFonts w:ascii="Times New Roman" w:hAnsi="Times New Roman"/>
          <w:b/>
          <w:bCs/>
          <w:caps/>
          <w:lang w:val="sk-SK"/>
        </w:rPr>
        <w:t xml:space="preserve">Príprava na ukončenie činnosti fondu </w:t>
        <w:tab/>
        <w:t>3</w:t>
      </w:r>
      <w:r w:rsidR="00D67CD1">
        <w:rPr>
          <w:rFonts w:ascii="Times New Roman" w:hAnsi="Times New Roman"/>
          <w:b/>
          <w:bCs/>
          <w:caps/>
          <w:lang w:val="sk-SK"/>
        </w:rPr>
        <w:t>7</w:t>
      </w:r>
    </w:p>
    <w:p w:rsidR="002C3B67" w:rsidRPr="00DA5B8F" w:rsidP="00387D1C">
      <w:pPr>
        <w:tabs>
          <w:tab w:val="right" w:leader="dot" w:pos="9360"/>
        </w:tabs>
        <w:bidi w:val="0"/>
        <w:spacing w:before="120" w:line="264" w:lineRule="auto"/>
        <w:ind w:left="357"/>
        <w:jc w:val="both"/>
        <w:rPr>
          <w:rFonts w:ascii="Times New Roman" w:hAnsi="Times New Roman"/>
          <w:b/>
          <w:bCs/>
          <w:caps/>
          <w:lang w:val="sk-SK"/>
        </w:rPr>
      </w:pPr>
    </w:p>
    <w:tbl>
      <w:tblPr>
        <w:tblStyle w:val="TableNormal"/>
        <w:tblW w:w="0" w:type="auto"/>
        <w:tblCellMar>
          <w:top w:w="0" w:type="dxa"/>
          <w:left w:w="70" w:type="dxa"/>
          <w:bottom w:w="0" w:type="dxa"/>
          <w:right w:w="70" w:type="dxa"/>
        </w:tblCellMar>
      </w:tblPr>
      <w:tblGrid>
        <w:gridCol w:w="1690"/>
        <w:gridCol w:w="7868"/>
      </w:tblGrid>
      <w:tr>
        <w:tblPrEx>
          <w:tblW w:w="0" w:type="auto"/>
          <w:tblCellMar>
            <w:top w:w="0" w:type="dxa"/>
            <w:left w:w="70" w:type="dxa"/>
            <w:bottom w:w="0" w:type="dxa"/>
            <w:right w:w="70" w:type="dxa"/>
          </w:tblCellMar>
        </w:tblPrEx>
        <w:tc>
          <w:tcPr>
            <w:tcW w:w="1690" w:type="dxa"/>
            <w:tcBorders>
              <w:top w:val="nil"/>
              <w:left w:val="nil"/>
              <w:bottom w:val="nil"/>
              <w:right w:val="nil"/>
            </w:tcBorders>
            <w:textDirection w:val="lrTb"/>
            <w:vAlign w:val="top"/>
          </w:tcPr>
          <w:p w:rsidR="002C3B67" w:rsidRPr="00DA5B8F">
            <w:pPr>
              <w:bidi w:val="0"/>
              <w:spacing w:before="240"/>
              <w:jc w:val="both"/>
              <w:rPr>
                <w:rFonts w:ascii="Times New Roman" w:hAnsi="Times New Roman"/>
                <w:lang w:val="sk-SK"/>
              </w:rPr>
            </w:pPr>
            <w:r w:rsidRPr="00DA5B8F">
              <w:rPr>
                <w:rFonts w:ascii="Times New Roman" w:hAnsi="Times New Roman"/>
                <w:lang w:val="sk-SK"/>
              </w:rPr>
              <w:t>Príloha č. 1</w:t>
            </w:r>
          </w:p>
        </w:tc>
        <w:tc>
          <w:tcPr>
            <w:tcW w:w="7868" w:type="dxa"/>
            <w:tcBorders>
              <w:top w:val="nil"/>
              <w:left w:val="nil"/>
              <w:bottom w:val="nil"/>
              <w:right w:val="nil"/>
            </w:tcBorders>
            <w:textDirection w:val="lrTb"/>
            <w:vAlign w:val="top"/>
          </w:tcPr>
          <w:p w:rsidR="002C3B67" w:rsidRPr="00DA5B8F" w:rsidP="00F53FFE">
            <w:pPr>
              <w:pStyle w:val="Header"/>
              <w:tabs>
                <w:tab w:val="clear" w:pos="4703"/>
                <w:tab w:val="clear" w:pos="9406"/>
              </w:tabs>
              <w:bidi w:val="0"/>
              <w:spacing w:before="240"/>
              <w:rPr>
                <w:rFonts w:ascii="Times New Roman" w:hAnsi="Times New Roman"/>
                <w:lang w:val="sk-SK"/>
              </w:rPr>
            </w:pPr>
            <w:r w:rsidRPr="00DA5B8F">
              <w:rPr>
                <w:rFonts w:ascii="Times New Roman" w:hAnsi="Times New Roman"/>
                <w:lang w:val="sk-SK"/>
              </w:rPr>
              <w:t>Majetkové účasti Fondu národného majetku Slovenskej republiky k 31. 12. 201</w:t>
            </w:r>
            <w:r w:rsidRPr="00DA5B8F" w:rsidR="00F53FFE">
              <w:rPr>
                <w:rFonts w:ascii="Times New Roman" w:hAnsi="Times New Roman"/>
                <w:lang w:val="sk-SK"/>
              </w:rPr>
              <w:t>4</w:t>
            </w:r>
          </w:p>
        </w:tc>
      </w:tr>
      <w:tr>
        <w:tblPrEx>
          <w:tblW w:w="0" w:type="auto"/>
          <w:tblCellMar>
            <w:top w:w="0" w:type="dxa"/>
            <w:left w:w="70" w:type="dxa"/>
            <w:bottom w:w="0" w:type="dxa"/>
            <w:right w:w="70" w:type="dxa"/>
          </w:tblCellMar>
        </w:tblPrEx>
        <w:tc>
          <w:tcPr>
            <w:tcW w:w="1690" w:type="dxa"/>
            <w:tcBorders>
              <w:top w:val="nil"/>
              <w:left w:val="nil"/>
              <w:bottom w:val="nil"/>
              <w:right w:val="nil"/>
            </w:tcBorders>
            <w:textDirection w:val="lrTb"/>
            <w:vAlign w:val="top"/>
          </w:tcPr>
          <w:p w:rsidR="002C3B67" w:rsidRPr="00DA5B8F">
            <w:pPr>
              <w:bidi w:val="0"/>
              <w:spacing w:before="240"/>
              <w:jc w:val="both"/>
              <w:rPr>
                <w:rFonts w:ascii="Times New Roman" w:hAnsi="Times New Roman"/>
                <w:lang w:val="sk-SK"/>
              </w:rPr>
            </w:pPr>
            <w:r w:rsidRPr="00DA5B8F">
              <w:rPr>
                <w:rFonts w:ascii="Times New Roman" w:hAnsi="Times New Roman"/>
                <w:lang w:val="sk-SK"/>
              </w:rPr>
              <w:t>Príloha č. 2</w:t>
            </w:r>
          </w:p>
        </w:tc>
        <w:tc>
          <w:tcPr>
            <w:tcW w:w="7868" w:type="dxa"/>
            <w:tcBorders>
              <w:top w:val="nil"/>
              <w:left w:val="nil"/>
              <w:bottom w:val="nil"/>
              <w:right w:val="nil"/>
            </w:tcBorders>
            <w:textDirection w:val="lrTb"/>
            <w:vAlign w:val="top"/>
          </w:tcPr>
          <w:p w:rsidR="002C3B67" w:rsidRPr="00DA5B8F">
            <w:pPr>
              <w:pStyle w:val="Header"/>
              <w:tabs>
                <w:tab w:val="clear" w:pos="4703"/>
                <w:tab w:val="clear" w:pos="9406"/>
              </w:tabs>
              <w:bidi w:val="0"/>
              <w:spacing w:before="240"/>
              <w:rPr>
                <w:rFonts w:ascii="Times New Roman" w:hAnsi="Times New Roman"/>
                <w:lang w:val="sk-SK"/>
              </w:rPr>
            </w:pPr>
            <w:r w:rsidRPr="00DA5B8F">
              <w:rPr>
                <w:rFonts w:ascii="Times New Roman" w:hAnsi="Times New Roman"/>
                <w:lang w:val="sk-SK"/>
              </w:rPr>
              <w:t xml:space="preserve">Dodatok správy audítora o overení súladu výročnej správy s účtovnou závierkou v zmysle § 23 ods. 5 zákona č. 540/2007 Z. z. </w:t>
            </w:r>
          </w:p>
        </w:tc>
      </w:tr>
    </w:tbl>
    <w:p w:rsidR="002C3B67" w:rsidRPr="00DA5B8F">
      <w:pPr>
        <w:bidi w:val="0"/>
        <w:rPr>
          <w:rFonts w:ascii="Times New Roman" w:hAnsi="Times New Roman"/>
          <w:b/>
          <w:bCs/>
          <w:caps/>
          <w:lang w:val="sk-SK"/>
        </w:rPr>
      </w:pPr>
      <w:r w:rsidRPr="00DA5B8F">
        <w:rPr>
          <w:rFonts w:ascii="Times New Roman" w:hAnsi="Times New Roman"/>
          <w:b/>
          <w:bCs/>
          <w:lang w:val="sk-SK"/>
        </w:rPr>
        <w:br w:type="page"/>
      </w:r>
      <w:r w:rsidRPr="00DA5B8F">
        <w:rPr>
          <w:rFonts w:ascii="Times New Roman" w:hAnsi="Times New Roman"/>
          <w:b/>
          <w:bCs/>
          <w:caps/>
          <w:lang w:val="sk-SK"/>
        </w:rPr>
        <w:t>Zoznam použitých skratiek:</w:t>
      </w:r>
    </w:p>
    <w:p w:rsidR="002C3B67" w:rsidRPr="00DA5B8F">
      <w:pPr>
        <w:bidi w:val="0"/>
        <w:rPr>
          <w:rFonts w:ascii="Times New Roman" w:hAnsi="Times New Roman"/>
          <w:b/>
          <w:bCs/>
          <w:smallCaps/>
          <w:lang w:val="sk-SK"/>
        </w:rPr>
      </w:pPr>
    </w:p>
    <w:tbl>
      <w:tblPr>
        <w:tblStyle w:val="TableNormal"/>
        <w:tblW w:w="0" w:type="auto"/>
        <w:tblBorders>
          <w:top w:val="single" w:sz="4" w:space="0" w:color="C0C0C0"/>
          <w:bottom w:val="single" w:sz="4" w:space="0" w:color="C0C0C0"/>
          <w:insideH w:val="single" w:sz="4" w:space="0" w:color="C0C0C0"/>
        </w:tblBorders>
        <w:tblCellMar>
          <w:top w:w="0" w:type="dxa"/>
          <w:left w:w="70" w:type="dxa"/>
          <w:bottom w:w="0" w:type="dxa"/>
          <w:right w:w="70" w:type="dxa"/>
        </w:tblCellMar>
      </w:tblPr>
      <w:tblGrid>
        <w:gridCol w:w="2410"/>
        <w:gridCol w:w="7148"/>
      </w:tblGrid>
      <w:tr>
        <w:tblPrEx>
          <w:tblW w:w="0" w:type="auto"/>
          <w:tblBorders>
            <w:top w:val="single" w:sz="4" w:space="0" w:color="C0C0C0"/>
            <w:bottom w:val="single" w:sz="4" w:space="0" w:color="C0C0C0"/>
            <w:insideH w:val="single" w:sz="4" w:space="0" w:color="C0C0C0"/>
          </w:tblBorders>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BCPB</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Burza cenných papierov v Bratislave, a. s.</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CDCP</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Centrálny depozitár cenných papierov SR, a. s.</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b/>
                <w:bCs/>
                <w:lang w:val="sk-SK"/>
              </w:rPr>
            </w:pPr>
            <w:r w:rsidRPr="00DA5B8F">
              <w:rPr>
                <w:rFonts w:ascii="Times New Roman" w:hAnsi="Times New Roman"/>
                <w:b/>
                <w:bCs/>
                <w:lang w:val="sk-SK"/>
              </w:rPr>
              <w:t>DLHOPIS</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DLHOPIS, o.</w:t>
            </w:r>
            <w:r w:rsidR="00D67CD1">
              <w:rPr>
                <w:rFonts w:ascii="Times New Roman" w:hAnsi="Times New Roman"/>
                <w:lang w:val="sk-SK"/>
              </w:rPr>
              <w:t> </w:t>
            </w:r>
            <w:r w:rsidRPr="00DA5B8F">
              <w:rPr>
                <w:rFonts w:ascii="Times New Roman" w:hAnsi="Times New Roman"/>
                <w:lang w:val="sk-SK"/>
              </w:rPr>
              <w:t>c.</w:t>
            </w:r>
            <w:r w:rsidR="00D67CD1">
              <w:rPr>
                <w:rFonts w:ascii="Times New Roman" w:hAnsi="Times New Roman"/>
                <w:lang w:val="sk-SK"/>
              </w:rPr>
              <w:t> </w:t>
            </w:r>
            <w:r w:rsidRPr="00DA5B8F">
              <w:rPr>
                <w:rFonts w:ascii="Times New Roman" w:hAnsi="Times New Roman"/>
                <w:lang w:val="sk-SK"/>
              </w:rPr>
              <w:t>p., a.</w:t>
            </w:r>
            <w:r w:rsidR="00D67CD1">
              <w:rPr>
                <w:rFonts w:ascii="Times New Roman" w:hAnsi="Times New Roman"/>
                <w:lang w:val="sk-SK"/>
              </w:rPr>
              <w:t> </w:t>
            </w:r>
            <w:r w:rsidRPr="00DA5B8F">
              <w:rPr>
                <w:rFonts w:ascii="Times New Roman" w:hAnsi="Times New Roman"/>
                <w:lang w:val="sk-SK"/>
              </w:rPr>
              <w:t>s.</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ECB</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Európska centrálna banka</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FNM SR, fond</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Fond národného majetku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363F77" w:rsidRPr="00DA5B8F" w:rsidP="00363F77">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Letisko BTS</w:t>
            </w:r>
          </w:p>
        </w:tc>
        <w:tc>
          <w:tcPr>
            <w:tcW w:w="7148" w:type="dxa"/>
            <w:tcBorders>
              <w:top w:val="single" w:sz="4" w:space="0" w:color="C0C0C0"/>
              <w:left w:val="nil"/>
              <w:bottom w:val="single" w:sz="4" w:space="0" w:color="C0C0C0"/>
              <w:right w:val="nil"/>
            </w:tcBorders>
            <w:textDirection w:val="lrTb"/>
            <w:vAlign w:val="top"/>
          </w:tcPr>
          <w:p w:rsidR="00363F77" w:rsidRPr="00DA5B8F" w:rsidP="00363F77">
            <w:pPr>
              <w:pStyle w:val="Header"/>
              <w:tabs>
                <w:tab w:val="clear" w:pos="4703"/>
                <w:tab w:val="clear" w:pos="9406"/>
              </w:tabs>
              <w:bidi w:val="0"/>
              <w:spacing w:before="120"/>
              <w:rPr>
                <w:rFonts w:ascii="Times New Roman" w:hAnsi="Times New Roman"/>
                <w:lang w:val="sk-SK"/>
              </w:rPr>
            </w:pPr>
            <w:r w:rsidRPr="00DA5B8F">
              <w:rPr>
                <w:rFonts w:ascii="Times New Roman" w:hAnsi="Times New Roman"/>
              </w:rPr>
              <w:t>Letisko M. R. Štefánika - Airport Bratislava, a. s. (BTS)</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MDVRR SR</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Ministerstvo dopravy, výstavby a regionálneho rozvoja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MF SR</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Ministerstvo financií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MH SR</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Ministerstvo hospodárstva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MSPNM SR</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Ministerstvo pre správu a privatizáciu národného majetku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MV SR</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Ministerstvo vnútra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NR SR</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Národná rada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PP</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peňažné prostriedky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SAD</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slovenská autobusová doprava</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SPP, a. s.</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Slovenský plynárenský priemysel, a. s.</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b/>
                <w:bCs/>
                <w:lang w:val="sk-SK"/>
              </w:rPr>
            </w:pPr>
            <w:r w:rsidRPr="00DA5B8F">
              <w:rPr>
                <w:rFonts w:ascii="Times New Roman" w:hAnsi="Times New Roman"/>
                <w:b/>
                <w:bCs/>
                <w:lang w:val="sk-SK"/>
              </w:rPr>
              <w:t>ST, a. s.</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Slovak Telekom, a. s.</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vláda</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vláda Slovenskej republiky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VZ</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valné zhromaždenie</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zákon o privatizácii</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zákon č.</w:t>
            </w:r>
            <w:r w:rsidRPr="00DA5B8F">
              <w:rPr>
                <w:rFonts w:ascii="Times New Roman" w:hAnsi="Times New Roman"/>
                <w:sz w:val="16"/>
                <w:szCs w:val="16"/>
                <w:lang w:val="sk-SK"/>
              </w:rPr>
              <w:t xml:space="preserve"> </w:t>
            </w:r>
            <w:r w:rsidRPr="00DA5B8F">
              <w:rPr>
                <w:rFonts w:ascii="Times New Roman" w:hAnsi="Times New Roman"/>
                <w:lang w:val="sk-SK"/>
              </w:rPr>
              <w:t>92/1991</w:t>
            </w:r>
            <w:r w:rsidRPr="00DA5B8F">
              <w:rPr>
                <w:rFonts w:ascii="Times New Roman" w:hAnsi="Times New Roman"/>
                <w:sz w:val="16"/>
                <w:szCs w:val="16"/>
                <w:lang w:val="sk-SK"/>
              </w:rPr>
              <w:t xml:space="preserve"> </w:t>
            </w:r>
            <w:r w:rsidRPr="00DA5B8F">
              <w:rPr>
                <w:rFonts w:ascii="Times New Roman" w:hAnsi="Times New Roman"/>
                <w:lang w:val="sk-SK"/>
              </w:rPr>
              <w:t>Zb.</w:t>
            </w:r>
            <w:r w:rsidRPr="00DA5B8F">
              <w:rPr>
                <w:rFonts w:ascii="Times New Roman" w:hAnsi="Times New Roman"/>
                <w:sz w:val="16"/>
                <w:szCs w:val="16"/>
                <w:lang w:val="sk-SK"/>
              </w:rPr>
              <w:t xml:space="preserve"> </w:t>
            </w:r>
            <w:r w:rsidRPr="00DA5B8F">
              <w:rPr>
                <w:rFonts w:ascii="Times New Roman" w:hAnsi="Times New Roman"/>
                <w:lang w:val="sk-SK"/>
              </w:rPr>
              <w:t>o podmienkach prevodu majetku štátu na iné osoby</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zákon o slobode informácií</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zákon č. 211/2000 Z. z. o slobodnom prístupe k informáciám a o zmene a doplnení niektorých zákonov</w:t>
            </w:r>
          </w:p>
        </w:tc>
      </w:tr>
      <w:tr>
        <w:tblPrEx>
          <w:tblW w:w="0" w:type="auto"/>
          <w:tblCellMar>
            <w:top w:w="0" w:type="dxa"/>
            <w:left w:w="70" w:type="dxa"/>
            <w:bottom w:w="0" w:type="dxa"/>
            <w:right w:w="70" w:type="dxa"/>
          </w:tblCellMar>
        </w:tblPrEx>
        <w:tc>
          <w:tcPr>
            <w:tcW w:w="2410"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b/>
                <w:bCs/>
                <w:lang w:val="sk-SK"/>
              </w:rPr>
              <w:t>zákon o cenných papieroch</w:t>
            </w:r>
          </w:p>
        </w:tc>
        <w:tc>
          <w:tcPr>
            <w:tcW w:w="7148" w:type="dxa"/>
            <w:tcBorders>
              <w:top w:val="single" w:sz="4" w:space="0" w:color="C0C0C0"/>
              <w:left w:val="nil"/>
              <w:bottom w:val="single" w:sz="4" w:space="0" w:color="C0C0C0"/>
              <w:right w:val="nil"/>
            </w:tcBorders>
            <w:textDirection w:val="lrTb"/>
            <w:vAlign w:val="top"/>
          </w:tcPr>
          <w:p w:rsidR="002C3B67" w:rsidRPr="00DA5B8F">
            <w:pPr>
              <w:pStyle w:val="Header"/>
              <w:tabs>
                <w:tab w:val="clear" w:pos="4703"/>
                <w:tab w:val="clear" w:pos="9406"/>
              </w:tabs>
              <w:bidi w:val="0"/>
              <w:spacing w:before="120"/>
              <w:rPr>
                <w:rFonts w:ascii="Times New Roman" w:hAnsi="Times New Roman"/>
                <w:lang w:val="sk-SK"/>
              </w:rPr>
            </w:pPr>
            <w:r w:rsidRPr="00DA5B8F">
              <w:rPr>
                <w:rFonts w:ascii="Times New Roman" w:hAnsi="Times New Roman"/>
                <w:lang w:val="sk-SK"/>
              </w:rPr>
              <w:t>zákon č. 566/2001 Z. z. o cenných papieroch a investičných službách a o zmene a doplnení niektorých zákonov</w:t>
            </w:r>
          </w:p>
        </w:tc>
      </w:tr>
    </w:tbl>
    <w:p w:rsidR="002C3B67" w:rsidRPr="00DA5B8F">
      <w:pPr>
        <w:tabs>
          <w:tab w:val="left" w:pos="1980"/>
        </w:tabs>
        <w:bidi w:val="0"/>
        <w:spacing w:before="120"/>
        <w:ind w:left="2160" w:hanging="2160"/>
        <w:rPr>
          <w:rFonts w:ascii="Times New Roman" w:hAnsi="Times New Roman"/>
          <w:lang w:val="sk-SK"/>
        </w:rPr>
      </w:pPr>
    </w:p>
    <w:p w:rsidR="002C3B67" w:rsidRPr="00DA5B8F">
      <w:pPr>
        <w:numPr>
          <w:numId w:val="3"/>
        </w:numPr>
        <w:tabs>
          <w:tab w:val="num" w:pos="0"/>
          <w:tab w:val="clear" w:pos="720"/>
        </w:tabs>
        <w:bidi w:val="0"/>
        <w:ind w:left="0" w:firstLine="0"/>
        <w:rPr>
          <w:rFonts w:ascii="Times New Roman" w:hAnsi="Times New Roman"/>
          <w:b/>
          <w:bCs/>
          <w:caps/>
          <w:lang w:val="sk-SK"/>
        </w:rPr>
      </w:pPr>
      <w:bookmarkStart w:id="0" w:name="OLE_LINK1"/>
      <w:r w:rsidRPr="00DA5B8F">
        <w:rPr>
          <w:rFonts w:ascii="Times New Roman" w:hAnsi="Times New Roman"/>
          <w:b/>
          <w:bCs/>
          <w:lang w:val="sk-SK"/>
        </w:rPr>
        <w:br w:type="page"/>
      </w:r>
      <w:r w:rsidRPr="00DA5B8F">
        <w:rPr>
          <w:rFonts w:ascii="Times New Roman" w:hAnsi="Times New Roman"/>
          <w:b/>
          <w:bCs/>
          <w:caps/>
          <w:lang w:val="sk-SK"/>
        </w:rPr>
        <w:t>Identifikácia organizácie</w:t>
      </w:r>
    </w:p>
    <w:p w:rsidR="002C3B67" w:rsidRPr="00DA5B8F">
      <w:pPr>
        <w:pStyle w:val="BodyTextIndent1"/>
        <w:tabs>
          <w:tab w:val="num" w:pos="0"/>
          <w:tab w:val="clear" w:pos="540"/>
        </w:tabs>
        <w:overflowPunct/>
        <w:autoSpaceDE/>
        <w:autoSpaceDN/>
        <w:bidi w:val="0"/>
        <w:adjustRightInd/>
        <w:rPr>
          <w:rFonts w:ascii="Times New Roman" w:hAnsi="Times New Roman"/>
        </w:rPr>
      </w:pPr>
      <w:bookmarkEnd w:id="0"/>
    </w:p>
    <w:p w:rsidR="002C3B67" w:rsidRPr="00DA5B8F">
      <w:pPr>
        <w:tabs>
          <w:tab w:val="left" w:pos="2160"/>
        </w:tabs>
        <w:bidi w:val="0"/>
        <w:jc w:val="both"/>
        <w:rPr>
          <w:rFonts w:ascii="Times New Roman" w:hAnsi="Times New Roman"/>
          <w:lang w:val="sk-SK"/>
        </w:rPr>
      </w:pPr>
      <w:r w:rsidRPr="00DA5B8F">
        <w:rPr>
          <w:rFonts w:ascii="Times New Roman" w:hAnsi="Times New Roman"/>
          <w:b/>
          <w:bCs/>
          <w:lang w:val="sk-SK"/>
        </w:rPr>
        <w:t>Názov:</w:t>
        <w:tab/>
      </w:r>
      <w:r w:rsidRPr="00DA5B8F">
        <w:rPr>
          <w:rFonts w:ascii="Times New Roman" w:hAnsi="Times New Roman"/>
          <w:lang w:val="sk-SK"/>
        </w:rPr>
        <w:t>Fond národného majetku Slovenskej republiky</w:t>
      </w:r>
    </w:p>
    <w:p w:rsidR="002C3B67" w:rsidRPr="00DA5B8F">
      <w:pPr>
        <w:bidi w:val="0"/>
        <w:jc w:val="both"/>
        <w:rPr>
          <w:rFonts w:ascii="Times New Roman" w:hAnsi="Times New Roman"/>
          <w:lang w:val="sk-SK"/>
        </w:rPr>
      </w:pPr>
    </w:p>
    <w:p w:rsidR="002C3B67" w:rsidRPr="00DA5B8F">
      <w:pPr>
        <w:tabs>
          <w:tab w:val="left" w:pos="2160"/>
        </w:tabs>
        <w:bidi w:val="0"/>
        <w:jc w:val="both"/>
        <w:rPr>
          <w:rFonts w:ascii="Times New Roman" w:hAnsi="Times New Roman"/>
          <w:lang w:val="sk-SK"/>
        </w:rPr>
      </w:pPr>
      <w:r w:rsidRPr="00DA5B8F">
        <w:rPr>
          <w:rFonts w:ascii="Times New Roman" w:hAnsi="Times New Roman"/>
          <w:b/>
          <w:bCs/>
          <w:lang w:val="sk-SK"/>
        </w:rPr>
        <w:t>Sídlo:</w:t>
        <w:tab/>
      </w:r>
      <w:r w:rsidRPr="00DA5B8F">
        <w:rPr>
          <w:rFonts w:ascii="Times New Roman" w:hAnsi="Times New Roman"/>
          <w:lang w:val="sk-SK"/>
        </w:rPr>
        <w:t>Trnavská cesta 100, 821 01 Bratislava</w:t>
      </w:r>
    </w:p>
    <w:p w:rsidR="002C3B67" w:rsidRPr="00DA5B8F">
      <w:pPr>
        <w:bidi w:val="0"/>
        <w:jc w:val="both"/>
        <w:rPr>
          <w:rFonts w:ascii="Times New Roman" w:hAnsi="Times New Roman"/>
          <w:lang w:val="sk-SK"/>
        </w:rPr>
      </w:pPr>
    </w:p>
    <w:p w:rsidR="002C3B67" w:rsidRPr="00DA5B8F">
      <w:pPr>
        <w:tabs>
          <w:tab w:val="left" w:pos="2160"/>
        </w:tabs>
        <w:bidi w:val="0"/>
        <w:ind w:left="2160" w:hanging="2160"/>
        <w:jc w:val="both"/>
        <w:rPr>
          <w:rFonts w:ascii="Times New Roman" w:hAnsi="Times New Roman"/>
          <w:lang w:val="sk-SK"/>
        </w:rPr>
      </w:pPr>
      <w:r w:rsidRPr="00DA5B8F">
        <w:rPr>
          <w:rFonts w:ascii="Times New Roman" w:hAnsi="Times New Roman"/>
          <w:b/>
          <w:bCs/>
          <w:lang w:val="sk-SK"/>
        </w:rPr>
        <w:t>Štatutárny orgán</w:t>
      </w:r>
      <w:r w:rsidRPr="00DA5B8F">
        <w:rPr>
          <w:rFonts w:ascii="Times New Roman" w:hAnsi="Times New Roman"/>
          <w:lang w:val="sk-SK"/>
        </w:rPr>
        <w:t>:</w:t>
        <w:tab/>
        <w:t>Ing. Branislav Bačík, predseda výkonného výboru</w:t>
      </w:r>
    </w:p>
    <w:p w:rsidR="002C3B67" w:rsidRPr="00DA5B8F">
      <w:pPr>
        <w:bidi w:val="0"/>
        <w:jc w:val="both"/>
        <w:rPr>
          <w:rFonts w:ascii="Times New Roman" w:hAnsi="Times New Roman"/>
          <w:lang w:val="sk-SK"/>
        </w:rPr>
      </w:pPr>
    </w:p>
    <w:p w:rsidR="002C3B67" w:rsidRPr="00DA5B8F">
      <w:pPr>
        <w:pStyle w:val="Header"/>
        <w:tabs>
          <w:tab w:val="clear" w:pos="4703"/>
          <w:tab w:val="clear" w:pos="9406"/>
        </w:tabs>
        <w:bidi w:val="0"/>
        <w:ind w:left="2160"/>
        <w:rPr>
          <w:rFonts w:ascii="Times New Roman" w:hAnsi="Times New Roman"/>
          <w:lang w:val="sk-SK"/>
        </w:rPr>
      </w:pPr>
      <w:r w:rsidRPr="00DA5B8F">
        <w:rPr>
          <w:rFonts w:ascii="Times New Roman" w:hAnsi="Times New Roman"/>
          <w:lang w:val="sk-SK"/>
        </w:rPr>
        <w:t>Ing. Rudolf Šamaj, člen výkonného výboru a riaditeľ sekcie správy majetku a služieb</w:t>
      </w:r>
    </w:p>
    <w:p w:rsidR="002C3B67" w:rsidRPr="00DA5B8F">
      <w:pPr>
        <w:pStyle w:val="Header"/>
        <w:tabs>
          <w:tab w:val="clear" w:pos="4703"/>
          <w:tab w:val="clear" w:pos="9406"/>
        </w:tabs>
        <w:bidi w:val="0"/>
        <w:rPr>
          <w:rFonts w:ascii="Times New Roman" w:hAnsi="Times New Roman"/>
          <w:lang w:val="sk-SK"/>
        </w:rPr>
      </w:pPr>
    </w:p>
    <w:p w:rsidR="002C3B67" w:rsidRPr="00DA5B8F">
      <w:pPr>
        <w:pStyle w:val="Header"/>
        <w:tabs>
          <w:tab w:val="clear" w:pos="4703"/>
          <w:tab w:val="clear" w:pos="9406"/>
        </w:tabs>
        <w:bidi w:val="0"/>
        <w:ind w:left="2124" w:firstLine="6"/>
        <w:rPr>
          <w:rFonts w:ascii="Times New Roman" w:hAnsi="Times New Roman"/>
          <w:lang w:val="sk-SK"/>
        </w:rPr>
      </w:pPr>
      <w:r w:rsidRPr="00DA5B8F">
        <w:rPr>
          <w:rFonts w:ascii="Times New Roman" w:hAnsi="Times New Roman"/>
          <w:lang w:val="sk-SK"/>
        </w:rPr>
        <w:t>Mgr. Peter Kalivoda, člen výkonného výboru a riaditeľ sekcie správy financií a kontroly</w:t>
      </w:r>
    </w:p>
    <w:p w:rsidR="002C3B67" w:rsidRPr="00DA5B8F">
      <w:pPr>
        <w:pStyle w:val="Header"/>
        <w:tabs>
          <w:tab w:val="clear" w:pos="4703"/>
          <w:tab w:val="clear" w:pos="9406"/>
        </w:tabs>
        <w:bidi w:val="0"/>
        <w:rPr>
          <w:rFonts w:ascii="Times New Roman" w:hAnsi="Times New Roman"/>
          <w:lang w:val="sk-SK"/>
        </w:rPr>
      </w:pPr>
    </w:p>
    <w:p w:rsidR="002C3B67" w:rsidRPr="00DA5B8F">
      <w:pPr>
        <w:pStyle w:val="Header"/>
        <w:tabs>
          <w:tab w:val="clear" w:pos="4703"/>
          <w:tab w:val="clear" w:pos="9406"/>
        </w:tabs>
        <w:bidi w:val="0"/>
        <w:ind w:left="2124" w:firstLine="6"/>
        <w:rPr>
          <w:rFonts w:ascii="Times New Roman" w:hAnsi="Times New Roman"/>
          <w:lang w:val="sk-SK"/>
        </w:rPr>
      </w:pPr>
      <w:r w:rsidRPr="00DA5B8F">
        <w:rPr>
          <w:rFonts w:ascii="Times New Roman" w:hAnsi="Times New Roman"/>
          <w:lang w:val="sk-SK"/>
        </w:rPr>
        <w:t>Mgr. Juraj Gedra, člen výkonného výboru a riaditeľ sekcie výkonu akcionárskych práv</w:t>
      </w:r>
    </w:p>
    <w:p w:rsidR="002C3B67" w:rsidRPr="00DA5B8F">
      <w:pPr>
        <w:pStyle w:val="Header"/>
        <w:tabs>
          <w:tab w:val="clear" w:pos="4703"/>
          <w:tab w:val="clear" w:pos="9406"/>
        </w:tabs>
        <w:bidi w:val="0"/>
        <w:rPr>
          <w:rFonts w:ascii="Times New Roman" w:hAnsi="Times New Roman"/>
          <w:lang w:val="sk-SK"/>
        </w:rPr>
      </w:pPr>
    </w:p>
    <w:p w:rsidR="002C3B67" w:rsidRPr="00DA5B8F">
      <w:pPr>
        <w:pStyle w:val="Header"/>
        <w:tabs>
          <w:tab w:val="clear" w:pos="4703"/>
          <w:tab w:val="clear" w:pos="9406"/>
        </w:tabs>
        <w:bidi w:val="0"/>
        <w:rPr>
          <w:rFonts w:ascii="Times New Roman" w:hAnsi="Times New Roman"/>
          <w:lang w:val="sk-SK"/>
        </w:rPr>
      </w:pPr>
      <w:r w:rsidRPr="00DA5B8F">
        <w:rPr>
          <w:rFonts w:ascii="Times New Roman" w:hAnsi="Times New Roman"/>
          <w:b/>
          <w:bCs/>
          <w:lang w:val="sk-SK"/>
        </w:rPr>
        <w:t>Kontakt</w:t>
      </w:r>
      <w:r w:rsidRPr="00DA5B8F">
        <w:rPr>
          <w:rFonts w:ascii="Times New Roman" w:hAnsi="Times New Roman"/>
          <w:lang w:val="sk-SK"/>
        </w:rPr>
        <w:t>:</w:t>
        <w:tab/>
        <w:tab/>
        <w:t>Tel.č.:</w:t>
        <w:tab/>
        <w:t>02/322 82 701 - 705</w:t>
      </w:r>
    </w:p>
    <w:p w:rsidR="002C3B67" w:rsidRPr="00DA5B8F">
      <w:pPr>
        <w:pStyle w:val="Header"/>
        <w:tabs>
          <w:tab w:val="clear" w:pos="4703"/>
          <w:tab w:val="clear" w:pos="9406"/>
        </w:tabs>
        <w:bidi w:val="0"/>
        <w:rPr>
          <w:rFonts w:ascii="Times New Roman" w:hAnsi="Times New Roman"/>
          <w:lang w:val="sk-SK"/>
        </w:rPr>
      </w:pPr>
      <w:r w:rsidRPr="00DA5B8F">
        <w:rPr>
          <w:rFonts w:ascii="Times New Roman" w:hAnsi="Times New Roman"/>
          <w:lang w:val="sk-SK"/>
        </w:rPr>
        <w:tab/>
        <w:tab/>
        <w:tab/>
        <w:t xml:space="preserve">Fax: </w:t>
        <w:tab/>
        <w:t>02/322 82 799</w:t>
      </w:r>
    </w:p>
    <w:p w:rsidR="002C3B67" w:rsidRPr="00DA5B8F">
      <w:pPr>
        <w:pStyle w:val="Header"/>
        <w:tabs>
          <w:tab w:val="clear" w:pos="4703"/>
          <w:tab w:val="clear" w:pos="9406"/>
        </w:tabs>
        <w:bidi w:val="0"/>
        <w:rPr>
          <w:rFonts w:ascii="Times New Roman" w:hAnsi="Times New Roman"/>
          <w:lang w:val="sk-SK"/>
        </w:rPr>
      </w:pPr>
      <w:r w:rsidRPr="00DA5B8F">
        <w:rPr>
          <w:rFonts w:ascii="Times New Roman" w:hAnsi="Times New Roman"/>
          <w:lang w:val="sk-SK"/>
        </w:rPr>
        <w:tab/>
        <w:tab/>
        <w:tab/>
      </w:r>
      <w:hyperlink r:id="rId5" w:history="1">
        <w:r w:rsidRPr="00DA5B8F">
          <w:rPr>
            <w:rStyle w:val="Hyperlink"/>
            <w:color w:val="auto"/>
            <w:lang w:val="sk-SK"/>
          </w:rPr>
          <w:t>www.natfund.gov.sk</w:t>
        </w:r>
      </w:hyperlink>
    </w:p>
    <w:p w:rsidR="002C3B67" w:rsidRPr="00DA5B8F">
      <w:pPr>
        <w:pStyle w:val="Header"/>
        <w:tabs>
          <w:tab w:val="clear" w:pos="4703"/>
          <w:tab w:val="clear" w:pos="9406"/>
        </w:tabs>
        <w:bidi w:val="0"/>
        <w:rPr>
          <w:rFonts w:ascii="Times New Roman" w:hAnsi="Times New Roman"/>
          <w:lang w:val="sk-SK"/>
        </w:rPr>
      </w:pPr>
    </w:p>
    <w:p w:rsidR="002C3B67" w:rsidRPr="00DA5B8F">
      <w:pPr>
        <w:pStyle w:val="Header"/>
        <w:tabs>
          <w:tab w:val="clear" w:pos="4703"/>
          <w:tab w:val="clear" w:pos="9406"/>
        </w:tabs>
        <w:bidi w:val="0"/>
        <w:spacing w:line="264" w:lineRule="auto"/>
        <w:ind w:left="2126" w:hanging="2126"/>
        <w:jc w:val="both"/>
        <w:rPr>
          <w:rFonts w:ascii="Times New Roman" w:hAnsi="Times New Roman"/>
          <w:lang w:val="sk-SK"/>
        </w:rPr>
      </w:pPr>
      <w:r w:rsidRPr="00DA5B8F">
        <w:rPr>
          <w:rFonts w:ascii="Times New Roman" w:hAnsi="Times New Roman"/>
          <w:b/>
          <w:bCs/>
          <w:lang w:val="sk-SK"/>
        </w:rPr>
        <w:t>Predmet činnosti</w:t>
      </w:r>
      <w:r w:rsidRPr="00DA5B8F">
        <w:rPr>
          <w:rFonts w:ascii="Times New Roman" w:hAnsi="Times New Roman"/>
          <w:lang w:val="sk-SK"/>
        </w:rPr>
        <w:t>:</w:t>
        <w:tab/>
        <w:t>Preberanie majetku štátu schváleného na prevod na iné osoby v rámci privatizácie, nadobúdanie akcií na základe účasti na podnikaní akciových spoločností a vykonávanie práv akcionára, vykonávanie práv spoločníka v iných než akciových spoločnostiach na základe svojej účasti, predávanie svojich akcií alebo podielov na iných než akciových spoločnostiach, uzavieranie zmlúv o predaji podnikov, ich organizačných častí a častí ich majetku, predávanie privatizovaného majetku vo verejných dražbách, prevádzanie privatizovaného majetku na obce a na účely nemocenského a dôchodkového poistenia, prenajímanie privatizovaného majetku, vyrovnanie nárokov oprávnených osôb v zmysle zákona č. 87/1991 Zb. o mimosúdnych rehabilitáciách, zakladanie obchodných spoločností alebo účasť na ich zakladaní, organizovanie verejných súťaží na predaj majetku určeného na privatizáciu, poskytovanie záruk na úvery obchodných spoločností.</w:t>
      </w:r>
    </w:p>
    <w:p w:rsidR="002C3B67" w:rsidRPr="00DA5B8F">
      <w:pPr>
        <w:numPr>
          <w:numId w:val="3"/>
        </w:numPr>
        <w:tabs>
          <w:tab w:val="num" w:pos="0"/>
          <w:tab w:val="clear" w:pos="720"/>
        </w:tabs>
        <w:bidi w:val="0"/>
        <w:ind w:left="0" w:firstLine="0"/>
        <w:rPr>
          <w:rFonts w:ascii="Times New Roman" w:hAnsi="Times New Roman"/>
          <w:b/>
          <w:bCs/>
          <w:caps/>
          <w:lang w:val="sk-SK"/>
        </w:rPr>
      </w:pPr>
      <w:r w:rsidRPr="00DA5B8F">
        <w:rPr>
          <w:rFonts w:ascii="Times New Roman" w:hAnsi="Times New Roman"/>
          <w:b/>
          <w:bCs/>
          <w:lang w:val="sk-SK"/>
        </w:rPr>
        <w:br w:type="page"/>
      </w:r>
      <w:r w:rsidRPr="00DA5B8F">
        <w:rPr>
          <w:rFonts w:ascii="Times New Roman" w:hAnsi="Times New Roman"/>
          <w:b/>
          <w:bCs/>
          <w:caps/>
          <w:lang w:val="sk-SK"/>
        </w:rPr>
        <w:t>Fond národného majetku Slovenskej republiky</w:t>
      </w:r>
    </w:p>
    <w:p w:rsidR="002C3B67" w:rsidRPr="00DA5B8F">
      <w:pPr>
        <w:pStyle w:val="Header"/>
        <w:shd w:val="clear" w:color="auto" w:fill="E6E6E6"/>
        <w:tabs>
          <w:tab w:val="clear" w:pos="4703"/>
          <w:tab w:val="clear" w:pos="9406"/>
        </w:tabs>
        <w:bidi w:val="0"/>
        <w:spacing w:before="360" w:after="240"/>
        <w:jc w:val="both"/>
        <w:rPr>
          <w:rFonts w:ascii="Times New Roman" w:hAnsi="Times New Roman"/>
          <w:b/>
          <w:bCs/>
          <w:lang w:val="sk-SK"/>
        </w:rPr>
      </w:pPr>
      <w:r w:rsidRPr="00DA5B8F">
        <w:rPr>
          <w:rFonts w:ascii="Times New Roman" w:hAnsi="Times New Roman"/>
          <w:b/>
          <w:bCs/>
          <w:lang w:val="sk-SK"/>
        </w:rPr>
        <w:t>2.1</w:t>
        <w:tab/>
        <w:t>Postavenie fondu</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je právnickou osobou zriadenou v roku 1991 zákonom Slovenskej národnej rady č. 253/1991 Zb. o pôsobnosti orgánov Slovenskej republiky vo veciach prevodov majetku štátu na iné osoby a o Fonde národného majetku Slovenskej republiky. Fond je právnická osoba zapísaná do obchodného registra, ktorá vykonáva činnosti podľa zákona o privatizácii a iných súvisiacich právnych predpisov vo verejnom záujme. Zmyslom jeho existencie, a teda aj hlavnou činnosťou, je najmä realizovať schválené privatizačné projekty, nakladať s majetkom fondu vo vlastnom mene v rozsahu vymedzenom zákonom, vykonávať práva akcionára v ním založených akciových spoločnostiach, vykonávať práva spoločníka v iných než akciových spoločnostiach a uskutočňovať iné právne úkony podľa zákona o privatizácii a iných súvisiacich právnych predpisov.</w:t>
      </w:r>
    </w:p>
    <w:p w:rsidR="002C3B67" w:rsidRPr="00DA5B8F">
      <w:pPr>
        <w:pStyle w:val="Header"/>
        <w:shd w:val="clear" w:color="auto" w:fill="E6E6E6"/>
        <w:tabs>
          <w:tab w:val="clear" w:pos="4703"/>
          <w:tab w:val="clear" w:pos="9406"/>
        </w:tabs>
        <w:bidi w:val="0"/>
        <w:spacing w:before="360" w:after="240"/>
        <w:jc w:val="both"/>
        <w:rPr>
          <w:rFonts w:ascii="Times New Roman" w:hAnsi="Times New Roman"/>
          <w:b/>
          <w:bCs/>
          <w:lang w:val="sk-SK"/>
        </w:rPr>
      </w:pPr>
      <w:r w:rsidRPr="00DA5B8F">
        <w:rPr>
          <w:rFonts w:ascii="Times New Roman" w:hAnsi="Times New Roman"/>
          <w:b/>
          <w:bCs/>
          <w:lang w:val="sk-SK"/>
        </w:rPr>
        <w:t>2.2</w:t>
        <w:tab/>
        <w:t>Pôsobnosť fondu</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vykonáva v rámci svojej pôsobnosti činnosti v oblasti privatizácie, smerujúce k prevodu majetku na iné osoby formou predaja podniku alebo predaja majetkovej účasti fondu; činnosti v oblasti reštitúcií, smerujúce k uspokojovaniu nárokov oprávnených osôb podľa zákona č. 87/1991 Zb. o mimosúdnych rehabilitáciách v znení neskorších predpisov a zákona NR SR č. 173/1993 Z. z. o niektorých náhradách v súvislosti s prevodom majetku štátu na iné osoby v znení neskorších predpisov. Ďalej vykonáva činnosti v oblasti správy majetkových účastí fondu, smerujúce k výkonu akcionárskych práv v spoločnostiach s majetkovou účasťou fondu, činnosti spojené s prevodom zaknihovaných cenných papierov ponúknutých fyzickými osobami bezodplatne fondu, ako aj ďalšie činnosti.</w:t>
      </w:r>
    </w:p>
    <w:p w:rsidR="002C3B67" w:rsidRPr="00DA5B8F">
      <w:pPr>
        <w:pStyle w:val="Header"/>
        <w:shd w:val="clear" w:color="auto" w:fill="E6E6E6"/>
        <w:tabs>
          <w:tab w:val="clear" w:pos="4703"/>
          <w:tab w:val="clear" w:pos="9406"/>
        </w:tabs>
        <w:bidi w:val="0"/>
        <w:spacing w:before="360" w:after="240"/>
        <w:jc w:val="both"/>
        <w:rPr>
          <w:rFonts w:ascii="Times New Roman" w:hAnsi="Times New Roman"/>
          <w:b/>
          <w:bCs/>
          <w:lang w:val="sk-SK"/>
        </w:rPr>
      </w:pPr>
      <w:bookmarkStart w:id="1" w:name="OLE_LINK5"/>
      <w:r w:rsidRPr="00DA5B8F">
        <w:rPr>
          <w:rFonts w:ascii="Times New Roman" w:hAnsi="Times New Roman"/>
          <w:b/>
          <w:bCs/>
          <w:lang w:val="sk-SK"/>
        </w:rPr>
        <w:t>2.3</w:t>
        <w:tab/>
        <w:t>Majetok fondu a jeho použitie</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bookmarkEnd w:id="1"/>
      <w:r w:rsidRPr="00DA5B8F">
        <w:rPr>
          <w:rFonts w:ascii="Times New Roman" w:hAnsi="Times New Roman"/>
        </w:rPr>
        <w:t>Majetok fondu tvorí:</w:t>
      </w:r>
    </w:p>
    <w:p w:rsidR="002C3B67" w:rsidRPr="00DA5B8F">
      <w:pPr>
        <w:pStyle w:val="ostavec2"/>
        <w:numPr>
          <w:numId w:val="4"/>
        </w:numPr>
        <w:tabs>
          <w:tab w:val="clear" w:pos="927"/>
          <w:tab w:val="num" w:pos="1080"/>
          <w:tab w:val="clear" w:pos="3132"/>
        </w:tabs>
        <w:bidi w:val="0"/>
        <w:spacing w:before="60" w:after="0" w:line="264" w:lineRule="auto"/>
        <w:ind w:left="1078" w:hanging="538"/>
        <w:rPr>
          <w:rFonts w:ascii="Times New Roman" w:hAnsi="Times New Roman"/>
        </w:rPr>
      </w:pPr>
      <w:r w:rsidRPr="00DA5B8F">
        <w:rPr>
          <w:rFonts w:ascii="Times New Roman" w:hAnsi="Times New Roman"/>
        </w:rPr>
        <w:t>privatizovaný majetok, ktorý prešiel na fond podľa zákona o privatizácii,</w:t>
      </w:r>
    </w:p>
    <w:p w:rsidR="002C3B67" w:rsidRPr="00DA5B8F">
      <w:pPr>
        <w:pStyle w:val="ostavec2"/>
        <w:numPr>
          <w:numId w:val="4"/>
        </w:numPr>
        <w:tabs>
          <w:tab w:val="clear" w:pos="927"/>
          <w:tab w:val="num" w:pos="1080"/>
          <w:tab w:val="clear" w:pos="3132"/>
        </w:tabs>
        <w:bidi w:val="0"/>
        <w:spacing w:before="60" w:after="0" w:line="264" w:lineRule="auto"/>
        <w:ind w:left="1078" w:hanging="538"/>
        <w:rPr>
          <w:rFonts w:ascii="Times New Roman" w:hAnsi="Times New Roman"/>
        </w:rPr>
      </w:pPr>
      <w:r w:rsidRPr="00DA5B8F">
        <w:rPr>
          <w:rFonts w:ascii="Times New Roman" w:hAnsi="Times New Roman"/>
        </w:rPr>
        <w:t>zisk z účasti fondu na podnikaní obchodných spoločností, na ktorých podnikaní sa zúčastňuje,</w:t>
      </w:r>
    </w:p>
    <w:p w:rsidR="002C3B67" w:rsidRPr="00DA5B8F">
      <w:pPr>
        <w:pStyle w:val="ostavec2"/>
        <w:numPr>
          <w:numId w:val="4"/>
        </w:numPr>
        <w:tabs>
          <w:tab w:val="clear" w:pos="927"/>
          <w:tab w:val="num" w:pos="1080"/>
          <w:tab w:val="clear" w:pos="3132"/>
        </w:tabs>
        <w:bidi w:val="0"/>
        <w:spacing w:before="60" w:after="0" w:line="264" w:lineRule="auto"/>
        <w:ind w:left="1078" w:hanging="538"/>
        <w:rPr>
          <w:rFonts w:ascii="Times New Roman" w:hAnsi="Times New Roman"/>
        </w:rPr>
      </w:pPr>
      <w:r w:rsidRPr="00DA5B8F">
        <w:rPr>
          <w:rFonts w:ascii="Times New Roman" w:hAnsi="Times New Roman"/>
        </w:rPr>
        <w:t>výnos z predaja akcií alebo podielov na iných ako akciových spoločnostiach,</w:t>
      </w:r>
    </w:p>
    <w:p w:rsidR="002C3B67" w:rsidRPr="00DA5B8F">
      <w:pPr>
        <w:pStyle w:val="ostavec2"/>
        <w:numPr>
          <w:numId w:val="4"/>
        </w:numPr>
        <w:tabs>
          <w:tab w:val="clear" w:pos="927"/>
          <w:tab w:val="num" w:pos="1080"/>
          <w:tab w:val="clear" w:pos="3132"/>
        </w:tabs>
        <w:bidi w:val="0"/>
        <w:spacing w:before="60" w:after="0" w:line="264" w:lineRule="auto"/>
        <w:ind w:left="1078" w:hanging="538"/>
        <w:rPr>
          <w:rFonts w:ascii="Times New Roman" w:hAnsi="Times New Roman"/>
        </w:rPr>
      </w:pPr>
      <w:r w:rsidRPr="00DA5B8F">
        <w:rPr>
          <w:rFonts w:ascii="Times New Roman" w:hAnsi="Times New Roman"/>
        </w:rPr>
        <w:t>akcie alebo majetkové podiely, ktoré neboli predmetom rozhodnutia o privatizácii a ktoré fond nadobudol ako akcionár alebo spoločník,</w:t>
      </w:r>
    </w:p>
    <w:p w:rsidR="002C3B67" w:rsidRPr="00DA5B8F">
      <w:pPr>
        <w:pStyle w:val="ostavec2"/>
        <w:numPr>
          <w:numId w:val="4"/>
        </w:numPr>
        <w:tabs>
          <w:tab w:val="clear" w:pos="927"/>
          <w:tab w:val="num" w:pos="1080"/>
          <w:tab w:val="clear" w:pos="3132"/>
        </w:tabs>
        <w:bidi w:val="0"/>
        <w:spacing w:before="60" w:after="0" w:line="264" w:lineRule="auto"/>
        <w:ind w:left="1078" w:hanging="538"/>
        <w:rPr>
          <w:rFonts w:ascii="Times New Roman" w:hAnsi="Times New Roman"/>
        </w:rPr>
      </w:pPr>
      <w:r w:rsidRPr="00DA5B8F">
        <w:rPr>
          <w:rFonts w:ascii="Times New Roman" w:hAnsi="Times New Roman"/>
        </w:rPr>
        <w:t>majetok, ktorý na fond prešiel v dôsledku odstúpenia od zmluvy v súlade s § 28 ods. 6 zákona o privatizácii,</w:t>
      </w:r>
    </w:p>
    <w:p w:rsidR="002C3B67" w:rsidRPr="00DA5B8F">
      <w:pPr>
        <w:pStyle w:val="ostavec2"/>
        <w:numPr>
          <w:numId w:val="4"/>
        </w:numPr>
        <w:tabs>
          <w:tab w:val="clear" w:pos="927"/>
          <w:tab w:val="num" w:pos="1080"/>
          <w:tab w:val="clear" w:pos="3132"/>
        </w:tabs>
        <w:bidi w:val="0"/>
        <w:spacing w:before="60" w:after="0" w:line="264" w:lineRule="auto"/>
        <w:ind w:left="1078" w:hanging="538"/>
        <w:rPr>
          <w:rFonts w:ascii="Times New Roman" w:hAnsi="Times New Roman"/>
        </w:rPr>
      </w:pPr>
      <w:r w:rsidRPr="00DA5B8F">
        <w:rPr>
          <w:rFonts w:ascii="Times New Roman" w:hAnsi="Times New Roman"/>
        </w:rPr>
        <w:t>cenné papiere, ktoré fond nadobudol od fyzických osôb.</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Príjmy a výdavky fondu nie sú súčasťou štátneho rozpočtu Slovenskej republiky a môžu byť použité len v súlade so zákonom o privatizácii.</w:t>
      </w:r>
    </w:p>
    <w:p w:rsidR="002C3B67" w:rsidRPr="00DA5B8F">
      <w:pPr>
        <w:pStyle w:val="Header"/>
        <w:shd w:val="clear" w:color="auto" w:fill="E6E6E6"/>
        <w:tabs>
          <w:tab w:val="clear" w:pos="4703"/>
          <w:tab w:val="clear" w:pos="9406"/>
        </w:tabs>
        <w:bidi w:val="0"/>
        <w:spacing w:before="360" w:after="240"/>
        <w:jc w:val="both"/>
        <w:rPr>
          <w:rFonts w:ascii="Times New Roman" w:hAnsi="Times New Roman"/>
          <w:b/>
          <w:bCs/>
          <w:lang w:val="sk-SK"/>
        </w:rPr>
      </w:pPr>
      <w:r w:rsidRPr="00DA5B8F">
        <w:rPr>
          <w:rFonts w:ascii="Times New Roman" w:hAnsi="Times New Roman"/>
          <w:b/>
          <w:bCs/>
          <w:lang w:val="sk-SK"/>
        </w:rPr>
        <w:t>2.4</w:t>
        <w:tab/>
        <w:t>Vzťah fondu k orgánom štátnej správy a iným subjektom</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je pod priamym dohľadom NR SR, ktorej predkladá na schválenie po prerokovaní vo vláde svoj rozpočet, návrh na použitie majetku fondu podľa § 28 ods. 3 písm. b) zákona o privatizácii, ročnú účtovnú závierku a výročnú správu o svojej činnosti. Vláda vymenúva a odvoláva, na návrh ministra hospodárstva, predsedu a členov výkonného výboru. Predsedu a členov dozornej rady fondu volí a odvoláva NR SR na návrh výboru NR SR tajným hlasovaním.</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 xml:space="preserve">V rámci spolupráce s MH SR fond </w:t>
      </w:r>
      <w:r w:rsidRPr="00DA5B8F" w:rsidR="001D7608">
        <w:rPr>
          <w:rFonts w:ascii="Times New Roman" w:hAnsi="Times New Roman"/>
        </w:rPr>
        <w:t xml:space="preserve">v minulosti </w:t>
      </w:r>
      <w:r w:rsidRPr="00DA5B8F">
        <w:rPr>
          <w:rFonts w:ascii="Times New Roman" w:hAnsi="Times New Roman"/>
        </w:rPr>
        <w:t>preber</w:t>
      </w:r>
      <w:r w:rsidRPr="00DA5B8F" w:rsidR="001D7608">
        <w:rPr>
          <w:rFonts w:ascii="Times New Roman" w:hAnsi="Times New Roman"/>
        </w:rPr>
        <w:t>al</w:t>
      </w:r>
      <w:r w:rsidRPr="00DA5B8F">
        <w:rPr>
          <w:rFonts w:ascii="Times New Roman" w:hAnsi="Times New Roman"/>
        </w:rPr>
        <w:t xml:space="preserve"> od MH SR schválené privatizačné projekty a úlohy z nich vyplývajúce</w:t>
      </w:r>
      <w:r w:rsidRPr="00DA5B8F" w:rsidR="00C13CA3">
        <w:rPr>
          <w:rFonts w:ascii="Times New Roman" w:hAnsi="Times New Roman"/>
        </w:rPr>
        <w:t xml:space="preserve"> plní aj v súčasnosti.</w:t>
      </w:r>
      <w:r w:rsidRPr="00DA5B8F">
        <w:rPr>
          <w:rFonts w:ascii="Times New Roman" w:hAnsi="Times New Roman"/>
        </w:rPr>
        <w:t xml:space="preserve"> </w:t>
      </w:r>
      <w:r w:rsidRPr="00DA5B8F" w:rsidR="00C13CA3">
        <w:rPr>
          <w:rFonts w:ascii="Times New Roman" w:hAnsi="Times New Roman"/>
        </w:rPr>
        <w:t>S</w:t>
      </w:r>
      <w:r w:rsidRPr="00DA5B8F">
        <w:rPr>
          <w:rFonts w:ascii="Times New Roman" w:hAnsi="Times New Roman"/>
        </w:rPr>
        <w:t>polupracuje pri riešení problémov a sporov vzniknutých pri realizácii privatizačných projektov a v prípade neúspešnej realizácie schválenej privatizačnej metódy navrhuje zmeny privatizačných projektov a vracia tieto projekty MH SR na ďalšie konanie. MH SR udeľuje na požiadanie fondu súhlasy, resp. predchádzajúce písomné súhlasy k postupu fondu podľa § 29 ods. 2 a k vydaniu platného rozhodnutia fondu podľa § 28 ods. 8 zákona o privatizácii a tiež k spôsobu naloženia s majetkom fondu a jeho majetkovými účasťami na podnikaní iných osôb, ktoré prešli na fond odstúpením od zmluvy v dôsledku porušenia zmluvných podmienok nadobúdateľom privatizovaného majetku. Ďalej sa fond v spolupráci s MH SR a MF SR podieľa na uspokojovaní nárokov oprávnených osôb podľa zákona č. 87/1991 Zb. o mimosúdnych rehabilitáciách v znení neskorších predpisov a vykonáva zúčtovanie príjmov osobitného účtu MH SR podľa § 28 ods. 4 zákona o privatizácii.</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zmysle zákona č. 523/2004 Z. z. o rozpočtových pravidlách verejnej správy a o zmene a doplnení niektorých zákonov fond pri zostavovaní a sledovaní svojich príjmov a výdavkov za predmetné obdobie spolupracuje s MF SR, ktorému v zmysle prijatých opatrení a metodík predkladá príslušné podklady a výkazy o hospodárení fondu.</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Pokiaľ je to nevyhnutné, pri plnení úloh fond spolupracuje v procese privatizácie aj s ďalšími orgánmi štátnej správy, tuzemskými i zahraničnými právnickými alebo fyzickými osobami a medzinárodnými organizáciami.</w:t>
      </w:r>
    </w:p>
    <w:p w:rsidR="002C3B67" w:rsidRPr="00DA5B8F">
      <w:pPr>
        <w:pStyle w:val="Header"/>
        <w:numPr>
          <w:ilvl w:val="1"/>
          <w:numId w:val="17"/>
        </w:numPr>
        <w:shd w:val="clear" w:color="auto" w:fill="E6E6E6"/>
        <w:tabs>
          <w:tab w:val="clear" w:pos="4703"/>
          <w:tab w:val="clear" w:pos="9406"/>
        </w:tabs>
        <w:bidi w:val="0"/>
        <w:spacing w:before="360" w:after="240" w:line="21" w:lineRule="atLeast"/>
        <w:jc w:val="both"/>
        <w:rPr>
          <w:rFonts w:ascii="Times New Roman" w:hAnsi="Times New Roman"/>
          <w:b/>
          <w:bCs/>
          <w:lang w:val="sk-SK"/>
        </w:rPr>
      </w:pPr>
      <w:r w:rsidRPr="00DA5B8F">
        <w:rPr>
          <w:rFonts w:ascii="Times New Roman" w:hAnsi="Times New Roman"/>
          <w:b/>
          <w:bCs/>
          <w:lang w:val="sk-SK"/>
        </w:rPr>
        <w:t>Orgány fondu</w:t>
      </w:r>
    </w:p>
    <w:p w:rsidR="002C3B67" w:rsidRPr="00DA5B8F">
      <w:pPr>
        <w:pStyle w:val="BodyTextIndent1"/>
        <w:tabs>
          <w:tab w:val="num" w:pos="0"/>
        </w:tabs>
        <w:overflowPunct/>
        <w:autoSpaceDE/>
        <w:bidi w:val="0"/>
        <w:adjustRightInd/>
        <w:spacing w:line="21" w:lineRule="atLeast"/>
        <w:rPr>
          <w:rFonts w:ascii="Times New Roman" w:hAnsi="Times New Roman"/>
        </w:rPr>
      </w:pPr>
      <w:r w:rsidRPr="00DA5B8F">
        <w:rPr>
          <w:rFonts w:ascii="Times New Roman" w:hAnsi="Times New Roman"/>
        </w:rPr>
        <w:t>Orgánmi fondu sú výkonný výbor a dozorná rada.</w:t>
      </w:r>
    </w:p>
    <w:p w:rsidR="002C3B67" w:rsidRPr="00DA5B8F">
      <w:pPr>
        <w:pStyle w:val="Heading3"/>
        <w:overflowPunct/>
        <w:autoSpaceDE/>
        <w:bidi w:val="0"/>
        <w:adjustRightInd/>
        <w:spacing w:before="240" w:line="21" w:lineRule="atLeast"/>
        <w:rPr>
          <w:rFonts w:ascii="Times New Roman" w:hAnsi="Times New Roman"/>
        </w:rPr>
      </w:pPr>
      <w:r w:rsidRPr="00DA5B8F">
        <w:rPr>
          <w:rFonts w:ascii="Times New Roman" w:hAnsi="Times New Roman"/>
        </w:rPr>
        <w:t>Výkonný výbor</w:t>
      </w:r>
    </w:p>
    <w:p w:rsidR="002C3B67" w:rsidRPr="00DA5B8F">
      <w:pPr>
        <w:pStyle w:val="BodyTextIndent1"/>
        <w:tabs>
          <w:tab w:val="num" w:pos="0"/>
        </w:tabs>
        <w:overflowPunct/>
        <w:autoSpaceDE/>
        <w:bidi w:val="0"/>
        <w:adjustRightInd/>
        <w:spacing w:line="264" w:lineRule="auto"/>
        <w:rPr>
          <w:rFonts w:ascii="Times New Roman" w:hAnsi="Times New Roman"/>
        </w:rPr>
      </w:pPr>
      <w:r w:rsidRPr="00DA5B8F" w:rsidR="00475E39">
        <w:rPr>
          <w:rFonts w:ascii="Times New Roman" w:hAnsi="Times New Roman"/>
        </w:rPr>
        <w:t xml:space="preserve">Výkonný výbor je najvyšším orgánom fondu. </w:t>
      </w:r>
      <w:r w:rsidRPr="00DA5B8F">
        <w:rPr>
          <w:rFonts w:ascii="Times New Roman" w:hAnsi="Times New Roman"/>
        </w:rPr>
        <w:t>Predseda a členovia výkonného výboru sú zamestnancami fondu.</w:t>
      </w:r>
      <w:r w:rsidRPr="00DA5B8F" w:rsidR="00D57D3B">
        <w:rPr>
          <w:rFonts w:ascii="Times New Roman" w:hAnsi="Times New Roman"/>
        </w:rPr>
        <w:t xml:space="preserve"> </w:t>
      </w:r>
      <w:r w:rsidRPr="00DA5B8F" w:rsidR="001C6B04">
        <w:rPr>
          <w:rFonts w:ascii="Times New Roman" w:hAnsi="Times New Roman"/>
        </w:rPr>
        <w:t>M</w:t>
      </w:r>
      <w:r w:rsidRPr="00DA5B8F" w:rsidR="00D57D3B">
        <w:rPr>
          <w:rFonts w:ascii="Times New Roman" w:hAnsi="Times New Roman"/>
        </w:rPr>
        <w:t xml:space="preserve">enovaní a odvolávaní </w:t>
      </w:r>
      <w:r w:rsidRPr="00DA5B8F" w:rsidR="001C6B04">
        <w:rPr>
          <w:rFonts w:ascii="Times New Roman" w:hAnsi="Times New Roman"/>
        </w:rPr>
        <w:t xml:space="preserve">sú </w:t>
      </w:r>
      <w:r w:rsidRPr="00DA5B8F" w:rsidR="00D57D3B">
        <w:rPr>
          <w:rFonts w:ascii="Times New Roman" w:hAnsi="Times New Roman"/>
        </w:rPr>
        <w:t>vládou SR na návrh MH SR.</w:t>
      </w:r>
    </w:p>
    <w:p w:rsidR="002C3B67" w:rsidRPr="00DA5B8F">
      <w:pPr>
        <w:pStyle w:val="BodyTextIndent1"/>
        <w:tabs>
          <w:tab w:val="num" w:pos="0"/>
        </w:tabs>
        <w:overflowPunct/>
        <w:autoSpaceDE/>
        <w:bidi w:val="0"/>
        <w:adjustRightInd/>
        <w:spacing w:before="0" w:line="21" w:lineRule="atLeast"/>
        <w:rPr>
          <w:rFonts w:ascii="Times New Roman" w:hAnsi="Times New Roman"/>
        </w:rPr>
      </w:pPr>
    </w:p>
    <w:tbl>
      <w:tblPr>
        <w:tblStyle w:val="TableNormal"/>
        <w:tblW w:w="9720" w:type="dxa"/>
        <w:tblInd w:w="70" w:type="dxa"/>
        <w:tblBorders>
          <w:top w:val="single" w:sz="4" w:space="0" w:color="999999"/>
          <w:bottom w:val="single" w:sz="4" w:space="0" w:color="999999"/>
        </w:tblBorders>
        <w:tblCellMar>
          <w:left w:w="70" w:type="dxa"/>
          <w:right w:w="70" w:type="dxa"/>
        </w:tblCellMar>
      </w:tblPr>
      <w:tblGrid>
        <w:gridCol w:w="2880"/>
        <w:gridCol w:w="6840"/>
      </w:tblGrid>
      <w:tr>
        <w:tblPrEx>
          <w:tblW w:w="9720" w:type="dxa"/>
          <w:tblInd w:w="70" w:type="dxa"/>
          <w:tblBorders>
            <w:top w:val="single" w:sz="4" w:space="0" w:color="999999"/>
            <w:bottom w:val="single" w:sz="4" w:space="0" w:color="999999"/>
          </w:tblBorders>
          <w:tblCellMar>
            <w:left w:w="70" w:type="dxa"/>
            <w:right w:w="70" w:type="dxa"/>
          </w:tblCellMar>
        </w:tblPrEx>
        <w:tc>
          <w:tcPr>
            <w:tcW w:w="9720" w:type="dxa"/>
            <w:gridSpan w:val="2"/>
            <w:tcBorders>
              <w:top w:val="single" w:sz="4" w:space="0" w:color="999999"/>
              <w:left w:val="nil"/>
              <w:bottom w:val="double" w:sz="4" w:space="0" w:color="999999"/>
              <w:right w:val="nil"/>
            </w:tcBorders>
            <w:shd w:val="clear" w:color="auto" w:fill="CCCCFF"/>
            <w:textDirection w:val="lrTb"/>
            <w:vAlign w:val="top"/>
          </w:tcPr>
          <w:p w:rsidR="002C3B67" w:rsidRPr="00DA5B8F" w:rsidP="00F53FFE">
            <w:pPr>
              <w:pStyle w:val="BodyText"/>
              <w:bidi w:val="0"/>
              <w:spacing w:before="60" w:after="60" w:line="240" w:lineRule="auto"/>
              <w:ind w:firstLine="0"/>
              <w:jc w:val="left"/>
              <w:rPr>
                <w:rFonts w:ascii="Times New Roman" w:hAnsi="Times New Roman"/>
                <w:b/>
                <w:bCs/>
                <w:sz w:val="24"/>
                <w:szCs w:val="24"/>
              </w:rPr>
            </w:pPr>
            <w:r w:rsidRPr="00DA5B8F">
              <w:rPr>
                <w:rFonts w:ascii="Times New Roman" w:hAnsi="Times New Roman"/>
                <w:b/>
                <w:bCs/>
                <w:sz w:val="24"/>
                <w:szCs w:val="24"/>
              </w:rPr>
              <w:t>V roku 201</w:t>
            </w:r>
            <w:r w:rsidRPr="00DA5B8F" w:rsidR="00F53FFE">
              <w:rPr>
                <w:rFonts w:ascii="Times New Roman" w:hAnsi="Times New Roman"/>
                <w:b/>
                <w:bCs/>
                <w:sz w:val="24"/>
                <w:szCs w:val="24"/>
              </w:rPr>
              <w:t>4</w:t>
            </w:r>
            <w:r w:rsidRPr="00DA5B8F">
              <w:rPr>
                <w:rFonts w:ascii="Times New Roman" w:hAnsi="Times New Roman"/>
                <w:b/>
                <w:bCs/>
                <w:sz w:val="24"/>
                <w:szCs w:val="24"/>
              </w:rPr>
              <w:t xml:space="preserve"> pracoval výkonný výbor v nasledovnom zložení</w:t>
            </w:r>
          </w:p>
        </w:tc>
      </w:tr>
      <w:tr>
        <w:tblPrEx>
          <w:tblW w:w="9720" w:type="dxa"/>
          <w:tblInd w:w="70" w:type="dxa"/>
          <w:tblCellMar>
            <w:left w:w="70" w:type="dxa"/>
            <w:right w:w="70" w:type="dxa"/>
          </w:tblCellMar>
        </w:tblPrEx>
        <w:tc>
          <w:tcPr>
            <w:tcW w:w="2880" w:type="dxa"/>
            <w:tcBorders>
              <w:top w:val="single" w:sz="4" w:space="0" w:color="999999"/>
              <w:left w:val="nil"/>
              <w:bottom w:val="single" w:sz="4"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Ing. Branislav Bačík</w:t>
            </w:r>
          </w:p>
        </w:tc>
        <w:tc>
          <w:tcPr>
            <w:tcW w:w="6840" w:type="dxa"/>
            <w:tcBorders>
              <w:top w:val="single" w:sz="4" w:space="0" w:color="999999"/>
              <w:left w:val="nil"/>
              <w:bottom w:val="single" w:sz="4" w:space="0" w:color="999999"/>
              <w:right w:val="nil"/>
            </w:tcBorders>
            <w:textDirection w:val="lrTb"/>
            <w:vAlign w:val="center"/>
          </w:tcPr>
          <w:p w:rsidR="002C3B67" w:rsidRPr="00DA5B8F">
            <w:pPr>
              <w:pStyle w:val="BodyTextIndent1"/>
              <w:tabs>
                <w:tab w:val="clear" w:pos="540"/>
                <w:tab w:val="left" w:pos="708"/>
              </w:tabs>
              <w:overflowPunct/>
              <w:autoSpaceDE/>
              <w:bidi w:val="0"/>
              <w:adjustRightInd/>
              <w:spacing w:before="60" w:line="264" w:lineRule="auto"/>
              <w:jc w:val="left"/>
              <w:rPr>
                <w:rFonts w:ascii="Times New Roman" w:hAnsi="Times New Roman"/>
              </w:rPr>
            </w:pPr>
            <w:r w:rsidRPr="00DA5B8F">
              <w:rPr>
                <w:rFonts w:ascii="Times New Roman" w:hAnsi="Times New Roman"/>
              </w:rPr>
              <w:t>predseda vymenovaný uznesením vlády č. 115 dňom 11. 4. 2012</w:t>
            </w:r>
          </w:p>
        </w:tc>
      </w:tr>
      <w:tr>
        <w:tblPrEx>
          <w:tblW w:w="9720" w:type="dxa"/>
          <w:tblInd w:w="70" w:type="dxa"/>
          <w:tblCellMar>
            <w:left w:w="70" w:type="dxa"/>
            <w:right w:w="70" w:type="dxa"/>
          </w:tblCellMar>
        </w:tblPrEx>
        <w:tc>
          <w:tcPr>
            <w:tcW w:w="2880" w:type="dxa"/>
            <w:tcBorders>
              <w:top w:val="single" w:sz="4" w:space="0" w:color="999999"/>
              <w:left w:val="nil"/>
              <w:bottom w:val="single" w:sz="4"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Mgr. Juraj Gedra</w:t>
            </w:r>
          </w:p>
        </w:tc>
        <w:tc>
          <w:tcPr>
            <w:tcW w:w="6840" w:type="dxa"/>
            <w:tcBorders>
              <w:top w:val="single" w:sz="4" w:space="0" w:color="999999"/>
              <w:left w:val="nil"/>
              <w:bottom w:val="single" w:sz="4" w:space="0" w:color="999999"/>
              <w:right w:val="nil"/>
            </w:tcBorders>
            <w:textDirection w:val="lrTb"/>
            <w:vAlign w:val="center"/>
          </w:tcPr>
          <w:p w:rsidR="00F53FFE" w:rsidRPr="00DA5B8F" w:rsidP="00F53FFE">
            <w:pPr>
              <w:pStyle w:val="BodyText"/>
              <w:bidi w:val="0"/>
              <w:spacing w:before="60" w:line="264" w:lineRule="auto"/>
              <w:ind w:firstLine="0"/>
              <w:jc w:val="left"/>
              <w:rPr>
                <w:rFonts w:ascii="Times New Roman" w:hAnsi="Times New Roman"/>
                <w:sz w:val="24"/>
                <w:szCs w:val="24"/>
              </w:rPr>
            </w:pPr>
            <w:r w:rsidRPr="00DA5B8F" w:rsidR="002C3B67">
              <w:rPr>
                <w:rFonts w:ascii="Times New Roman" w:hAnsi="Times New Roman"/>
                <w:sz w:val="24"/>
                <w:szCs w:val="24"/>
              </w:rPr>
              <w:t xml:space="preserve">člen vymenovaný uznesením vlády č. 141 dňom 19. 4. 2012 </w:t>
            </w:r>
          </w:p>
          <w:p w:rsidR="00F53FFE" w:rsidRPr="00DA5B8F" w:rsidP="004C799E">
            <w:pPr>
              <w:pStyle w:val="BodyText"/>
              <w:numPr>
                <w:numId w:val="19"/>
              </w:numPr>
              <w:bidi w:val="0"/>
              <w:spacing w:before="60" w:line="264" w:lineRule="auto"/>
              <w:ind w:left="452"/>
              <w:jc w:val="left"/>
              <w:rPr>
                <w:rFonts w:ascii="Times New Roman" w:hAnsi="Times New Roman"/>
                <w:sz w:val="24"/>
                <w:szCs w:val="24"/>
              </w:rPr>
            </w:pPr>
            <w:r w:rsidRPr="00DA5B8F" w:rsidR="002C3B67">
              <w:rPr>
                <w:rFonts w:ascii="Times New Roman" w:hAnsi="Times New Roman"/>
                <w:sz w:val="24"/>
                <w:szCs w:val="24"/>
              </w:rPr>
              <w:t xml:space="preserve">riaditeľ </w:t>
            </w:r>
            <w:r w:rsidRPr="00DA5B8F">
              <w:rPr>
                <w:rFonts w:ascii="Times New Roman" w:hAnsi="Times New Roman"/>
                <w:sz w:val="24"/>
                <w:szCs w:val="24"/>
              </w:rPr>
              <w:t>sekcie výkonu akcionárskych práv do 31. 1. 2014</w:t>
            </w:r>
          </w:p>
          <w:p w:rsidR="0095147B" w:rsidRPr="00DA5B8F" w:rsidP="004C799E">
            <w:pPr>
              <w:pStyle w:val="BodyText"/>
              <w:numPr>
                <w:numId w:val="19"/>
              </w:numPr>
              <w:bidi w:val="0"/>
              <w:spacing w:before="60" w:line="264" w:lineRule="auto"/>
              <w:ind w:left="452"/>
              <w:jc w:val="left"/>
              <w:rPr>
                <w:rFonts w:ascii="Times New Roman" w:hAnsi="Times New Roman"/>
                <w:sz w:val="24"/>
                <w:szCs w:val="24"/>
              </w:rPr>
            </w:pPr>
            <w:r w:rsidRPr="00DA5B8F" w:rsidR="00F53FFE">
              <w:rPr>
                <w:rFonts w:ascii="Times New Roman" w:hAnsi="Times New Roman"/>
                <w:sz w:val="24"/>
                <w:szCs w:val="24"/>
              </w:rPr>
              <w:t xml:space="preserve">riaditeľ </w:t>
            </w:r>
            <w:r w:rsidRPr="00DA5B8F" w:rsidR="002C3B67">
              <w:rPr>
                <w:rFonts w:ascii="Times New Roman" w:hAnsi="Times New Roman"/>
                <w:sz w:val="24"/>
                <w:szCs w:val="24"/>
              </w:rPr>
              <w:t xml:space="preserve">sekcie </w:t>
            </w:r>
            <w:r w:rsidRPr="00DA5B8F">
              <w:rPr>
                <w:rFonts w:ascii="Times New Roman" w:hAnsi="Times New Roman"/>
                <w:sz w:val="24"/>
                <w:szCs w:val="24"/>
              </w:rPr>
              <w:t>analýz, stratégie a kapitálového trhu od 15. 1. 2014 do 31. 1. 2014</w:t>
            </w:r>
          </w:p>
          <w:p w:rsidR="002C3B67" w:rsidRPr="00DA5B8F" w:rsidP="004C799E">
            <w:pPr>
              <w:pStyle w:val="BodyText"/>
              <w:numPr>
                <w:numId w:val="19"/>
              </w:numPr>
              <w:bidi w:val="0"/>
              <w:spacing w:before="60" w:line="264" w:lineRule="auto"/>
              <w:ind w:left="452"/>
              <w:jc w:val="left"/>
              <w:rPr>
                <w:rFonts w:ascii="Times New Roman" w:hAnsi="Times New Roman"/>
                <w:sz w:val="24"/>
                <w:szCs w:val="24"/>
              </w:rPr>
            </w:pPr>
            <w:r w:rsidRPr="00DA5B8F" w:rsidR="0095147B">
              <w:rPr>
                <w:rFonts w:ascii="Times New Roman" w:hAnsi="Times New Roman"/>
                <w:sz w:val="24"/>
                <w:szCs w:val="24"/>
              </w:rPr>
              <w:t>riaditeľ sekcie výkonu akcionárskych práv, stratégie a kapitálového trhu od 1. 2. 2014</w:t>
            </w:r>
          </w:p>
        </w:tc>
      </w:tr>
      <w:tr>
        <w:tblPrEx>
          <w:tblW w:w="9720" w:type="dxa"/>
          <w:tblInd w:w="70" w:type="dxa"/>
          <w:tblCellMar>
            <w:left w:w="70" w:type="dxa"/>
            <w:right w:w="70" w:type="dxa"/>
          </w:tblCellMar>
        </w:tblPrEx>
        <w:tc>
          <w:tcPr>
            <w:tcW w:w="2880" w:type="dxa"/>
            <w:tcBorders>
              <w:top w:val="single" w:sz="4" w:space="0" w:color="999999"/>
              <w:left w:val="nil"/>
              <w:bottom w:val="single" w:sz="4"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Mgr. Peter Kalivoda</w:t>
            </w:r>
          </w:p>
        </w:tc>
        <w:tc>
          <w:tcPr>
            <w:tcW w:w="6840" w:type="dxa"/>
            <w:tcBorders>
              <w:top w:val="single" w:sz="4" w:space="0" w:color="999999"/>
              <w:left w:val="nil"/>
              <w:bottom w:val="single" w:sz="4" w:space="0" w:color="999999"/>
              <w:right w:val="nil"/>
            </w:tcBorders>
            <w:textDirection w:val="lrTb"/>
            <w:vAlign w:val="center"/>
          </w:tcPr>
          <w:p w:rsidR="0095147B" w:rsidRPr="00DA5B8F">
            <w:pPr>
              <w:pStyle w:val="BodyText"/>
              <w:bidi w:val="0"/>
              <w:spacing w:before="60" w:line="264" w:lineRule="auto"/>
              <w:ind w:firstLine="0"/>
              <w:jc w:val="left"/>
              <w:rPr>
                <w:rFonts w:ascii="Times New Roman" w:hAnsi="Times New Roman"/>
                <w:sz w:val="24"/>
                <w:szCs w:val="24"/>
              </w:rPr>
            </w:pPr>
            <w:r w:rsidRPr="00DA5B8F" w:rsidR="002C3B67">
              <w:rPr>
                <w:rFonts w:ascii="Times New Roman" w:hAnsi="Times New Roman"/>
                <w:sz w:val="24"/>
                <w:szCs w:val="24"/>
              </w:rPr>
              <w:t>člen vymenovaný uznesením vlády č. 141 dňom 19. 4. 2012</w:t>
            </w:r>
          </w:p>
          <w:p w:rsidR="0095147B" w:rsidRPr="00DA5B8F" w:rsidP="004C799E">
            <w:pPr>
              <w:pStyle w:val="BodyText"/>
              <w:numPr>
                <w:numId w:val="20"/>
              </w:numPr>
              <w:bidi w:val="0"/>
              <w:spacing w:before="60" w:line="264" w:lineRule="auto"/>
              <w:ind w:left="452"/>
              <w:jc w:val="left"/>
              <w:rPr>
                <w:rFonts w:ascii="Times New Roman" w:hAnsi="Times New Roman"/>
                <w:sz w:val="24"/>
                <w:szCs w:val="24"/>
              </w:rPr>
            </w:pPr>
            <w:r w:rsidRPr="00DA5B8F">
              <w:rPr>
                <w:rFonts w:ascii="Times New Roman" w:hAnsi="Times New Roman"/>
                <w:sz w:val="24"/>
                <w:szCs w:val="24"/>
              </w:rPr>
              <w:t xml:space="preserve">riaditeľ </w:t>
            </w:r>
            <w:r w:rsidRPr="00DA5B8F" w:rsidR="002C3B67">
              <w:rPr>
                <w:rFonts w:ascii="Times New Roman" w:hAnsi="Times New Roman"/>
                <w:sz w:val="24"/>
                <w:szCs w:val="24"/>
              </w:rPr>
              <w:t xml:space="preserve">sekcie správy financií a kontroly </w:t>
            </w:r>
            <w:r w:rsidRPr="00DA5B8F">
              <w:rPr>
                <w:rFonts w:ascii="Times New Roman" w:hAnsi="Times New Roman"/>
                <w:sz w:val="24"/>
                <w:szCs w:val="24"/>
              </w:rPr>
              <w:t>do 31. 1. 2014</w:t>
            </w:r>
          </w:p>
          <w:p w:rsidR="002C3B67" w:rsidRPr="00DA5B8F" w:rsidP="004C799E">
            <w:pPr>
              <w:pStyle w:val="BodyText"/>
              <w:numPr>
                <w:numId w:val="20"/>
              </w:numPr>
              <w:bidi w:val="0"/>
              <w:spacing w:before="60" w:line="264" w:lineRule="auto"/>
              <w:ind w:left="452"/>
              <w:jc w:val="left"/>
              <w:rPr>
                <w:rFonts w:ascii="Times New Roman" w:hAnsi="Times New Roman"/>
                <w:sz w:val="24"/>
                <w:szCs w:val="24"/>
              </w:rPr>
            </w:pPr>
            <w:r w:rsidRPr="00DA5B8F" w:rsidR="0095147B">
              <w:rPr>
                <w:rFonts w:ascii="Times New Roman" w:hAnsi="Times New Roman"/>
                <w:sz w:val="24"/>
                <w:szCs w:val="24"/>
              </w:rPr>
              <w:t>riaditeľ sekcie financií, ekonomických analýz a kontroly od 1. 2. 2014</w:t>
            </w:r>
          </w:p>
        </w:tc>
      </w:tr>
      <w:tr>
        <w:tblPrEx>
          <w:tblW w:w="9720" w:type="dxa"/>
          <w:tblInd w:w="70" w:type="dxa"/>
          <w:tblCellMar>
            <w:left w:w="70" w:type="dxa"/>
            <w:right w:w="70" w:type="dxa"/>
          </w:tblCellMar>
        </w:tblPrEx>
        <w:tc>
          <w:tcPr>
            <w:tcW w:w="2880" w:type="dxa"/>
            <w:tcBorders>
              <w:top w:val="single" w:sz="4" w:space="0" w:color="999999"/>
              <w:left w:val="nil"/>
              <w:bottom w:val="single" w:sz="4"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Ing. Rudolf Šamaj</w:t>
            </w:r>
          </w:p>
        </w:tc>
        <w:tc>
          <w:tcPr>
            <w:tcW w:w="6840" w:type="dxa"/>
            <w:tcBorders>
              <w:top w:val="single" w:sz="4" w:space="0" w:color="999999"/>
              <w:left w:val="nil"/>
              <w:bottom w:val="single" w:sz="4" w:space="0" w:color="999999"/>
              <w:right w:val="nil"/>
            </w:tcBorders>
            <w:textDirection w:val="lrTb"/>
            <w:vAlign w:val="center"/>
          </w:tcPr>
          <w:p w:rsidR="004C799E" w:rsidRPr="00DA5B8F">
            <w:pPr>
              <w:pStyle w:val="BodyText"/>
              <w:bidi w:val="0"/>
              <w:spacing w:before="60" w:line="264" w:lineRule="auto"/>
              <w:ind w:firstLine="0"/>
              <w:jc w:val="left"/>
              <w:rPr>
                <w:rFonts w:ascii="Times New Roman" w:hAnsi="Times New Roman"/>
                <w:sz w:val="24"/>
                <w:szCs w:val="24"/>
              </w:rPr>
            </w:pPr>
            <w:r w:rsidRPr="00DA5B8F" w:rsidR="002C3B67">
              <w:rPr>
                <w:rFonts w:ascii="Times New Roman" w:hAnsi="Times New Roman"/>
                <w:sz w:val="24"/>
                <w:szCs w:val="24"/>
              </w:rPr>
              <w:t xml:space="preserve">člen vymenovaný uznesením vlády č. 141 dňom 19. 4. 2012 </w:t>
            </w:r>
          </w:p>
          <w:p w:rsidR="002C3B67" w:rsidRPr="00DA5B8F" w:rsidP="004C799E">
            <w:pPr>
              <w:pStyle w:val="BodyText"/>
              <w:numPr>
                <w:numId w:val="21"/>
              </w:numPr>
              <w:bidi w:val="0"/>
              <w:spacing w:before="60" w:line="264" w:lineRule="auto"/>
              <w:ind w:left="452"/>
              <w:jc w:val="left"/>
              <w:rPr>
                <w:rFonts w:ascii="Times New Roman" w:hAnsi="Times New Roman"/>
                <w:sz w:val="24"/>
                <w:szCs w:val="24"/>
              </w:rPr>
            </w:pPr>
            <w:r w:rsidRPr="00DA5B8F">
              <w:rPr>
                <w:rFonts w:ascii="Times New Roman" w:hAnsi="Times New Roman"/>
                <w:sz w:val="24"/>
                <w:szCs w:val="24"/>
              </w:rPr>
              <w:t xml:space="preserve">riaditeľ sekcie správy majetku a služieb </w:t>
            </w:r>
            <w:r w:rsidRPr="00DA5B8F" w:rsidR="004C799E">
              <w:rPr>
                <w:rFonts w:ascii="Times New Roman" w:hAnsi="Times New Roman"/>
                <w:sz w:val="24"/>
                <w:szCs w:val="24"/>
              </w:rPr>
              <w:t>do 31. 1. 2014</w:t>
            </w:r>
          </w:p>
          <w:p w:rsidR="004C799E" w:rsidRPr="00DA5B8F" w:rsidP="004C799E">
            <w:pPr>
              <w:pStyle w:val="BodyText"/>
              <w:numPr>
                <w:numId w:val="21"/>
              </w:numPr>
              <w:bidi w:val="0"/>
              <w:spacing w:before="60" w:line="264" w:lineRule="auto"/>
              <w:ind w:left="452"/>
              <w:jc w:val="left"/>
              <w:rPr>
                <w:rFonts w:ascii="Times New Roman" w:hAnsi="Times New Roman"/>
                <w:sz w:val="24"/>
                <w:szCs w:val="24"/>
              </w:rPr>
            </w:pPr>
            <w:r w:rsidRPr="00DA5B8F">
              <w:rPr>
                <w:rFonts w:ascii="Times New Roman" w:hAnsi="Times New Roman"/>
                <w:sz w:val="24"/>
                <w:szCs w:val="24"/>
              </w:rPr>
              <w:t>riaditeľ sekcie správy majetku, služieb a reštitúcií od 1. 2. 2014</w:t>
            </w:r>
          </w:p>
        </w:tc>
      </w:tr>
    </w:tbl>
    <w:p w:rsidR="002C3B67" w:rsidRPr="00DA5B8F">
      <w:pPr>
        <w:pStyle w:val="BodyTextIndent1"/>
        <w:tabs>
          <w:tab w:val="clear" w:pos="540"/>
          <w:tab w:val="left" w:pos="708"/>
        </w:tabs>
        <w:overflowPunct/>
        <w:bidi w:val="0"/>
        <w:spacing w:before="0"/>
        <w:rPr>
          <w:rFonts w:ascii="Times New Roman" w:hAnsi="Times New Roman"/>
        </w:rPr>
      </w:pPr>
    </w:p>
    <w:p w:rsidR="002C3B67" w:rsidRPr="00DA5B8F">
      <w:pPr>
        <w:pStyle w:val="BodyTextIndent1"/>
        <w:tabs>
          <w:tab w:val="num" w:pos="0"/>
        </w:tabs>
        <w:overflowPunct/>
        <w:autoSpaceDE/>
        <w:bidi w:val="0"/>
        <w:adjustRightInd/>
        <w:spacing w:line="264" w:lineRule="auto"/>
        <w:rPr>
          <w:rFonts w:ascii="Times New Roman" w:hAnsi="Times New Roman"/>
        </w:rPr>
      </w:pPr>
      <w:r w:rsidRPr="00DA5B8F">
        <w:rPr>
          <w:rFonts w:ascii="Times New Roman" w:hAnsi="Times New Roman"/>
        </w:rPr>
        <w:t>Výkonný výbor zabezpečuje činnosť fondu a zodpovedá najmä za vypracovanie:</w:t>
      </w:r>
    </w:p>
    <w:p w:rsidR="002C3B67" w:rsidRPr="00DA5B8F">
      <w:pPr>
        <w:pStyle w:val="ostavec2"/>
        <w:numPr>
          <w:numId w:val="18"/>
        </w:numPr>
        <w:tabs>
          <w:tab w:val="num" w:pos="720"/>
          <w:tab w:val="clear" w:pos="927"/>
          <w:tab w:val="clear" w:pos="3132"/>
        </w:tabs>
        <w:bidi w:val="0"/>
        <w:spacing w:before="60" w:after="0" w:line="264" w:lineRule="auto"/>
        <w:ind w:left="720"/>
        <w:rPr>
          <w:rFonts w:ascii="Times New Roman" w:hAnsi="Times New Roman"/>
        </w:rPr>
      </w:pPr>
      <w:r w:rsidRPr="00DA5B8F">
        <w:rPr>
          <w:rFonts w:ascii="Times New Roman" w:hAnsi="Times New Roman"/>
        </w:rPr>
        <w:t>návrhu na použitie majetku fondu podľa §</w:t>
      </w:r>
      <w:r w:rsidRPr="00DA5B8F" w:rsidR="004C799E">
        <w:rPr>
          <w:rFonts w:ascii="Times New Roman" w:hAnsi="Times New Roman"/>
        </w:rPr>
        <w:t> </w:t>
      </w:r>
      <w:r w:rsidRPr="00DA5B8F">
        <w:rPr>
          <w:rFonts w:ascii="Times New Roman" w:hAnsi="Times New Roman"/>
        </w:rPr>
        <w:t>28 ods.</w:t>
      </w:r>
      <w:r w:rsidRPr="00DA5B8F" w:rsidR="004C799E">
        <w:rPr>
          <w:rFonts w:ascii="Times New Roman" w:hAnsi="Times New Roman"/>
        </w:rPr>
        <w:t> </w:t>
      </w:r>
      <w:r w:rsidRPr="00DA5B8F">
        <w:rPr>
          <w:rFonts w:ascii="Times New Roman" w:hAnsi="Times New Roman"/>
        </w:rPr>
        <w:t>3 písm.</w:t>
      </w:r>
      <w:r w:rsidRPr="00DA5B8F" w:rsidR="004C799E">
        <w:rPr>
          <w:rFonts w:ascii="Times New Roman" w:hAnsi="Times New Roman"/>
        </w:rPr>
        <w:t> </w:t>
      </w:r>
      <w:r w:rsidRPr="00DA5B8F">
        <w:rPr>
          <w:rFonts w:ascii="Times New Roman" w:hAnsi="Times New Roman"/>
        </w:rPr>
        <w:t>b) zákona o privatizácii,</w:t>
      </w:r>
    </w:p>
    <w:p w:rsidR="002C3B67" w:rsidRPr="00DA5B8F">
      <w:pPr>
        <w:pStyle w:val="ostavec2"/>
        <w:numPr>
          <w:numId w:val="18"/>
        </w:numPr>
        <w:tabs>
          <w:tab w:val="num" w:pos="720"/>
          <w:tab w:val="clear" w:pos="927"/>
          <w:tab w:val="clear" w:pos="3132"/>
        </w:tabs>
        <w:bidi w:val="0"/>
        <w:spacing w:before="60" w:after="0" w:line="264" w:lineRule="auto"/>
        <w:ind w:left="720"/>
        <w:rPr>
          <w:rFonts w:ascii="Times New Roman" w:hAnsi="Times New Roman"/>
        </w:rPr>
      </w:pPr>
      <w:r w:rsidRPr="00DA5B8F">
        <w:rPr>
          <w:rFonts w:ascii="Times New Roman" w:hAnsi="Times New Roman"/>
        </w:rPr>
        <w:t>návrhu rozpočtu fondu,</w:t>
      </w:r>
    </w:p>
    <w:p w:rsidR="002C3B67" w:rsidRPr="00DA5B8F">
      <w:pPr>
        <w:pStyle w:val="ostavec2"/>
        <w:numPr>
          <w:numId w:val="18"/>
        </w:numPr>
        <w:tabs>
          <w:tab w:val="num" w:pos="720"/>
          <w:tab w:val="clear" w:pos="927"/>
          <w:tab w:val="clear" w:pos="3132"/>
        </w:tabs>
        <w:bidi w:val="0"/>
        <w:spacing w:before="60" w:after="0" w:line="264" w:lineRule="auto"/>
        <w:ind w:left="720"/>
        <w:rPr>
          <w:rFonts w:ascii="Times New Roman" w:hAnsi="Times New Roman"/>
        </w:rPr>
      </w:pPr>
      <w:r w:rsidRPr="00DA5B8F">
        <w:rPr>
          <w:rFonts w:ascii="Times New Roman" w:hAnsi="Times New Roman"/>
        </w:rPr>
        <w:t>ročnej účtovnej závierky fondu,</w:t>
      </w:r>
    </w:p>
    <w:p w:rsidR="002C3B67" w:rsidRPr="00DA5B8F">
      <w:pPr>
        <w:pStyle w:val="ostavec2"/>
        <w:numPr>
          <w:numId w:val="18"/>
        </w:numPr>
        <w:tabs>
          <w:tab w:val="num" w:pos="720"/>
          <w:tab w:val="clear" w:pos="927"/>
          <w:tab w:val="clear" w:pos="3132"/>
        </w:tabs>
        <w:bidi w:val="0"/>
        <w:spacing w:before="60" w:after="0" w:line="264" w:lineRule="auto"/>
        <w:ind w:left="720"/>
        <w:rPr>
          <w:rFonts w:ascii="Times New Roman" w:hAnsi="Times New Roman"/>
        </w:rPr>
      </w:pPr>
      <w:r w:rsidRPr="00DA5B8F">
        <w:rPr>
          <w:rFonts w:ascii="Times New Roman" w:hAnsi="Times New Roman"/>
        </w:rPr>
        <w:t>výročnej správy o činnosti fondu za predchádzajúci rok,</w:t>
      </w:r>
    </w:p>
    <w:p w:rsidR="002C3B67" w:rsidRPr="00DA5B8F">
      <w:pPr>
        <w:pStyle w:val="ostavec2"/>
        <w:numPr>
          <w:numId w:val="18"/>
        </w:numPr>
        <w:tabs>
          <w:tab w:val="num" w:pos="720"/>
          <w:tab w:val="clear" w:pos="927"/>
          <w:tab w:val="clear" w:pos="3132"/>
        </w:tabs>
        <w:bidi w:val="0"/>
        <w:spacing w:before="60" w:after="0" w:line="264" w:lineRule="auto"/>
        <w:ind w:left="720"/>
        <w:rPr>
          <w:rFonts w:ascii="Times New Roman" w:hAnsi="Times New Roman"/>
        </w:rPr>
      </w:pPr>
      <w:r w:rsidRPr="00DA5B8F">
        <w:rPr>
          <w:rFonts w:ascii="Times New Roman" w:hAnsi="Times New Roman"/>
        </w:rPr>
        <w:t>návrhu štatútu fondu,</w:t>
      </w:r>
    </w:p>
    <w:p w:rsidR="002C3B67" w:rsidRPr="00DA5B8F">
      <w:pPr>
        <w:pStyle w:val="ostavec2"/>
        <w:numPr>
          <w:numId w:val="18"/>
        </w:numPr>
        <w:tabs>
          <w:tab w:val="num" w:pos="720"/>
          <w:tab w:val="clear" w:pos="927"/>
          <w:tab w:val="clear" w:pos="3132"/>
        </w:tabs>
        <w:bidi w:val="0"/>
        <w:spacing w:before="60" w:after="0" w:line="264" w:lineRule="auto"/>
        <w:ind w:left="720"/>
        <w:rPr>
          <w:rFonts w:ascii="Times New Roman" w:hAnsi="Times New Roman"/>
        </w:rPr>
      </w:pPr>
      <w:r w:rsidRPr="00DA5B8F">
        <w:rPr>
          <w:rFonts w:ascii="Times New Roman" w:hAnsi="Times New Roman"/>
        </w:rPr>
        <w:t>informácií a údajov o činnosti fondu podľa §</w:t>
      </w:r>
      <w:r w:rsidRPr="00DA5B8F" w:rsidR="004C799E">
        <w:rPr>
          <w:rFonts w:ascii="Times New Roman" w:hAnsi="Times New Roman"/>
        </w:rPr>
        <w:t> </w:t>
      </w:r>
      <w:r w:rsidRPr="00DA5B8F">
        <w:rPr>
          <w:rFonts w:ascii="Times New Roman" w:hAnsi="Times New Roman"/>
        </w:rPr>
        <w:t>40 zákona o privatizácii.</w:t>
      </w:r>
    </w:p>
    <w:p w:rsidR="002C3B67" w:rsidRPr="00DA5B8F">
      <w:pPr>
        <w:pStyle w:val="BodyTextIndent1"/>
        <w:tabs>
          <w:tab w:val="num" w:pos="0"/>
        </w:tabs>
        <w:overflowPunct/>
        <w:autoSpaceDE/>
        <w:bidi w:val="0"/>
        <w:adjustRightInd/>
        <w:spacing w:line="264" w:lineRule="auto"/>
        <w:rPr>
          <w:rFonts w:ascii="Times New Roman" w:hAnsi="Times New Roman"/>
        </w:rPr>
      </w:pPr>
      <w:r w:rsidRPr="00DA5B8F">
        <w:rPr>
          <w:rFonts w:ascii="Times New Roman" w:hAnsi="Times New Roman"/>
        </w:rPr>
        <w:t>Návrh na použitie majetku fondu podľa § 28 ods.</w:t>
      </w:r>
      <w:r w:rsidRPr="00DA5B8F" w:rsidR="004C799E">
        <w:rPr>
          <w:rFonts w:ascii="Times New Roman" w:hAnsi="Times New Roman"/>
        </w:rPr>
        <w:t> </w:t>
      </w:r>
      <w:r w:rsidRPr="00DA5B8F">
        <w:rPr>
          <w:rFonts w:ascii="Times New Roman" w:hAnsi="Times New Roman"/>
        </w:rPr>
        <w:t>3 písm.</w:t>
      </w:r>
      <w:r w:rsidRPr="00DA5B8F" w:rsidR="004C799E">
        <w:rPr>
          <w:rFonts w:ascii="Times New Roman" w:hAnsi="Times New Roman"/>
        </w:rPr>
        <w:t> </w:t>
      </w:r>
      <w:r w:rsidRPr="00DA5B8F">
        <w:rPr>
          <w:rFonts w:ascii="Times New Roman" w:hAnsi="Times New Roman"/>
        </w:rPr>
        <w:t>b) zákona o privatizácii, správu o výsledkoch kontroly podľa § 40 ods.</w:t>
      </w:r>
      <w:r w:rsidRPr="00DA5B8F" w:rsidR="004C799E">
        <w:rPr>
          <w:rFonts w:ascii="Times New Roman" w:hAnsi="Times New Roman"/>
        </w:rPr>
        <w:t> </w:t>
      </w:r>
      <w:r w:rsidRPr="00DA5B8F">
        <w:rPr>
          <w:rFonts w:ascii="Times New Roman" w:hAnsi="Times New Roman"/>
        </w:rPr>
        <w:t>2 zákona o privatizácii, návrh rozpočtu fondu, ročnú účtovnú závierku a výročnú správu o činnosti fondu predkladá fond po prerokovaní vo vláde na schválenie NR SR v lehotách ustanovených v štatúte fondu.</w:t>
      </w:r>
    </w:p>
    <w:p w:rsidR="002C3B67" w:rsidRPr="00DA5B8F">
      <w:pPr>
        <w:pStyle w:val="Heading3"/>
        <w:overflowPunct/>
        <w:autoSpaceDE/>
        <w:bidi w:val="0"/>
        <w:adjustRightInd/>
        <w:spacing w:before="360"/>
        <w:rPr>
          <w:rFonts w:ascii="Times New Roman" w:hAnsi="Times New Roman"/>
        </w:rPr>
      </w:pPr>
      <w:r w:rsidRPr="00DA5B8F">
        <w:rPr>
          <w:rFonts w:ascii="Times New Roman" w:hAnsi="Times New Roman"/>
        </w:rPr>
        <w:t>Dozorná rada</w:t>
      </w:r>
    </w:p>
    <w:p w:rsidR="002C3B67" w:rsidRPr="00DA5B8F">
      <w:pPr>
        <w:pStyle w:val="BodyTextIndent1"/>
        <w:tabs>
          <w:tab w:val="num" w:pos="0"/>
        </w:tabs>
        <w:overflowPunct/>
        <w:autoSpaceDE/>
        <w:bidi w:val="0"/>
        <w:adjustRightInd/>
        <w:spacing w:line="264" w:lineRule="auto"/>
        <w:rPr>
          <w:rFonts w:ascii="Times New Roman" w:hAnsi="Times New Roman"/>
        </w:rPr>
      </w:pPr>
      <w:r w:rsidRPr="00DA5B8F">
        <w:rPr>
          <w:rFonts w:ascii="Times New Roman" w:hAnsi="Times New Roman"/>
        </w:rPr>
        <w:t>Dozorná rada fondu dozerá na činnosť a hospodárenie fondu a výkonného výboru, či je v súlade so zákonom o privatizácii, štatútom fondu a inými všeobecne záväznými právnymi predpismi. Na zistené nedostatky upozorňuje výkonný výbor, vládu, NR SR, príp. iné orgány.</w:t>
      </w:r>
    </w:p>
    <w:p w:rsidR="002C3B67" w:rsidRPr="00DA5B8F">
      <w:pPr>
        <w:pStyle w:val="BodyTextIndent1"/>
        <w:tabs>
          <w:tab w:val="num" w:pos="0"/>
        </w:tabs>
        <w:overflowPunct/>
        <w:autoSpaceDE/>
        <w:bidi w:val="0"/>
        <w:adjustRightInd/>
        <w:spacing w:line="264" w:lineRule="auto"/>
        <w:rPr>
          <w:rFonts w:ascii="Times New Roman" w:hAnsi="Times New Roman"/>
        </w:rPr>
      </w:pPr>
    </w:p>
    <w:tbl>
      <w:tblPr>
        <w:tblStyle w:val="TableNormal"/>
        <w:tblW w:w="9720" w:type="dxa"/>
        <w:tblInd w:w="70" w:type="dxa"/>
        <w:tblBorders>
          <w:top w:val="single" w:sz="4" w:space="0" w:color="999999"/>
          <w:bottom w:val="single" w:sz="4" w:space="0" w:color="999999"/>
        </w:tblBorders>
        <w:tblCellMar>
          <w:left w:w="70" w:type="dxa"/>
          <w:right w:w="70" w:type="dxa"/>
        </w:tblCellMar>
      </w:tblPr>
      <w:tblGrid>
        <w:gridCol w:w="2880"/>
        <w:gridCol w:w="6840"/>
      </w:tblGrid>
      <w:tr>
        <w:tblPrEx>
          <w:tblW w:w="9720" w:type="dxa"/>
          <w:tblInd w:w="70" w:type="dxa"/>
          <w:tblBorders>
            <w:top w:val="single" w:sz="4" w:space="0" w:color="999999"/>
            <w:bottom w:val="single" w:sz="4" w:space="0" w:color="999999"/>
          </w:tblBorders>
          <w:tblCellMar>
            <w:left w:w="70" w:type="dxa"/>
            <w:right w:w="70" w:type="dxa"/>
          </w:tblCellMar>
        </w:tblPrEx>
        <w:tc>
          <w:tcPr>
            <w:tcW w:w="9720" w:type="dxa"/>
            <w:gridSpan w:val="2"/>
            <w:tcBorders>
              <w:top w:val="single" w:sz="4" w:space="0" w:color="999999"/>
              <w:left w:val="nil"/>
              <w:bottom w:val="double" w:sz="4" w:space="0" w:color="999999"/>
              <w:right w:val="nil"/>
            </w:tcBorders>
            <w:shd w:val="clear" w:color="auto" w:fill="CCCCFF"/>
            <w:textDirection w:val="lrTb"/>
            <w:vAlign w:val="top"/>
          </w:tcPr>
          <w:p w:rsidR="002C3B67" w:rsidRPr="00DA5B8F">
            <w:pPr>
              <w:pStyle w:val="BodyText"/>
              <w:bidi w:val="0"/>
              <w:spacing w:before="60" w:after="60" w:line="240" w:lineRule="auto"/>
              <w:ind w:firstLine="0"/>
              <w:jc w:val="left"/>
              <w:rPr>
                <w:rFonts w:ascii="Times New Roman" w:hAnsi="Times New Roman"/>
                <w:b/>
                <w:bCs/>
                <w:sz w:val="24"/>
                <w:szCs w:val="24"/>
              </w:rPr>
            </w:pPr>
            <w:r w:rsidRPr="00DA5B8F" w:rsidR="004C799E">
              <w:rPr>
                <w:rFonts w:ascii="Times New Roman" w:hAnsi="Times New Roman"/>
                <w:b/>
                <w:bCs/>
                <w:sz w:val="24"/>
                <w:szCs w:val="24"/>
              </w:rPr>
              <w:t>V roku 2014</w:t>
            </w:r>
            <w:r w:rsidRPr="00DA5B8F">
              <w:rPr>
                <w:rFonts w:ascii="Times New Roman" w:hAnsi="Times New Roman"/>
                <w:b/>
                <w:bCs/>
                <w:sz w:val="24"/>
                <w:szCs w:val="24"/>
              </w:rPr>
              <w:t xml:space="preserve"> pracovala dozorná rada v nasledovnom zložení</w:t>
            </w:r>
          </w:p>
        </w:tc>
      </w:tr>
      <w:tr>
        <w:tblPrEx>
          <w:tblW w:w="9720" w:type="dxa"/>
          <w:tblInd w:w="70" w:type="dxa"/>
          <w:tblBorders>
            <w:top w:val="single" w:sz="8" w:space="0" w:color="999999"/>
            <w:bottom w:val="single" w:sz="8" w:space="0" w:color="999999"/>
          </w:tblBorders>
          <w:tblCellMar>
            <w:left w:w="70" w:type="dxa"/>
            <w:right w:w="70" w:type="dxa"/>
          </w:tblCellMar>
        </w:tblPrEx>
        <w:tc>
          <w:tcPr>
            <w:tcW w:w="2880" w:type="dxa"/>
            <w:tcBorders>
              <w:top w:val="single" w:sz="8" w:space="0" w:color="999999"/>
              <w:left w:val="nil"/>
              <w:bottom w:val="single" w:sz="8"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Ing. Daniel Végh</w:t>
            </w:r>
          </w:p>
        </w:tc>
        <w:tc>
          <w:tcPr>
            <w:tcW w:w="6840" w:type="dxa"/>
            <w:tcBorders>
              <w:top w:val="single" w:sz="8" w:space="0" w:color="999999"/>
              <w:left w:val="nil"/>
              <w:bottom w:val="single" w:sz="8" w:space="0" w:color="999999"/>
              <w:right w:val="nil"/>
            </w:tcBorders>
            <w:textDirection w:val="lrTb"/>
            <w:vAlign w:val="center"/>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predseda zvolený uznesením NR SR č. 43 z 19. 6. 2012</w:t>
            </w:r>
          </w:p>
        </w:tc>
      </w:tr>
      <w:tr>
        <w:tblPrEx>
          <w:tblW w:w="9720" w:type="dxa"/>
          <w:tblInd w:w="70" w:type="dxa"/>
          <w:tblBorders>
            <w:top w:val="single" w:sz="8" w:space="0" w:color="999999"/>
            <w:bottom w:val="single" w:sz="8" w:space="0" w:color="999999"/>
          </w:tblBorders>
          <w:tblCellMar>
            <w:left w:w="70" w:type="dxa"/>
            <w:right w:w="70" w:type="dxa"/>
          </w:tblCellMar>
        </w:tblPrEx>
        <w:tc>
          <w:tcPr>
            <w:tcW w:w="2880" w:type="dxa"/>
            <w:tcBorders>
              <w:top w:val="single" w:sz="8" w:space="0" w:color="999999"/>
              <w:left w:val="nil"/>
              <w:bottom w:val="single" w:sz="8"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Ing. Vladimír Liššák</w:t>
            </w:r>
          </w:p>
        </w:tc>
        <w:tc>
          <w:tcPr>
            <w:tcW w:w="6840" w:type="dxa"/>
            <w:tcBorders>
              <w:top w:val="single" w:sz="8" w:space="0" w:color="999999"/>
              <w:left w:val="nil"/>
              <w:bottom w:val="single" w:sz="8" w:space="0" w:color="999999"/>
              <w:right w:val="nil"/>
            </w:tcBorders>
            <w:textDirection w:val="lrTb"/>
            <w:vAlign w:val="center"/>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člen zvolený uznesením NR SR č. 43 z 19. 6. 2012</w:t>
            </w:r>
          </w:p>
        </w:tc>
      </w:tr>
      <w:tr>
        <w:tblPrEx>
          <w:tblW w:w="9720" w:type="dxa"/>
          <w:tblInd w:w="70" w:type="dxa"/>
          <w:tblBorders>
            <w:top w:val="single" w:sz="8" w:space="0" w:color="999999"/>
            <w:bottom w:val="single" w:sz="8" w:space="0" w:color="999999"/>
          </w:tblBorders>
          <w:tblCellMar>
            <w:left w:w="70" w:type="dxa"/>
            <w:right w:w="70" w:type="dxa"/>
          </w:tblCellMar>
        </w:tblPrEx>
        <w:tc>
          <w:tcPr>
            <w:tcW w:w="2880" w:type="dxa"/>
            <w:tcBorders>
              <w:top w:val="single" w:sz="8" w:space="0" w:color="999999"/>
              <w:left w:val="nil"/>
              <w:bottom w:val="single" w:sz="8"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Ing. Martin Kráľ</w:t>
            </w:r>
          </w:p>
        </w:tc>
        <w:tc>
          <w:tcPr>
            <w:tcW w:w="6840" w:type="dxa"/>
            <w:tcBorders>
              <w:top w:val="single" w:sz="8" w:space="0" w:color="999999"/>
              <w:left w:val="nil"/>
              <w:bottom w:val="single" w:sz="8" w:space="0" w:color="999999"/>
              <w:right w:val="nil"/>
            </w:tcBorders>
            <w:textDirection w:val="lrTb"/>
            <w:vAlign w:val="top"/>
          </w:tcPr>
          <w:p w:rsidR="002C3B67" w:rsidRPr="00DA5B8F">
            <w:pPr>
              <w:pStyle w:val="BodyText"/>
              <w:bidi w:val="0"/>
              <w:spacing w:before="60" w:line="264" w:lineRule="auto"/>
              <w:ind w:firstLine="0"/>
              <w:jc w:val="left"/>
              <w:rPr>
                <w:rFonts w:ascii="Times New Roman" w:hAnsi="Times New Roman"/>
                <w:sz w:val="24"/>
                <w:szCs w:val="24"/>
              </w:rPr>
            </w:pPr>
            <w:r w:rsidRPr="00DA5B8F">
              <w:rPr>
                <w:rFonts w:ascii="Times New Roman" w:hAnsi="Times New Roman"/>
                <w:sz w:val="24"/>
                <w:szCs w:val="24"/>
              </w:rPr>
              <w:t>člen zvolený uznesením NR SR č. 43 z 19. 6. 2012</w:t>
            </w:r>
          </w:p>
        </w:tc>
      </w:tr>
    </w:tbl>
    <w:p w:rsidR="002B3D63" w:rsidRPr="00DA5B8F" w:rsidP="002B3D63">
      <w:pPr>
        <w:pStyle w:val="BodyTextIndent1"/>
        <w:tabs>
          <w:tab w:val="num" w:pos="0"/>
        </w:tabs>
        <w:overflowPunct/>
        <w:autoSpaceDE/>
        <w:bidi w:val="0"/>
        <w:adjustRightInd/>
        <w:spacing w:line="264" w:lineRule="auto"/>
        <w:rPr>
          <w:rFonts w:ascii="Times New Roman" w:hAnsi="Times New Roman"/>
        </w:rPr>
      </w:pPr>
    </w:p>
    <w:p w:rsidR="00E77BB7" w:rsidRPr="00DA5B8F" w:rsidP="002B3D63">
      <w:pPr>
        <w:pStyle w:val="BodyTextIndent1"/>
        <w:tabs>
          <w:tab w:val="num" w:pos="0"/>
        </w:tabs>
        <w:overflowPunct/>
        <w:autoSpaceDE/>
        <w:bidi w:val="0"/>
        <w:adjustRightInd/>
        <w:spacing w:line="264" w:lineRule="auto"/>
        <w:rPr>
          <w:rFonts w:ascii="Times New Roman" w:hAnsi="Times New Roman"/>
        </w:rPr>
      </w:pPr>
    </w:p>
    <w:p w:rsidR="002B3D63" w:rsidRPr="00DA5B8F" w:rsidP="002B3D63">
      <w:pPr>
        <w:pStyle w:val="BodyTextIndent1"/>
        <w:tabs>
          <w:tab w:val="num" w:pos="0"/>
        </w:tabs>
        <w:overflowPunct/>
        <w:autoSpaceDE/>
        <w:bidi w:val="0"/>
        <w:adjustRightInd/>
        <w:spacing w:line="264" w:lineRule="auto"/>
        <w:rPr>
          <w:rFonts w:ascii="Times New Roman" w:hAnsi="Times New Roman"/>
        </w:rPr>
      </w:pPr>
    </w:p>
    <w:p w:rsidR="002C3B67" w:rsidRPr="00DA5B8F" w:rsidP="001F7099">
      <w:pPr>
        <w:pStyle w:val="Header"/>
        <w:shd w:val="clear" w:color="auto" w:fill="E6E6E6"/>
        <w:tabs>
          <w:tab w:val="clear" w:pos="4703"/>
          <w:tab w:val="clear" w:pos="9406"/>
        </w:tabs>
        <w:bidi w:val="0"/>
        <w:spacing w:after="240"/>
        <w:jc w:val="both"/>
        <w:rPr>
          <w:rFonts w:ascii="Times New Roman" w:hAnsi="Times New Roman"/>
          <w:b/>
          <w:bCs/>
          <w:lang w:val="sk-SK"/>
        </w:rPr>
      </w:pPr>
      <w:r w:rsidRPr="00DA5B8F">
        <w:rPr>
          <w:rFonts w:ascii="Times New Roman" w:hAnsi="Times New Roman"/>
          <w:b/>
          <w:bCs/>
          <w:lang w:val="sk-SK"/>
        </w:rPr>
        <w:t>2.6</w:t>
        <w:tab/>
        <w:t>Organizačná štruktúra fondu</w:t>
      </w:r>
    </w:p>
    <w:p w:rsidR="002C3B67" w:rsidRPr="00DA5B8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K 31. 12. 201</w:t>
      </w:r>
      <w:r w:rsidRPr="00DA5B8F" w:rsidR="00CC2DC5">
        <w:rPr>
          <w:rFonts w:ascii="Times New Roman" w:hAnsi="Times New Roman"/>
        </w:rPr>
        <w:t>4</w:t>
      </w:r>
      <w:r w:rsidRPr="00DA5B8F">
        <w:rPr>
          <w:rFonts w:ascii="Times New Roman" w:hAnsi="Times New Roman"/>
        </w:rPr>
        <w:t xml:space="preserve"> tvorili vnútornú organizačnú štruktúru fondu tieto organizačné útvary:</w:t>
      </w:r>
    </w:p>
    <w:p w:rsidR="002C3B67" w:rsidRPr="00DA5B8F" w:rsidP="00BA7A8D">
      <w:pPr>
        <w:numPr>
          <w:ilvl w:val="1"/>
          <w:numId w:val="4"/>
        </w:numPr>
        <w:tabs>
          <w:tab w:val="num" w:pos="567"/>
          <w:tab w:val="clear" w:pos="2007"/>
        </w:tabs>
        <w:bidi w:val="0"/>
        <w:spacing w:before="360" w:line="264" w:lineRule="auto"/>
        <w:ind w:left="567" w:hanging="567"/>
        <w:jc w:val="both"/>
        <w:rPr>
          <w:rFonts w:ascii="Times New Roman" w:hAnsi="Times New Roman"/>
          <w:b/>
          <w:lang w:val="sk-SK"/>
        </w:rPr>
      </w:pPr>
      <w:r w:rsidRPr="00DA5B8F">
        <w:rPr>
          <w:rFonts w:ascii="Times New Roman" w:hAnsi="Times New Roman"/>
          <w:b/>
          <w:lang w:val="sk-SK"/>
        </w:rPr>
        <w:t>Kancelária predsedu výkonného výboru</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p</w:t>
      </w:r>
      <w:r w:rsidRPr="00DA5B8F">
        <w:rPr>
          <w:rFonts w:ascii="Times New Roman" w:hAnsi="Times New Roman"/>
          <w:lang w:val="sk-SK"/>
        </w:rPr>
        <w:t>redseda výkonného výboru</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právnych služieb</w:t>
      </w:r>
    </w:p>
    <w:p w:rsidR="002C3B67" w:rsidRPr="00DA5B8F" w:rsidP="00BA7A8D">
      <w:pPr>
        <w:numPr>
          <w:ilvl w:val="1"/>
          <w:numId w:val="8"/>
        </w:numPr>
        <w:tabs>
          <w:tab w:val="num" w:pos="993"/>
          <w:tab w:val="clear" w:pos="1440"/>
        </w:tabs>
        <w:bidi w:val="0"/>
        <w:spacing w:line="264" w:lineRule="auto"/>
        <w:ind w:left="993" w:hanging="426"/>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personálnej, mzdovej agendy a organizačného zabezpečenia výkonného výboru</w:t>
      </w:r>
    </w:p>
    <w:p w:rsidR="006B281C" w:rsidRPr="00DA5B8F" w:rsidP="00BA7A8D">
      <w:pPr>
        <w:numPr>
          <w:ilvl w:val="1"/>
          <w:numId w:val="8"/>
        </w:numPr>
        <w:tabs>
          <w:tab w:val="num" w:pos="993"/>
          <w:tab w:val="clear" w:pos="1440"/>
        </w:tabs>
        <w:bidi w:val="0"/>
        <w:spacing w:line="264" w:lineRule="auto"/>
        <w:ind w:left="993" w:hanging="426"/>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medzinárodného styku, obchodu a evidencie zmlúv</w:t>
      </w:r>
    </w:p>
    <w:p w:rsidR="002C3B67" w:rsidRPr="00DA5B8F" w:rsidP="00BA7A8D">
      <w:pPr>
        <w:numPr>
          <w:ilvl w:val="1"/>
          <w:numId w:val="4"/>
        </w:numPr>
        <w:tabs>
          <w:tab w:val="num" w:pos="567"/>
          <w:tab w:val="clear" w:pos="2007"/>
        </w:tabs>
        <w:bidi w:val="0"/>
        <w:spacing w:before="360" w:line="264" w:lineRule="auto"/>
        <w:ind w:left="567" w:hanging="567"/>
        <w:jc w:val="both"/>
        <w:rPr>
          <w:rFonts w:ascii="Times New Roman" w:hAnsi="Times New Roman"/>
          <w:b/>
          <w:lang w:val="sk-SK"/>
        </w:rPr>
      </w:pPr>
      <w:r w:rsidRPr="00DA5B8F">
        <w:rPr>
          <w:rFonts w:ascii="Times New Roman" w:hAnsi="Times New Roman"/>
          <w:b/>
          <w:lang w:val="sk-SK"/>
        </w:rPr>
        <w:t>Sekcia výkonu akcionárskych práv</w:t>
      </w:r>
      <w:r w:rsidRPr="00DA5B8F" w:rsidR="00BA7A8D">
        <w:rPr>
          <w:rFonts w:ascii="Times New Roman" w:hAnsi="Times New Roman"/>
          <w:b/>
          <w:lang w:val="sk-SK"/>
        </w:rPr>
        <w:t>, stratégie a kapitálového trhu</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r</w:t>
      </w:r>
      <w:r w:rsidRPr="00DA5B8F">
        <w:rPr>
          <w:rFonts w:ascii="Times New Roman" w:hAnsi="Times New Roman"/>
          <w:lang w:val="sk-SK"/>
        </w:rPr>
        <w:t>iaditeľ sekcie, ktorým je člen výkonného výboru</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výkonu akcionárskych práv</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zakladateľských činností</w:t>
      </w:r>
    </w:p>
    <w:p w:rsidR="00BA7A8D"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Pr>
          <w:rFonts w:ascii="Times New Roman" w:hAnsi="Times New Roman"/>
          <w:lang w:val="sk-SK"/>
        </w:rPr>
        <w:t>odbor stratégie a zefektívnenia nakladania s majetkovými účasťami</w:t>
      </w:r>
    </w:p>
    <w:p w:rsidR="00BA7A8D"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Pr>
          <w:rFonts w:ascii="Times New Roman" w:hAnsi="Times New Roman"/>
          <w:lang w:val="sk-SK"/>
        </w:rPr>
        <w:t>odbor kapitálového trhu</w:t>
      </w:r>
    </w:p>
    <w:p w:rsidR="002C3B67" w:rsidRPr="00DA5B8F" w:rsidP="00BA7A8D">
      <w:pPr>
        <w:numPr>
          <w:ilvl w:val="1"/>
          <w:numId w:val="4"/>
        </w:numPr>
        <w:tabs>
          <w:tab w:val="num" w:pos="567"/>
          <w:tab w:val="clear" w:pos="2007"/>
        </w:tabs>
        <w:bidi w:val="0"/>
        <w:spacing w:before="360" w:line="264" w:lineRule="auto"/>
        <w:ind w:left="567" w:hanging="567"/>
        <w:jc w:val="both"/>
        <w:rPr>
          <w:rFonts w:ascii="Times New Roman" w:hAnsi="Times New Roman"/>
          <w:b/>
          <w:lang w:val="sk-SK"/>
        </w:rPr>
      </w:pPr>
      <w:r w:rsidRPr="00DA5B8F">
        <w:rPr>
          <w:rFonts w:ascii="Times New Roman" w:hAnsi="Times New Roman"/>
          <w:b/>
          <w:lang w:val="sk-SK"/>
        </w:rPr>
        <w:t>Sekcia správy financií</w:t>
      </w:r>
      <w:r w:rsidRPr="00DA5B8F" w:rsidR="00BA7A8D">
        <w:rPr>
          <w:rFonts w:ascii="Times New Roman" w:hAnsi="Times New Roman"/>
          <w:b/>
          <w:lang w:val="sk-SK"/>
        </w:rPr>
        <w:t xml:space="preserve">, ekonomických analýz </w:t>
      </w:r>
      <w:r w:rsidRPr="00DA5B8F">
        <w:rPr>
          <w:rFonts w:ascii="Times New Roman" w:hAnsi="Times New Roman"/>
          <w:b/>
          <w:lang w:val="sk-SK"/>
        </w:rPr>
        <w:t>a kontroly</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r</w:t>
      </w:r>
      <w:r w:rsidRPr="00DA5B8F">
        <w:rPr>
          <w:rFonts w:ascii="Times New Roman" w:hAnsi="Times New Roman"/>
          <w:lang w:val="sk-SK"/>
        </w:rPr>
        <w:t>iaditeľ sekcie, ktorým je člen výkonného výboru</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ekonomiky</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pre monitorovanie pohľadávok, likvidácie, exekúcie a konkurzy</w:t>
      </w:r>
    </w:p>
    <w:p w:rsidR="002C3B67"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BA7A8D">
        <w:rPr>
          <w:rFonts w:ascii="Times New Roman" w:hAnsi="Times New Roman"/>
          <w:lang w:val="sk-SK"/>
        </w:rPr>
        <w:t>o</w:t>
      </w:r>
      <w:r w:rsidRPr="00DA5B8F">
        <w:rPr>
          <w:rFonts w:ascii="Times New Roman" w:hAnsi="Times New Roman"/>
          <w:lang w:val="sk-SK"/>
        </w:rPr>
        <w:t>dbor vonkajšej a vnútornej kontroly</w:t>
      </w:r>
    </w:p>
    <w:p w:rsidR="00531FC8" w:rsidRPr="00DA5B8F" w:rsidP="00BA7A8D">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Pr>
          <w:rFonts w:ascii="Times New Roman" w:hAnsi="Times New Roman"/>
          <w:lang w:val="sk-SK"/>
        </w:rPr>
        <w:t>odbor ekonomických analýz</w:t>
      </w:r>
    </w:p>
    <w:p w:rsidR="002C3B67" w:rsidRPr="00DA5B8F" w:rsidP="00531FC8">
      <w:pPr>
        <w:numPr>
          <w:ilvl w:val="1"/>
          <w:numId w:val="4"/>
        </w:numPr>
        <w:tabs>
          <w:tab w:val="num" w:pos="567"/>
          <w:tab w:val="clear" w:pos="2007"/>
        </w:tabs>
        <w:bidi w:val="0"/>
        <w:spacing w:before="360" w:line="264" w:lineRule="auto"/>
        <w:ind w:left="567" w:hanging="567"/>
        <w:jc w:val="both"/>
        <w:rPr>
          <w:rFonts w:ascii="Times New Roman" w:hAnsi="Times New Roman"/>
          <w:b/>
          <w:lang w:val="sk-SK"/>
        </w:rPr>
      </w:pPr>
      <w:r w:rsidRPr="00DA5B8F">
        <w:rPr>
          <w:rFonts w:ascii="Times New Roman" w:hAnsi="Times New Roman"/>
          <w:b/>
          <w:lang w:val="sk-SK"/>
        </w:rPr>
        <w:t>Sekcia správy majetku</w:t>
      </w:r>
      <w:r w:rsidRPr="00DA5B8F" w:rsidR="00531FC8">
        <w:rPr>
          <w:rFonts w:ascii="Times New Roman" w:hAnsi="Times New Roman"/>
          <w:b/>
          <w:lang w:val="sk-SK"/>
        </w:rPr>
        <w:t xml:space="preserve">, </w:t>
      </w:r>
      <w:r w:rsidRPr="00DA5B8F">
        <w:rPr>
          <w:rFonts w:ascii="Times New Roman" w:hAnsi="Times New Roman"/>
          <w:b/>
          <w:lang w:val="sk-SK"/>
        </w:rPr>
        <w:t>služieb</w:t>
      </w:r>
      <w:r w:rsidRPr="00DA5B8F" w:rsidR="00531FC8">
        <w:rPr>
          <w:rFonts w:ascii="Times New Roman" w:hAnsi="Times New Roman"/>
          <w:b/>
          <w:lang w:val="sk-SK"/>
        </w:rPr>
        <w:t>, a reštitúcií</w:t>
      </w:r>
    </w:p>
    <w:p w:rsidR="002C3B67" w:rsidRPr="00DA5B8F" w:rsidP="00531FC8">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531FC8">
        <w:rPr>
          <w:rFonts w:ascii="Times New Roman" w:hAnsi="Times New Roman"/>
          <w:lang w:val="sk-SK"/>
        </w:rPr>
        <w:t>r</w:t>
      </w:r>
      <w:r w:rsidRPr="00DA5B8F">
        <w:rPr>
          <w:rFonts w:ascii="Times New Roman" w:hAnsi="Times New Roman"/>
          <w:lang w:val="sk-SK"/>
        </w:rPr>
        <w:t>iaditeľ sekcie, ktorým je člen výkonného výboru</w:t>
      </w:r>
    </w:p>
    <w:p w:rsidR="002C3B67" w:rsidRPr="00DA5B8F" w:rsidP="00531FC8">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531FC8">
        <w:rPr>
          <w:rFonts w:ascii="Times New Roman" w:hAnsi="Times New Roman"/>
          <w:lang w:val="sk-SK"/>
        </w:rPr>
        <w:t>s</w:t>
      </w:r>
      <w:r w:rsidRPr="00DA5B8F">
        <w:rPr>
          <w:rFonts w:ascii="Times New Roman" w:hAnsi="Times New Roman"/>
          <w:lang w:val="sk-SK"/>
        </w:rPr>
        <w:t xml:space="preserve">ekretariát dozornej rady </w:t>
      </w:r>
      <w:r w:rsidRPr="00DA5B8F" w:rsidR="00531FC8">
        <w:rPr>
          <w:rFonts w:ascii="Times New Roman" w:hAnsi="Times New Roman"/>
          <w:lang w:val="sk-SK"/>
        </w:rPr>
        <w:t xml:space="preserve">a </w:t>
      </w:r>
      <w:r w:rsidRPr="00DA5B8F">
        <w:rPr>
          <w:rFonts w:ascii="Times New Roman" w:hAnsi="Times New Roman"/>
          <w:lang w:val="sk-SK"/>
        </w:rPr>
        <w:t>ústrednej spisovne</w:t>
      </w:r>
    </w:p>
    <w:p w:rsidR="002C3B67" w:rsidRPr="00DA5B8F" w:rsidP="00531FC8">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531FC8">
        <w:rPr>
          <w:rFonts w:ascii="Times New Roman" w:hAnsi="Times New Roman"/>
          <w:lang w:val="sk-SK"/>
        </w:rPr>
        <w:t>o</w:t>
      </w:r>
      <w:r w:rsidRPr="00DA5B8F">
        <w:rPr>
          <w:rFonts w:ascii="Times New Roman" w:hAnsi="Times New Roman"/>
          <w:lang w:val="sk-SK"/>
        </w:rPr>
        <w:t>dbor hospodárskej správy</w:t>
      </w:r>
      <w:r w:rsidRPr="00DA5B8F" w:rsidR="00531FC8">
        <w:rPr>
          <w:rFonts w:ascii="Times New Roman" w:hAnsi="Times New Roman"/>
          <w:lang w:val="sk-SK"/>
        </w:rPr>
        <w:t xml:space="preserve"> </w:t>
      </w:r>
      <w:r w:rsidRPr="00DA5B8F">
        <w:rPr>
          <w:rFonts w:ascii="Times New Roman" w:hAnsi="Times New Roman"/>
          <w:lang w:val="sk-SK"/>
        </w:rPr>
        <w:t>majetku a dopravy</w:t>
      </w:r>
    </w:p>
    <w:p w:rsidR="002C3B67" w:rsidRPr="00DA5B8F" w:rsidP="00531FC8">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531FC8">
        <w:rPr>
          <w:rFonts w:ascii="Times New Roman" w:hAnsi="Times New Roman"/>
          <w:lang w:val="sk-SK"/>
        </w:rPr>
        <w:t>o</w:t>
      </w:r>
      <w:r w:rsidRPr="00DA5B8F">
        <w:rPr>
          <w:rFonts w:ascii="Times New Roman" w:hAnsi="Times New Roman"/>
          <w:lang w:val="sk-SK"/>
        </w:rPr>
        <w:t>dbor verejného obstarávania a správy informačných systémov</w:t>
      </w:r>
    </w:p>
    <w:p w:rsidR="00531FC8" w:rsidRPr="00DA5B8F" w:rsidP="00531FC8">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Pr>
          <w:rFonts w:ascii="Times New Roman" w:hAnsi="Times New Roman"/>
          <w:lang w:val="sk-SK"/>
        </w:rPr>
        <w:t>o</w:t>
      </w:r>
      <w:r w:rsidRPr="00DA5B8F" w:rsidR="002C3B67">
        <w:rPr>
          <w:rFonts w:ascii="Times New Roman" w:hAnsi="Times New Roman"/>
          <w:lang w:val="sk-SK"/>
        </w:rPr>
        <w:t>dbor registratúry</w:t>
      </w:r>
    </w:p>
    <w:p w:rsidR="002C3B67" w:rsidRPr="00DA5B8F" w:rsidP="00531FC8">
      <w:pPr>
        <w:numPr>
          <w:ilvl w:val="1"/>
          <w:numId w:val="8"/>
        </w:numPr>
        <w:tabs>
          <w:tab w:val="num" w:pos="993"/>
          <w:tab w:val="clear" w:pos="1440"/>
        </w:tabs>
        <w:bidi w:val="0"/>
        <w:spacing w:line="264" w:lineRule="auto"/>
        <w:ind w:left="993" w:hanging="426"/>
        <w:jc w:val="both"/>
        <w:rPr>
          <w:rFonts w:ascii="Times New Roman" w:hAnsi="Times New Roman"/>
          <w:lang w:val="sk-SK"/>
        </w:rPr>
      </w:pPr>
      <w:r w:rsidRPr="00DA5B8F" w:rsidR="00531FC8">
        <w:rPr>
          <w:rFonts w:ascii="Times New Roman" w:hAnsi="Times New Roman"/>
          <w:lang w:val="sk-SK"/>
        </w:rPr>
        <w:t>odbor reštitúcií</w:t>
      </w:r>
    </w:p>
    <w:p w:rsidR="002C3B67" w:rsidRPr="00DA5B8F">
      <w:pPr>
        <w:numPr>
          <w:numId w:val="3"/>
        </w:numPr>
        <w:tabs>
          <w:tab w:val="num" w:pos="0"/>
          <w:tab w:val="clear" w:pos="720"/>
        </w:tabs>
        <w:bidi w:val="0"/>
        <w:ind w:left="0" w:firstLine="0"/>
        <w:rPr>
          <w:rFonts w:ascii="Times New Roman" w:hAnsi="Times New Roman"/>
          <w:b/>
          <w:bCs/>
          <w:caps/>
          <w:lang w:val="sk-SK"/>
        </w:rPr>
      </w:pPr>
      <w:r w:rsidRPr="00DA5B8F" w:rsidR="002B3D63">
        <w:rPr>
          <w:rFonts w:ascii="Times New Roman" w:hAnsi="Times New Roman"/>
          <w:b/>
          <w:bCs/>
          <w:caps/>
          <w:lang w:val="sk-SK"/>
        </w:rPr>
        <w:br w:type="page"/>
      </w:r>
      <w:r w:rsidRPr="00DA5B8F">
        <w:rPr>
          <w:rFonts w:ascii="Times New Roman" w:hAnsi="Times New Roman"/>
          <w:b/>
          <w:bCs/>
          <w:caps/>
          <w:lang w:val="sk-SK"/>
        </w:rPr>
        <w:t>Hlavné aktivity fondu v roku 201</w:t>
      </w:r>
      <w:r w:rsidRPr="00DA5B8F" w:rsidR="003F0EA2">
        <w:rPr>
          <w:rFonts w:ascii="Times New Roman" w:hAnsi="Times New Roman"/>
          <w:b/>
          <w:bCs/>
          <w:caps/>
          <w:lang w:val="sk-SK"/>
        </w:rPr>
        <w:t>4</w:t>
      </w:r>
    </w:p>
    <w:p w:rsidR="009E6FAB" w:rsidRPr="00DA5B8F" w:rsidP="00156767">
      <w:pPr>
        <w:pStyle w:val="BodyTextIndent1"/>
        <w:tabs>
          <w:tab w:val="num" w:pos="0"/>
        </w:tabs>
        <w:overflowPunct/>
        <w:autoSpaceDE/>
        <w:bidi w:val="0"/>
        <w:adjustRightInd/>
        <w:spacing w:before="360" w:line="264" w:lineRule="auto"/>
        <w:rPr>
          <w:rFonts w:ascii="Times New Roman" w:hAnsi="Times New Roman"/>
        </w:rPr>
      </w:pPr>
      <w:r w:rsidRPr="00DA5B8F">
        <w:rPr>
          <w:rFonts w:ascii="Times New Roman" w:hAnsi="Times New Roman"/>
        </w:rPr>
        <w:t xml:space="preserve">Činnosť fondu </w:t>
      </w:r>
      <w:r w:rsidRPr="00DA5B8F" w:rsidR="00356B84">
        <w:rPr>
          <w:rFonts w:ascii="Times New Roman" w:hAnsi="Times New Roman"/>
        </w:rPr>
        <w:t xml:space="preserve">v roku 2014 </w:t>
      </w:r>
      <w:r w:rsidRPr="00DA5B8F">
        <w:rPr>
          <w:rFonts w:ascii="Times New Roman" w:hAnsi="Times New Roman"/>
        </w:rPr>
        <w:t>bola ovplyvnená zákonom č. 197/2014 Z. z., ktorým bol novelizovaný zákon o</w:t>
      </w:r>
      <w:r w:rsidRPr="00DA5B8F" w:rsidR="00356B84">
        <w:rPr>
          <w:rFonts w:ascii="Times New Roman" w:hAnsi="Times New Roman"/>
        </w:rPr>
        <w:t> </w:t>
      </w:r>
      <w:r w:rsidRPr="00DA5B8F">
        <w:rPr>
          <w:rFonts w:ascii="Times New Roman" w:hAnsi="Times New Roman"/>
        </w:rPr>
        <w:t>privatizácii</w:t>
      </w:r>
      <w:r w:rsidRPr="00DA5B8F" w:rsidR="00356B84">
        <w:rPr>
          <w:rFonts w:ascii="Times New Roman" w:hAnsi="Times New Roman"/>
        </w:rPr>
        <w:t>. V súlade s</w:t>
      </w:r>
      <w:r w:rsidRPr="00DA5B8F" w:rsidR="006048D2">
        <w:rPr>
          <w:rFonts w:ascii="Times New Roman" w:hAnsi="Times New Roman"/>
        </w:rPr>
        <w:t xml:space="preserve"> ustanovením </w:t>
      </w:r>
      <w:r w:rsidRPr="00DA5B8F">
        <w:rPr>
          <w:rFonts w:ascii="Times New Roman" w:hAnsi="Times New Roman"/>
        </w:rPr>
        <w:t xml:space="preserve">§ 47da ods. 1 uvedeného zákona dňom 1. 8. 2014 prešli do vlastníctva štátu </w:t>
      </w:r>
      <w:r w:rsidRPr="00DA5B8F" w:rsidR="00387D1C">
        <w:rPr>
          <w:rFonts w:ascii="Times New Roman" w:hAnsi="Times New Roman"/>
        </w:rPr>
        <w:t xml:space="preserve">– Slovenskej republiky </w:t>
      </w:r>
      <w:r w:rsidRPr="00DA5B8F">
        <w:rPr>
          <w:rFonts w:ascii="Times New Roman" w:hAnsi="Times New Roman"/>
        </w:rPr>
        <w:t>majetkové účasti fondu na podnikaní inej právnickej osoby</w:t>
      </w:r>
      <w:r w:rsidRPr="00DA5B8F" w:rsidR="0052513B">
        <w:rPr>
          <w:rFonts w:ascii="Times New Roman" w:hAnsi="Times New Roman"/>
        </w:rPr>
        <w:t xml:space="preserve">, konkrétne </w:t>
      </w:r>
      <w:r w:rsidRPr="00DA5B8F">
        <w:rPr>
          <w:rFonts w:ascii="Times New Roman" w:hAnsi="Times New Roman"/>
        </w:rPr>
        <w:t>spoločnost</w:t>
      </w:r>
      <w:r w:rsidRPr="00DA5B8F" w:rsidR="0052513B">
        <w:rPr>
          <w:rFonts w:ascii="Times New Roman" w:hAnsi="Times New Roman"/>
        </w:rPr>
        <w:t>í</w:t>
      </w:r>
      <w:r w:rsidRPr="00DA5B8F">
        <w:rPr>
          <w:rFonts w:ascii="Times New Roman" w:hAnsi="Times New Roman"/>
        </w:rPr>
        <w:t xml:space="preserve"> Západoslovenská energetika, a. s., Stredoslovenská energetika, a. s., Východoslovenská energetika, a. s., Slovenský plynárenský priemysel, a. s. a Slovenské elektrárne, a. s. vrátane všetkých súvisiacich záväzkov fondu vzniknutých do 31. 7. 2014</w:t>
      </w:r>
      <w:r w:rsidRPr="00DA5B8F" w:rsidR="004F46F1">
        <w:rPr>
          <w:rFonts w:ascii="Times New Roman" w:hAnsi="Times New Roman"/>
        </w:rPr>
        <w:t>. V</w:t>
      </w:r>
      <w:r w:rsidRPr="00DA5B8F">
        <w:rPr>
          <w:rFonts w:ascii="Times New Roman" w:hAnsi="Times New Roman"/>
        </w:rPr>
        <w:t> mene štátu koná MH SR. V zmysle § 47i ods. 2 uvedeného zákona rozhodnutia o privatizácii vydané podľa doterajších predpisov</w:t>
      </w:r>
      <w:r w:rsidRPr="00DA5B8F" w:rsidR="0052513B">
        <w:rPr>
          <w:rFonts w:ascii="Times New Roman" w:hAnsi="Times New Roman"/>
        </w:rPr>
        <w:t>,</w:t>
      </w:r>
      <w:r w:rsidRPr="00DA5B8F">
        <w:rPr>
          <w:rFonts w:ascii="Times New Roman" w:hAnsi="Times New Roman"/>
        </w:rPr>
        <w:t xml:space="preserve"> vláda SR uznesením č. 415 z 27. 8. 2014 uviedla do súladu s týmto zákonom. Týmto rozhodnutím sa zosúladili rozhodnutia o privatizácii vydané podľa </w:t>
      </w:r>
      <w:r w:rsidRPr="00DA5B8F" w:rsidR="004F46F1">
        <w:rPr>
          <w:rFonts w:ascii="Times New Roman" w:hAnsi="Times New Roman"/>
        </w:rPr>
        <w:t>pôvodných</w:t>
      </w:r>
      <w:r w:rsidRPr="00DA5B8F">
        <w:rPr>
          <w:rFonts w:ascii="Times New Roman" w:hAnsi="Times New Roman"/>
        </w:rPr>
        <w:t xml:space="preserve"> predpisov s § 47da ods. 1 zákona o privatizácií, ktorý bol novelizovaný zákonom č.</w:t>
      </w:r>
      <w:r w:rsidRPr="00DA5B8F" w:rsidR="004F46F1">
        <w:rPr>
          <w:rFonts w:ascii="Times New Roman" w:hAnsi="Times New Roman"/>
        </w:rPr>
        <w:t> </w:t>
      </w:r>
      <w:r w:rsidRPr="00DA5B8F">
        <w:rPr>
          <w:rFonts w:ascii="Times New Roman" w:hAnsi="Times New Roman"/>
        </w:rPr>
        <w:t>197/2014 Z.</w:t>
      </w:r>
      <w:r w:rsidRPr="00DA5B8F" w:rsidR="0052513B">
        <w:rPr>
          <w:rFonts w:ascii="Times New Roman" w:hAnsi="Times New Roman"/>
        </w:rPr>
        <w:t> </w:t>
      </w:r>
      <w:r w:rsidRPr="00DA5B8F">
        <w:rPr>
          <w:rFonts w:ascii="Times New Roman" w:hAnsi="Times New Roman"/>
        </w:rPr>
        <w:t>z.</w:t>
      </w:r>
    </w:p>
    <w:p w:rsidR="003474EE" w:rsidRPr="00DA5B8F" w:rsidP="003474EE">
      <w:pPr>
        <w:pStyle w:val="Header"/>
        <w:numPr>
          <w:ilvl w:val="1"/>
          <w:numId w:val="11"/>
        </w:numPr>
        <w:shd w:val="clear" w:color="auto" w:fill="E6E6E6"/>
        <w:tabs>
          <w:tab w:val="clear" w:pos="4703"/>
          <w:tab w:val="clear" w:pos="9406"/>
        </w:tabs>
        <w:bidi w:val="0"/>
        <w:spacing w:before="360" w:after="240" w:line="264" w:lineRule="auto"/>
        <w:ind w:left="703" w:hanging="703"/>
        <w:jc w:val="both"/>
        <w:rPr>
          <w:rFonts w:ascii="Times New Roman" w:hAnsi="Times New Roman"/>
          <w:b/>
          <w:bCs/>
          <w:lang w:val="sk-SK"/>
        </w:rPr>
      </w:pPr>
      <w:r w:rsidRPr="00DA5B8F">
        <w:rPr>
          <w:rFonts w:ascii="Times New Roman" w:hAnsi="Times New Roman"/>
          <w:b/>
          <w:bCs/>
          <w:lang w:val="sk-SK"/>
        </w:rPr>
        <w:t>Nakladanie s majetkovými účasťami fondu</w:t>
      </w:r>
    </w:p>
    <w:p w:rsidR="009E6FAB" w:rsidRPr="00DA5B8F" w:rsidP="00156767">
      <w:pPr>
        <w:pStyle w:val="BodyTextIndent1"/>
        <w:tabs>
          <w:tab w:val="num" w:pos="0"/>
        </w:tabs>
        <w:overflowPunct/>
        <w:autoSpaceDE/>
        <w:bidi w:val="0"/>
        <w:adjustRightInd/>
        <w:spacing w:line="264" w:lineRule="auto"/>
        <w:rPr>
          <w:rFonts w:ascii="Times New Roman" w:hAnsi="Times New Roman"/>
        </w:rPr>
      </w:pPr>
      <w:r w:rsidRPr="00DA5B8F" w:rsidR="003474EE">
        <w:rPr>
          <w:rFonts w:ascii="Times New Roman" w:hAnsi="Times New Roman"/>
        </w:rPr>
        <w:t>F</w:t>
      </w:r>
      <w:r w:rsidRPr="00DA5B8F" w:rsidR="00541EA6">
        <w:rPr>
          <w:rFonts w:ascii="Times New Roman" w:hAnsi="Times New Roman"/>
        </w:rPr>
        <w:t>ond</w:t>
      </w:r>
      <w:r w:rsidRPr="00DA5B8F" w:rsidR="00AA6C1F">
        <w:rPr>
          <w:rFonts w:ascii="Times New Roman" w:hAnsi="Times New Roman"/>
        </w:rPr>
        <w:t>,</w:t>
      </w:r>
      <w:r w:rsidRPr="00DA5B8F">
        <w:rPr>
          <w:rFonts w:ascii="Times New Roman" w:hAnsi="Times New Roman"/>
        </w:rPr>
        <w:t xml:space="preserve"> </w:t>
      </w:r>
      <w:r w:rsidRPr="00DA5B8F" w:rsidR="00AA6C1F">
        <w:rPr>
          <w:rFonts w:ascii="Times New Roman" w:hAnsi="Times New Roman"/>
        </w:rPr>
        <w:t xml:space="preserve">prostredníctvom odboru stratégie a zefektívnenia nakladania s majetkovými účasťami, </w:t>
      </w:r>
      <w:r w:rsidRPr="00DA5B8F">
        <w:rPr>
          <w:rFonts w:ascii="Times New Roman" w:hAnsi="Times New Roman"/>
        </w:rPr>
        <w:t>zabezpečil na základe odovzdávacieho a preberacieho protokolu z 1.</w:t>
      </w:r>
      <w:r w:rsidRPr="00DA5B8F" w:rsidR="00163D2D">
        <w:rPr>
          <w:rFonts w:ascii="Times New Roman" w:hAnsi="Times New Roman"/>
        </w:rPr>
        <w:t> 8. </w:t>
      </w:r>
      <w:r w:rsidRPr="00DA5B8F">
        <w:rPr>
          <w:rFonts w:ascii="Times New Roman" w:hAnsi="Times New Roman"/>
        </w:rPr>
        <w:t>2014</w:t>
      </w:r>
      <w:r w:rsidRPr="00DA5B8F" w:rsidR="00C90640">
        <w:rPr>
          <w:rFonts w:ascii="Times New Roman" w:hAnsi="Times New Roman"/>
        </w:rPr>
        <w:t>,</w:t>
      </w:r>
      <w:r w:rsidRPr="00DA5B8F">
        <w:rPr>
          <w:rFonts w:ascii="Times New Roman" w:hAnsi="Times New Roman"/>
        </w:rPr>
        <w:t xml:space="preserve"> odovzdanie hromadnej listinnej akcie na meno FNM</w:t>
      </w:r>
      <w:r w:rsidRPr="00DA5B8F" w:rsidR="00541EA6">
        <w:rPr>
          <w:rFonts w:ascii="Times New Roman" w:hAnsi="Times New Roman"/>
        </w:rPr>
        <w:t> </w:t>
      </w:r>
      <w:r w:rsidRPr="00DA5B8F">
        <w:rPr>
          <w:rFonts w:ascii="Times New Roman" w:hAnsi="Times New Roman"/>
        </w:rPr>
        <w:t>SR, vydanej 19. </w:t>
      </w:r>
      <w:r w:rsidRPr="00DA5B8F" w:rsidR="00163D2D">
        <w:rPr>
          <w:rFonts w:ascii="Times New Roman" w:hAnsi="Times New Roman"/>
        </w:rPr>
        <w:t>1. </w:t>
      </w:r>
      <w:r w:rsidRPr="00DA5B8F">
        <w:rPr>
          <w:rFonts w:ascii="Times New Roman" w:hAnsi="Times New Roman"/>
        </w:rPr>
        <w:t>2010 spoločnosťou S</w:t>
      </w:r>
      <w:r w:rsidRPr="00DA5B8F" w:rsidR="00163D2D">
        <w:rPr>
          <w:rFonts w:ascii="Times New Roman" w:hAnsi="Times New Roman"/>
        </w:rPr>
        <w:t>PP</w:t>
      </w:r>
      <w:r w:rsidRPr="00DA5B8F">
        <w:rPr>
          <w:rFonts w:ascii="Times New Roman" w:hAnsi="Times New Roman"/>
        </w:rPr>
        <w:t>, a.</w:t>
      </w:r>
      <w:r w:rsidRPr="00DA5B8F" w:rsidR="00356B84">
        <w:rPr>
          <w:rFonts w:ascii="Times New Roman" w:hAnsi="Times New Roman"/>
        </w:rPr>
        <w:t> </w:t>
      </w:r>
      <w:r w:rsidRPr="00DA5B8F">
        <w:rPr>
          <w:rFonts w:ascii="Times New Roman" w:hAnsi="Times New Roman"/>
        </w:rPr>
        <w:t>s., so</w:t>
      </w:r>
      <w:r w:rsidRPr="00DA5B8F" w:rsidR="00163D2D">
        <w:rPr>
          <w:rFonts w:ascii="Times New Roman" w:hAnsi="Times New Roman"/>
        </w:rPr>
        <w:t> </w:t>
      </w:r>
      <w:r w:rsidRPr="00DA5B8F">
        <w:rPr>
          <w:rFonts w:ascii="Times New Roman" w:hAnsi="Times New Roman"/>
        </w:rPr>
        <w:t>sídlom v Bratislav</w:t>
      </w:r>
      <w:r w:rsidRPr="00DA5B8F" w:rsidR="006B7049">
        <w:rPr>
          <w:rFonts w:ascii="Times New Roman" w:hAnsi="Times New Roman"/>
        </w:rPr>
        <w:t>e</w:t>
      </w:r>
      <w:r w:rsidRPr="00DA5B8F">
        <w:rPr>
          <w:rFonts w:ascii="Times New Roman" w:hAnsi="Times New Roman"/>
        </w:rPr>
        <w:t>, nahrádzajúcej 26</w:t>
      </w:r>
      <w:r w:rsidRPr="00DA5B8F" w:rsidR="00163D2D">
        <w:rPr>
          <w:rFonts w:ascii="Times New Roman" w:hAnsi="Times New Roman"/>
        </w:rPr>
        <w:t> </w:t>
      </w:r>
      <w:r w:rsidRPr="00DA5B8F">
        <w:rPr>
          <w:rFonts w:ascii="Times New Roman" w:hAnsi="Times New Roman"/>
        </w:rPr>
        <w:t>666</w:t>
      </w:r>
      <w:r w:rsidRPr="00DA5B8F" w:rsidR="00163D2D">
        <w:rPr>
          <w:rFonts w:ascii="Times New Roman" w:hAnsi="Times New Roman"/>
        </w:rPr>
        <w:t> </w:t>
      </w:r>
      <w:r w:rsidRPr="00DA5B8F">
        <w:rPr>
          <w:rFonts w:ascii="Times New Roman" w:hAnsi="Times New Roman"/>
        </w:rPr>
        <w:t>536</w:t>
      </w:r>
      <w:r w:rsidRPr="00DA5B8F" w:rsidR="00163D2D">
        <w:rPr>
          <w:rFonts w:ascii="Times New Roman" w:hAnsi="Times New Roman"/>
        </w:rPr>
        <w:t> </w:t>
      </w:r>
      <w:r w:rsidRPr="00DA5B8F">
        <w:rPr>
          <w:rFonts w:ascii="Times New Roman" w:hAnsi="Times New Roman"/>
        </w:rPr>
        <w:t xml:space="preserve">ks akcií na meno v menovitej hodnote jednej akcie 33,19 €, </w:t>
      </w:r>
      <w:r w:rsidRPr="00DA5B8F" w:rsidR="00C90640">
        <w:rPr>
          <w:rFonts w:ascii="Times New Roman" w:hAnsi="Times New Roman"/>
        </w:rPr>
        <w:t>na</w:t>
      </w:r>
      <w:r w:rsidRPr="00DA5B8F" w:rsidR="006B7049">
        <w:rPr>
          <w:rFonts w:ascii="Times New Roman" w:hAnsi="Times New Roman"/>
        </w:rPr>
        <w:t xml:space="preserve"> </w:t>
      </w:r>
      <w:r w:rsidRPr="00DA5B8F">
        <w:rPr>
          <w:rFonts w:ascii="Times New Roman" w:hAnsi="Times New Roman"/>
        </w:rPr>
        <w:t>M</w:t>
      </w:r>
      <w:r w:rsidRPr="00DA5B8F" w:rsidR="00163D2D">
        <w:rPr>
          <w:rFonts w:ascii="Times New Roman" w:hAnsi="Times New Roman"/>
        </w:rPr>
        <w:t>H </w:t>
      </w:r>
      <w:r w:rsidRPr="00DA5B8F">
        <w:rPr>
          <w:rFonts w:ascii="Times New Roman" w:hAnsi="Times New Roman"/>
        </w:rPr>
        <w:t>SR.</w:t>
      </w:r>
    </w:p>
    <w:p w:rsidR="006048D2" w:rsidRPr="00DA5B8F" w:rsidP="00156767">
      <w:pPr>
        <w:pStyle w:val="BodyTextIndent1"/>
        <w:tabs>
          <w:tab w:val="num" w:pos="0"/>
        </w:tabs>
        <w:overflowPunct/>
        <w:autoSpaceDE/>
        <w:bidi w:val="0"/>
        <w:adjustRightInd/>
        <w:spacing w:line="264" w:lineRule="auto"/>
        <w:rPr>
          <w:rFonts w:ascii="Times New Roman" w:hAnsi="Times New Roman"/>
        </w:rPr>
      </w:pPr>
      <w:r w:rsidRPr="00DA5B8F" w:rsidR="00AA6C1F">
        <w:rPr>
          <w:rFonts w:ascii="Times New Roman" w:hAnsi="Times New Roman"/>
        </w:rPr>
        <w:t>Tento odbor</w:t>
      </w:r>
      <w:r w:rsidRPr="00DA5B8F">
        <w:rPr>
          <w:rFonts w:ascii="Times New Roman" w:hAnsi="Times New Roman"/>
        </w:rPr>
        <w:t xml:space="preserve"> </w:t>
      </w:r>
      <w:r w:rsidRPr="00DA5B8F" w:rsidR="009E6FAB">
        <w:rPr>
          <w:rFonts w:ascii="Times New Roman" w:hAnsi="Times New Roman"/>
        </w:rPr>
        <w:t>zabezpečoval aj ďalšie činnosti v súvislosti s reorganizáciou spoločnosti S</w:t>
      </w:r>
      <w:r w:rsidRPr="00DA5B8F">
        <w:rPr>
          <w:rFonts w:ascii="Times New Roman" w:hAnsi="Times New Roman"/>
        </w:rPr>
        <w:t>PP</w:t>
      </w:r>
      <w:r w:rsidRPr="00DA5B8F" w:rsidR="009E6FAB">
        <w:rPr>
          <w:rFonts w:ascii="Times New Roman" w:hAnsi="Times New Roman"/>
        </w:rPr>
        <w:t>, a.</w:t>
      </w:r>
      <w:r w:rsidRPr="00DA5B8F">
        <w:rPr>
          <w:rFonts w:ascii="Times New Roman" w:hAnsi="Times New Roman"/>
        </w:rPr>
        <w:t> </w:t>
      </w:r>
      <w:r w:rsidRPr="00DA5B8F" w:rsidR="009E6FAB">
        <w:rPr>
          <w:rFonts w:ascii="Times New Roman" w:hAnsi="Times New Roman"/>
        </w:rPr>
        <w:t>s. a jej dcérskych spoločností, smerujúcou k nadobudnutiu 100</w:t>
      </w:r>
      <w:r w:rsidRPr="00DA5B8F" w:rsidR="00AA6C1F">
        <w:rPr>
          <w:rFonts w:ascii="Times New Roman" w:hAnsi="Times New Roman"/>
        </w:rPr>
        <w:t> </w:t>
      </w:r>
      <w:r w:rsidRPr="00DA5B8F" w:rsidR="009E6FAB">
        <w:rPr>
          <w:rFonts w:ascii="Times New Roman" w:hAnsi="Times New Roman"/>
        </w:rPr>
        <w:t>% kontroly zo strany štátu nad spoločnosťou SPP</w:t>
      </w:r>
      <w:r w:rsidRPr="00DA5B8F">
        <w:rPr>
          <w:rFonts w:ascii="Times New Roman" w:hAnsi="Times New Roman"/>
        </w:rPr>
        <w:t>, a. s.</w:t>
      </w:r>
      <w:r w:rsidRPr="00DA5B8F" w:rsidR="009E6FAB">
        <w:rPr>
          <w:rFonts w:ascii="Times New Roman" w:hAnsi="Times New Roman"/>
        </w:rPr>
        <w:t xml:space="preserve"> a jej dcérskou spoločnosťou SPP CZ, a.</w:t>
      </w:r>
      <w:r w:rsidRPr="00DA5B8F">
        <w:rPr>
          <w:rFonts w:ascii="Times New Roman" w:hAnsi="Times New Roman"/>
        </w:rPr>
        <w:t> </w:t>
      </w:r>
      <w:r w:rsidRPr="00DA5B8F" w:rsidR="009E6FAB">
        <w:rPr>
          <w:rFonts w:ascii="Times New Roman" w:hAnsi="Times New Roman"/>
        </w:rPr>
        <w:t xml:space="preserve">s. </w:t>
      </w:r>
      <w:r w:rsidRPr="00DA5B8F" w:rsidR="00433807">
        <w:rPr>
          <w:rFonts w:ascii="Times New Roman" w:hAnsi="Times New Roman"/>
        </w:rPr>
        <w:t>a</w:t>
      </w:r>
      <w:r w:rsidRPr="00DA5B8F" w:rsidR="009E6FAB">
        <w:rPr>
          <w:rFonts w:ascii="Times New Roman" w:hAnsi="Times New Roman"/>
        </w:rPr>
        <w:t>ko predpoklad postupného splnenia jednotlivých podmienok určen</w:t>
      </w:r>
      <w:r w:rsidRPr="00DA5B8F">
        <w:rPr>
          <w:rFonts w:ascii="Times New Roman" w:hAnsi="Times New Roman"/>
        </w:rPr>
        <w:t>ých</w:t>
      </w:r>
      <w:r w:rsidRPr="00DA5B8F" w:rsidR="009E6FAB">
        <w:rPr>
          <w:rFonts w:ascii="Times New Roman" w:hAnsi="Times New Roman"/>
        </w:rPr>
        <w:t xml:space="preserve"> v Prílohe č.</w:t>
      </w:r>
      <w:r w:rsidRPr="00DA5B8F">
        <w:rPr>
          <w:rFonts w:ascii="Times New Roman" w:hAnsi="Times New Roman"/>
        </w:rPr>
        <w:t> </w:t>
      </w:r>
      <w:r w:rsidRPr="00DA5B8F" w:rsidR="009E6FAB">
        <w:rPr>
          <w:rFonts w:ascii="Times New Roman" w:hAnsi="Times New Roman"/>
        </w:rPr>
        <w:t xml:space="preserve">2 Rámcovej zmluvy o kúpe a predaji akcií </w:t>
      </w:r>
      <w:r w:rsidRPr="00DA5B8F">
        <w:rPr>
          <w:rFonts w:ascii="Times New Roman" w:hAnsi="Times New Roman"/>
        </w:rPr>
        <w:t xml:space="preserve">uzatvorenou </w:t>
      </w:r>
      <w:r w:rsidRPr="00DA5B8F" w:rsidR="009E6FAB">
        <w:rPr>
          <w:rFonts w:ascii="Times New Roman" w:hAnsi="Times New Roman"/>
        </w:rPr>
        <w:t>medzi spoločnosťou Energetický a průmyslový holding, a.</w:t>
      </w:r>
      <w:r w:rsidRPr="00DA5B8F">
        <w:rPr>
          <w:rFonts w:ascii="Times New Roman" w:hAnsi="Times New Roman"/>
        </w:rPr>
        <w:t> s</w:t>
      </w:r>
      <w:r w:rsidRPr="00DA5B8F" w:rsidR="009E6FAB">
        <w:rPr>
          <w:rFonts w:ascii="Times New Roman" w:hAnsi="Times New Roman"/>
        </w:rPr>
        <w:t>., FNM</w:t>
      </w:r>
      <w:r w:rsidRPr="00DA5B8F">
        <w:rPr>
          <w:rFonts w:ascii="Times New Roman" w:hAnsi="Times New Roman"/>
        </w:rPr>
        <w:t> </w:t>
      </w:r>
      <w:r w:rsidRPr="00DA5B8F" w:rsidR="009E6FAB">
        <w:rPr>
          <w:rFonts w:ascii="Times New Roman" w:hAnsi="Times New Roman"/>
        </w:rPr>
        <w:t>SR a</w:t>
      </w:r>
      <w:r w:rsidRPr="00DA5B8F">
        <w:rPr>
          <w:rFonts w:ascii="Times New Roman" w:hAnsi="Times New Roman"/>
        </w:rPr>
        <w:t> </w:t>
      </w:r>
      <w:r w:rsidRPr="00DA5B8F" w:rsidR="009E6FAB">
        <w:rPr>
          <w:rFonts w:ascii="Times New Roman" w:hAnsi="Times New Roman"/>
        </w:rPr>
        <w:t>MH</w:t>
      </w:r>
      <w:r w:rsidRPr="00DA5B8F">
        <w:rPr>
          <w:rFonts w:ascii="Times New Roman" w:hAnsi="Times New Roman"/>
        </w:rPr>
        <w:t> </w:t>
      </w:r>
      <w:r w:rsidRPr="00DA5B8F" w:rsidR="009E6FAB">
        <w:rPr>
          <w:rFonts w:ascii="Times New Roman" w:hAnsi="Times New Roman"/>
        </w:rPr>
        <w:t>SR dňa 19.</w:t>
      </w:r>
      <w:r w:rsidRPr="00DA5B8F">
        <w:rPr>
          <w:rFonts w:ascii="Times New Roman" w:hAnsi="Times New Roman"/>
        </w:rPr>
        <w:t> 12. </w:t>
      </w:r>
      <w:r w:rsidRPr="00DA5B8F" w:rsidR="009E6FAB">
        <w:rPr>
          <w:rFonts w:ascii="Times New Roman" w:hAnsi="Times New Roman"/>
        </w:rPr>
        <w:t>2013</w:t>
      </w:r>
      <w:r w:rsidRPr="00DA5B8F">
        <w:rPr>
          <w:rFonts w:ascii="Times New Roman" w:hAnsi="Times New Roman"/>
        </w:rPr>
        <w:t>.</w:t>
      </w:r>
      <w:r w:rsidRPr="00DA5B8F" w:rsidR="009E6FAB">
        <w:rPr>
          <w:rFonts w:ascii="Times New Roman" w:hAnsi="Times New Roman"/>
        </w:rPr>
        <w:t xml:space="preserve"> Výkonný výbor FNM SR v máji 2014 schválil navrhované znenie akcionárskej zmluvy ohľadom spoločnosti SPP Infrastructure, a.</w:t>
      </w:r>
      <w:r w:rsidRPr="00DA5B8F">
        <w:rPr>
          <w:rFonts w:ascii="Times New Roman" w:hAnsi="Times New Roman"/>
        </w:rPr>
        <w:t> </w:t>
      </w:r>
      <w:r w:rsidRPr="00DA5B8F" w:rsidR="009E6FAB">
        <w:rPr>
          <w:rFonts w:ascii="Times New Roman" w:hAnsi="Times New Roman"/>
        </w:rPr>
        <w:t>s. medzi FNM</w:t>
      </w:r>
      <w:r w:rsidRPr="00DA5B8F">
        <w:rPr>
          <w:rFonts w:ascii="Times New Roman" w:hAnsi="Times New Roman"/>
        </w:rPr>
        <w:t> </w:t>
      </w:r>
      <w:r w:rsidRPr="00DA5B8F" w:rsidR="009E6FAB">
        <w:rPr>
          <w:rFonts w:ascii="Times New Roman" w:hAnsi="Times New Roman"/>
        </w:rPr>
        <w:t>SR, MH</w:t>
      </w:r>
      <w:r w:rsidRPr="00DA5B8F">
        <w:rPr>
          <w:rFonts w:ascii="Times New Roman" w:hAnsi="Times New Roman"/>
        </w:rPr>
        <w:t> </w:t>
      </w:r>
      <w:r w:rsidRPr="00DA5B8F" w:rsidR="009E6FAB">
        <w:rPr>
          <w:rFonts w:ascii="Times New Roman" w:hAnsi="Times New Roman"/>
        </w:rPr>
        <w:t>SR a spoločnosťami SPP</w:t>
      </w:r>
      <w:r w:rsidRPr="00DA5B8F">
        <w:rPr>
          <w:rFonts w:ascii="Times New Roman" w:hAnsi="Times New Roman"/>
        </w:rPr>
        <w:t xml:space="preserve"> a. s.</w:t>
      </w:r>
      <w:r w:rsidRPr="00DA5B8F" w:rsidR="009E6FAB">
        <w:rPr>
          <w:rFonts w:ascii="Times New Roman" w:hAnsi="Times New Roman"/>
        </w:rPr>
        <w:t xml:space="preserve">, </w:t>
      </w:r>
      <w:r w:rsidRPr="00DA5B8F">
        <w:rPr>
          <w:rFonts w:ascii="Times New Roman" w:hAnsi="Times New Roman"/>
        </w:rPr>
        <w:t>Energetický a průmyslový holding, a. s.</w:t>
      </w:r>
      <w:r w:rsidRPr="00DA5B8F" w:rsidR="009E6FAB">
        <w:rPr>
          <w:rFonts w:ascii="Times New Roman" w:hAnsi="Times New Roman"/>
        </w:rPr>
        <w:t>, EPH Gas Holding B.V., Seattle Holding B.V., Slovak Gas Holding B.V., po zapracovaní pripomienok MH SR, ako aj ďalšie zmluvy vyplývajúc</w:t>
      </w:r>
      <w:r w:rsidRPr="00DA5B8F">
        <w:rPr>
          <w:rFonts w:ascii="Times New Roman" w:hAnsi="Times New Roman"/>
        </w:rPr>
        <w:t>e</w:t>
      </w:r>
      <w:r w:rsidRPr="00DA5B8F" w:rsidR="009E6FAB">
        <w:rPr>
          <w:rFonts w:ascii="Times New Roman" w:hAnsi="Times New Roman"/>
        </w:rPr>
        <w:t xml:space="preserve"> z podmienok Rámcovej zmluvy.</w:t>
      </w:r>
    </w:p>
    <w:p w:rsidR="009E6FAB" w:rsidRPr="00DA5B8F" w:rsidP="00156767">
      <w:pPr>
        <w:pStyle w:val="BodyTextIndent1"/>
        <w:tabs>
          <w:tab w:val="num" w:pos="0"/>
        </w:tabs>
        <w:overflowPunct/>
        <w:autoSpaceDE/>
        <w:bidi w:val="0"/>
        <w:adjustRightInd/>
        <w:spacing w:line="264" w:lineRule="auto"/>
        <w:rPr>
          <w:rFonts w:ascii="Times New Roman" w:hAnsi="Times New Roman"/>
        </w:rPr>
      </w:pPr>
      <w:r w:rsidRPr="00DA5B8F" w:rsidR="00AA6C1F">
        <w:rPr>
          <w:rFonts w:ascii="Times New Roman" w:hAnsi="Times New Roman"/>
        </w:rPr>
        <w:t xml:space="preserve">Okrem uvedeného, </w:t>
      </w:r>
      <w:r w:rsidRPr="00DA5B8F" w:rsidR="00433807">
        <w:rPr>
          <w:rFonts w:ascii="Times New Roman" w:hAnsi="Times New Roman"/>
        </w:rPr>
        <w:t>fond</w:t>
      </w:r>
      <w:r w:rsidRPr="00DA5B8F">
        <w:rPr>
          <w:rFonts w:ascii="Times New Roman" w:hAnsi="Times New Roman"/>
        </w:rPr>
        <w:t xml:space="preserve"> realizoval </w:t>
      </w:r>
      <w:r w:rsidRPr="00DA5B8F" w:rsidR="00AA6C1F">
        <w:rPr>
          <w:rFonts w:ascii="Times New Roman" w:hAnsi="Times New Roman"/>
        </w:rPr>
        <w:t xml:space="preserve">aj </w:t>
      </w:r>
      <w:r w:rsidRPr="00DA5B8F">
        <w:rPr>
          <w:rFonts w:ascii="Times New Roman" w:hAnsi="Times New Roman"/>
        </w:rPr>
        <w:t>zámer M</w:t>
      </w:r>
      <w:r w:rsidRPr="00DA5B8F" w:rsidR="006048D2">
        <w:rPr>
          <w:rFonts w:ascii="Times New Roman" w:hAnsi="Times New Roman"/>
        </w:rPr>
        <w:t>DVRR SR</w:t>
      </w:r>
      <w:r w:rsidRPr="00DA5B8F">
        <w:rPr>
          <w:rFonts w:ascii="Times New Roman" w:hAnsi="Times New Roman"/>
        </w:rPr>
        <w:t xml:space="preserve"> spočívajúc</w:t>
      </w:r>
      <w:r w:rsidRPr="00DA5B8F" w:rsidR="00574840">
        <w:rPr>
          <w:rFonts w:ascii="Times New Roman" w:hAnsi="Times New Roman"/>
        </w:rPr>
        <w:t>i</w:t>
      </w:r>
      <w:r w:rsidRPr="00DA5B8F">
        <w:rPr>
          <w:rFonts w:ascii="Times New Roman" w:hAnsi="Times New Roman"/>
        </w:rPr>
        <w:t xml:space="preserve"> v návrhu takej zmeny akcionárskej štruktúry Letiska </w:t>
      </w:r>
      <w:r w:rsidRPr="00DA5B8F" w:rsidR="00574840">
        <w:rPr>
          <w:rFonts w:ascii="Times New Roman" w:hAnsi="Times New Roman"/>
        </w:rPr>
        <w:t>BTS</w:t>
      </w:r>
      <w:r w:rsidRPr="00DA5B8F">
        <w:rPr>
          <w:rFonts w:ascii="Times New Roman" w:hAnsi="Times New Roman"/>
        </w:rPr>
        <w:t>, na základe ktorej dôjde k</w:t>
      </w:r>
      <w:r w:rsidRPr="00DA5B8F" w:rsidR="00ED37F3">
        <w:rPr>
          <w:rFonts w:ascii="Times New Roman" w:hAnsi="Times New Roman"/>
        </w:rPr>
        <w:t> </w:t>
      </w:r>
      <w:r w:rsidRPr="00DA5B8F">
        <w:rPr>
          <w:rFonts w:ascii="Times New Roman" w:hAnsi="Times New Roman"/>
        </w:rPr>
        <w:t>bezodplatnému spätnému prevodu 50,27</w:t>
      </w:r>
      <w:r w:rsidRPr="00DA5B8F" w:rsidR="00ED37F3">
        <w:rPr>
          <w:rFonts w:ascii="Times New Roman" w:hAnsi="Times New Roman"/>
        </w:rPr>
        <w:t> </w:t>
      </w:r>
      <w:r w:rsidRPr="00DA5B8F">
        <w:rPr>
          <w:rFonts w:ascii="Times New Roman" w:hAnsi="Times New Roman"/>
        </w:rPr>
        <w:t xml:space="preserve">% akcií </w:t>
      </w:r>
      <w:r w:rsidRPr="00DA5B8F" w:rsidR="00433807">
        <w:rPr>
          <w:rFonts w:ascii="Times New Roman" w:hAnsi="Times New Roman"/>
        </w:rPr>
        <w:t>fondu</w:t>
      </w:r>
      <w:r w:rsidRPr="00DA5B8F">
        <w:rPr>
          <w:rFonts w:ascii="Times New Roman" w:hAnsi="Times New Roman"/>
        </w:rPr>
        <w:t xml:space="preserve"> v</w:t>
      </w:r>
      <w:r w:rsidRPr="00DA5B8F" w:rsidR="00ED37F3">
        <w:rPr>
          <w:rFonts w:ascii="Times New Roman" w:hAnsi="Times New Roman"/>
        </w:rPr>
        <w:t xml:space="preserve"> predmetnej </w:t>
      </w:r>
      <w:r w:rsidRPr="00DA5B8F">
        <w:rPr>
          <w:rFonts w:ascii="Times New Roman" w:hAnsi="Times New Roman"/>
        </w:rPr>
        <w:t>spoločnosti na štát v zastúpení MDVRR</w:t>
      </w:r>
      <w:r w:rsidRPr="00DA5B8F" w:rsidR="00ED37F3">
        <w:rPr>
          <w:rFonts w:ascii="Times New Roman" w:hAnsi="Times New Roman"/>
        </w:rPr>
        <w:t> </w:t>
      </w:r>
      <w:r w:rsidRPr="00DA5B8F">
        <w:rPr>
          <w:rFonts w:ascii="Times New Roman" w:hAnsi="Times New Roman"/>
        </w:rPr>
        <w:t>SR. Výkonný výbor FNM</w:t>
      </w:r>
      <w:r w:rsidRPr="00DA5B8F" w:rsidR="00ED37F3">
        <w:rPr>
          <w:rFonts w:ascii="Times New Roman" w:hAnsi="Times New Roman"/>
        </w:rPr>
        <w:t> </w:t>
      </w:r>
      <w:r w:rsidRPr="00DA5B8F">
        <w:rPr>
          <w:rFonts w:ascii="Times New Roman" w:hAnsi="Times New Roman"/>
        </w:rPr>
        <w:t xml:space="preserve">SR v júly 2014 rozhodol o spôsobe naloženia s majetkovou účasťou fondu na podnikaní spoločnosti </w:t>
      </w:r>
      <w:r w:rsidRPr="00DA5B8F" w:rsidR="00ED37F3">
        <w:rPr>
          <w:rFonts w:ascii="Times New Roman" w:hAnsi="Times New Roman"/>
        </w:rPr>
        <w:t>Letisko</w:t>
      </w:r>
      <w:r w:rsidRPr="00DA5B8F" w:rsidR="00574840">
        <w:rPr>
          <w:rFonts w:ascii="Times New Roman" w:hAnsi="Times New Roman"/>
        </w:rPr>
        <w:t xml:space="preserve"> BTS</w:t>
      </w:r>
      <w:r w:rsidRPr="00DA5B8F" w:rsidR="00ED37F3">
        <w:rPr>
          <w:rFonts w:ascii="Times New Roman" w:hAnsi="Times New Roman"/>
        </w:rPr>
        <w:t xml:space="preserve"> </w:t>
      </w:r>
      <w:r w:rsidRPr="00DA5B8F">
        <w:rPr>
          <w:rFonts w:ascii="Times New Roman" w:hAnsi="Times New Roman"/>
        </w:rPr>
        <w:t>vo výške 50,27</w:t>
      </w:r>
      <w:r w:rsidRPr="00DA5B8F" w:rsidR="00ED37F3">
        <w:rPr>
          <w:rFonts w:ascii="Times New Roman" w:hAnsi="Times New Roman"/>
        </w:rPr>
        <w:t> </w:t>
      </w:r>
      <w:r w:rsidRPr="00DA5B8F">
        <w:rPr>
          <w:rFonts w:ascii="Times New Roman" w:hAnsi="Times New Roman"/>
        </w:rPr>
        <w:t>% podielu na základnom imaní tejto spoločnosti, ktorý predstavuje 365</w:t>
      </w:r>
      <w:r w:rsidRPr="00DA5B8F" w:rsidR="00574840">
        <w:rPr>
          <w:rFonts w:ascii="Times New Roman" w:hAnsi="Times New Roman"/>
        </w:rPr>
        <w:t> </w:t>
      </w:r>
      <w:r w:rsidRPr="00DA5B8F">
        <w:rPr>
          <w:rFonts w:ascii="Times New Roman" w:hAnsi="Times New Roman"/>
        </w:rPr>
        <w:t>ks zaknihovaných akcií na meno s menovitou hodnotou každej akcie vo výške 34</w:t>
      </w:r>
      <w:r w:rsidRPr="00DA5B8F" w:rsidR="00ED37F3">
        <w:rPr>
          <w:rFonts w:ascii="Times New Roman" w:hAnsi="Times New Roman"/>
        </w:rPr>
        <w:t> </w:t>
      </w:r>
      <w:r w:rsidRPr="00DA5B8F">
        <w:rPr>
          <w:rFonts w:ascii="Times New Roman" w:hAnsi="Times New Roman"/>
        </w:rPr>
        <w:t>E</w:t>
      </w:r>
      <w:r w:rsidRPr="00DA5B8F" w:rsidR="00ED37F3">
        <w:rPr>
          <w:rFonts w:ascii="Times New Roman" w:hAnsi="Times New Roman"/>
        </w:rPr>
        <w:t>ur</w:t>
      </w:r>
      <w:r w:rsidRPr="00DA5B8F">
        <w:rPr>
          <w:rFonts w:ascii="Times New Roman" w:hAnsi="Times New Roman"/>
        </w:rPr>
        <w:t xml:space="preserve"> a</w:t>
      </w:r>
      <w:r w:rsidRPr="00DA5B8F" w:rsidR="00ED37F3">
        <w:rPr>
          <w:rFonts w:ascii="Times New Roman" w:hAnsi="Times New Roman"/>
        </w:rPr>
        <w:t> </w:t>
      </w:r>
      <w:r w:rsidRPr="00DA5B8F">
        <w:rPr>
          <w:rFonts w:ascii="Times New Roman" w:hAnsi="Times New Roman"/>
        </w:rPr>
        <w:t>4</w:t>
      </w:r>
      <w:r w:rsidRPr="00DA5B8F" w:rsidR="00574840">
        <w:rPr>
          <w:rFonts w:ascii="Times New Roman" w:hAnsi="Times New Roman"/>
        </w:rPr>
        <w:t> </w:t>
      </w:r>
      <w:r w:rsidRPr="00DA5B8F">
        <w:rPr>
          <w:rFonts w:ascii="Times New Roman" w:hAnsi="Times New Roman"/>
        </w:rPr>
        <w:t>428</w:t>
      </w:r>
      <w:r w:rsidRPr="00DA5B8F" w:rsidR="00574840">
        <w:rPr>
          <w:rFonts w:ascii="Times New Roman" w:hAnsi="Times New Roman"/>
        </w:rPr>
        <w:t> </w:t>
      </w:r>
      <w:r w:rsidRPr="00DA5B8F">
        <w:rPr>
          <w:rFonts w:ascii="Times New Roman" w:hAnsi="Times New Roman"/>
        </w:rPr>
        <w:t>ks zaknihovaných akcií na meno s menovitou hodnotou každej akcie vo výške 33</w:t>
      </w:r>
      <w:r w:rsidRPr="00DA5B8F" w:rsidR="00574840">
        <w:rPr>
          <w:rFonts w:ascii="Times New Roman" w:hAnsi="Times New Roman"/>
        </w:rPr>
        <w:t> </w:t>
      </w:r>
      <w:r w:rsidRPr="00DA5B8F">
        <w:rPr>
          <w:rFonts w:ascii="Times New Roman" w:hAnsi="Times New Roman"/>
        </w:rPr>
        <w:t>194</w:t>
      </w:r>
      <w:r w:rsidRPr="00DA5B8F" w:rsidR="00574840">
        <w:rPr>
          <w:rFonts w:ascii="Times New Roman" w:hAnsi="Times New Roman"/>
        </w:rPr>
        <w:t> </w:t>
      </w:r>
      <w:r w:rsidRPr="00DA5B8F">
        <w:rPr>
          <w:rFonts w:ascii="Times New Roman" w:hAnsi="Times New Roman"/>
        </w:rPr>
        <w:t>E</w:t>
      </w:r>
      <w:r w:rsidRPr="00DA5B8F" w:rsidR="00ED37F3">
        <w:rPr>
          <w:rFonts w:ascii="Times New Roman" w:hAnsi="Times New Roman"/>
        </w:rPr>
        <w:t>ur</w:t>
      </w:r>
      <w:r w:rsidRPr="00DA5B8F">
        <w:rPr>
          <w:rFonts w:ascii="Times New Roman" w:hAnsi="Times New Roman"/>
        </w:rPr>
        <w:t xml:space="preserve">, </w:t>
      </w:r>
      <w:r w:rsidRPr="00DA5B8F" w:rsidR="00AA6C1F">
        <w:rPr>
          <w:rFonts w:ascii="Times New Roman" w:hAnsi="Times New Roman"/>
        </w:rPr>
        <w:t xml:space="preserve">a to </w:t>
      </w:r>
      <w:r w:rsidRPr="00DA5B8F">
        <w:rPr>
          <w:rFonts w:ascii="Times New Roman" w:hAnsi="Times New Roman"/>
        </w:rPr>
        <w:t>spôsobom bezodplatného prevodu tejto majetkovej účasti na štát – Slovenskú republiku v mene ktorej koná MDVRR</w:t>
      </w:r>
      <w:r w:rsidR="00156767">
        <w:rPr>
          <w:rFonts w:ascii="Times New Roman" w:hAnsi="Times New Roman"/>
        </w:rPr>
        <w:t> </w:t>
      </w:r>
      <w:r w:rsidRPr="00DA5B8F">
        <w:rPr>
          <w:rFonts w:ascii="Times New Roman" w:hAnsi="Times New Roman"/>
        </w:rPr>
        <w:t>SR.</w:t>
      </w:r>
    </w:p>
    <w:p w:rsidR="009E6FAB" w:rsidRPr="00DA5B8F" w:rsidP="00156767">
      <w:pPr>
        <w:pStyle w:val="BodyTextIndent1"/>
        <w:tabs>
          <w:tab w:val="num" w:pos="0"/>
        </w:tabs>
        <w:overflowPunct/>
        <w:autoSpaceDE/>
        <w:bidi w:val="0"/>
        <w:adjustRightInd/>
        <w:spacing w:line="264" w:lineRule="auto"/>
        <w:rPr>
          <w:rFonts w:ascii="Times New Roman" w:hAnsi="Times New Roman"/>
        </w:rPr>
      </w:pPr>
      <w:r w:rsidRPr="00DA5B8F">
        <w:rPr>
          <w:rFonts w:ascii="Times New Roman" w:hAnsi="Times New Roman"/>
        </w:rPr>
        <w:t>Podľa ustanovenia §</w:t>
      </w:r>
      <w:r w:rsidRPr="00DA5B8F" w:rsidR="00B36309">
        <w:rPr>
          <w:rFonts w:ascii="Times New Roman" w:hAnsi="Times New Roman"/>
        </w:rPr>
        <w:t> </w:t>
      </w:r>
      <w:r w:rsidRPr="00DA5B8F">
        <w:rPr>
          <w:rFonts w:ascii="Times New Roman" w:hAnsi="Times New Roman"/>
        </w:rPr>
        <w:t>28 ods.</w:t>
      </w:r>
      <w:r w:rsidRPr="00DA5B8F" w:rsidR="009945D3">
        <w:rPr>
          <w:rFonts w:ascii="Times New Roman" w:hAnsi="Times New Roman"/>
        </w:rPr>
        <w:t> </w:t>
      </w:r>
      <w:r w:rsidRPr="00DA5B8F">
        <w:rPr>
          <w:rFonts w:ascii="Times New Roman" w:hAnsi="Times New Roman"/>
        </w:rPr>
        <w:t xml:space="preserve">8. zákona </w:t>
      </w:r>
      <w:r w:rsidRPr="00DA5B8F" w:rsidR="00B36309">
        <w:rPr>
          <w:rFonts w:ascii="Times New Roman" w:hAnsi="Times New Roman"/>
        </w:rPr>
        <w:t>o privatizácií</w:t>
      </w:r>
      <w:r w:rsidRPr="00DA5B8F">
        <w:rPr>
          <w:rFonts w:ascii="Times New Roman" w:hAnsi="Times New Roman"/>
        </w:rPr>
        <w:t xml:space="preserve"> na platnosť rozhodnutia </w:t>
      </w:r>
      <w:r w:rsidRPr="00DA5B8F" w:rsidR="00B36309">
        <w:rPr>
          <w:rFonts w:ascii="Times New Roman" w:hAnsi="Times New Roman"/>
        </w:rPr>
        <w:t>V</w:t>
      </w:r>
      <w:r w:rsidRPr="00DA5B8F">
        <w:rPr>
          <w:rFonts w:ascii="Times New Roman" w:hAnsi="Times New Roman"/>
        </w:rPr>
        <w:t>ýkonného výboru FNM</w:t>
      </w:r>
      <w:r w:rsidRPr="00DA5B8F" w:rsidR="00B36309">
        <w:rPr>
          <w:rFonts w:ascii="Times New Roman" w:hAnsi="Times New Roman"/>
        </w:rPr>
        <w:t> </w:t>
      </w:r>
      <w:r w:rsidRPr="00DA5B8F">
        <w:rPr>
          <w:rFonts w:ascii="Times New Roman" w:hAnsi="Times New Roman"/>
        </w:rPr>
        <w:t xml:space="preserve">SR o spôsobe naloženia s majetkovou účasťou </w:t>
      </w:r>
      <w:r w:rsidRPr="00DA5B8F" w:rsidR="00B36309">
        <w:rPr>
          <w:rFonts w:ascii="Times New Roman" w:hAnsi="Times New Roman"/>
        </w:rPr>
        <w:t>fondu</w:t>
      </w:r>
      <w:r w:rsidRPr="00DA5B8F">
        <w:rPr>
          <w:rFonts w:ascii="Times New Roman" w:hAnsi="Times New Roman"/>
        </w:rPr>
        <w:t xml:space="preserve"> sa vyžaduje predchádzajúci písomný súhlas MH</w:t>
      </w:r>
      <w:r w:rsidRPr="00DA5B8F" w:rsidR="00B36309">
        <w:rPr>
          <w:rFonts w:ascii="Times New Roman" w:hAnsi="Times New Roman"/>
        </w:rPr>
        <w:t> </w:t>
      </w:r>
      <w:r w:rsidRPr="00DA5B8F">
        <w:rPr>
          <w:rFonts w:ascii="Times New Roman" w:hAnsi="Times New Roman"/>
        </w:rPr>
        <w:t>SR</w:t>
      </w:r>
      <w:r w:rsidRPr="00DA5B8F" w:rsidR="00B36309">
        <w:rPr>
          <w:rFonts w:ascii="Times New Roman" w:hAnsi="Times New Roman"/>
        </w:rPr>
        <w:t xml:space="preserve">. </w:t>
      </w:r>
      <w:r w:rsidRPr="00DA5B8F" w:rsidR="00BB52AB">
        <w:rPr>
          <w:rFonts w:ascii="Times New Roman" w:hAnsi="Times New Roman"/>
        </w:rPr>
        <w:t xml:space="preserve">Na základe žiadosti fondu vydalo </w:t>
      </w:r>
      <w:r w:rsidRPr="00DA5B8F" w:rsidR="00020208">
        <w:rPr>
          <w:rFonts w:ascii="Times New Roman" w:hAnsi="Times New Roman"/>
        </w:rPr>
        <w:t xml:space="preserve">MH SR </w:t>
      </w:r>
      <w:r w:rsidRPr="00DA5B8F" w:rsidR="00BB52AB">
        <w:rPr>
          <w:rFonts w:ascii="Times New Roman" w:hAnsi="Times New Roman"/>
        </w:rPr>
        <w:t>dňa 30. 7. 2014 predmetný súhlas pod číslom 28/2014</w:t>
      </w:r>
      <w:r w:rsidRPr="00DA5B8F" w:rsidR="00B0709D">
        <w:rPr>
          <w:rFonts w:ascii="Times New Roman" w:hAnsi="Times New Roman"/>
        </w:rPr>
        <w:t>. N</w:t>
      </w:r>
      <w:r w:rsidRPr="00DA5B8F" w:rsidR="00A630CB">
        <w:rPr>
          <w:rFonts w:ascii="Times New Roman" w:hAnsi="Times New Roman"/>
        </w:rPr>
        <w:t xml:space="preserve">ásledne </w:t>
      </w:r>
      <w:r w:rsidRPr="00DA5B8F" w:rsidR="00BB52AB">
        <w:rPr>
          <w:rFonts w:ascii="Times New Roman" w:hAnsi="Times New Roman"/>
        </w:rPr>
        <w:t>f</w:t>
      </w:r>
      <w:r w:rsidRPr="00DA5B8F" w:rsidR="00B36309">
        <w:rPr>
          <w:rFonts w:ascii="Times New Roman" w:hAnsi="Times New Roman"/>
        </w:rPr>
        <w:t>ond</w:t>
      </w:r>
      <w:r w:rsidRPr="00DA5B8F">
        <w:rPr>
          <w:rFonts w:ascii="Times New Roman" w:hAnsi="Times New Roman"/>
        </w:rPr>
        <w:t xml:space="preserve"> vydal </w:t>
      </w:r>
      <w:r w:rsidRPr="00DA5B8F" w:rsidR="00A630CB">
        <w:rPr>
          <w:rFonts w:ascii="Times New Roman" w:hAnsi="Times New Roman"/>
        </w:rPr>
        <w:t xml:space="preserve">1. 8. 2014 </w:t>
      </w:r>
      <w:r w:rsidRPr="00DA5B8F">
        <w:rPr>
          <w:rFonts w:ascii="Times New Roman" w:hAnsi="Times New Roman"/>
        </w:rPr>
        <w:t>rozhodnutie č.</w:t>
      </w:r>
      <w:r w:rsidRPr="00DA5B8F" w:rsidR="00B36309">
        <w:rPr>
          <w:rFonts w:ascii="Times New Roman" w:hAnsi="Times New Roman"/>
        </w:rPr>
        <w:t> </w:t>
      </w:r>
      <w:r w:rsidRPr="00DA5B8F">
        <w:rPr>
          <w:rFonts w:ascii="Times New Roman" w:hAnsi="Times New Roman"/>
        </w:rPr>
        <w:t>1/2014 o naložení s</w:t>
      </w:r>
      <w:r w:rsidRPr="00DA5B8F" w:rsidR="00020208">
        <w:rPr>
          <w:rFonts w:ascii="Times New Roman" w:hAnsi="Times New Roman"/>
        </w:rPr>
        <w:t xml:space="preserve"> predmetnou </w:t>
      </w:r>
      <w:r w:rsidRPr="00DA5B8F">
        <w:rPr>
          <w:rFonts w:ascii="Times New Roman" w:hAnsi="Times New Roman"/>
        </w:rPr>
        <w:t xml:space="preserve">majetkovou účasťou </w:t>
      </w:r>
      <w:r w:rsidRPr="00DA5B8F" w:rsidR="00B0709D">
        <w:rPr>
          <w:rFonts w:ascii="Times New Roman" w:hAnsi="Times New Roman"/>
        </w:rPr>
        <w:t>fondu</w:t>
      </w:r>
      <w:r w:rsidRPr="00DA5B8F">
        <w:rPr>
          <w:rFonts w:ascii="Times New Roman" w:hAnsi="Times New Roman"/>
        </w:rPr>
        <w:t>.</w:t>
      </w:r>
    </w:p>
    <w:p w:rsidR="00A17580" w:rsidRPr="00DA5B8F" w:rsidP="00156767">
      <w:pPr>
        <w:pStyle w:val="BodyTextIndent1"/>
        <w:tabs>
          <w:tab w:val="num" w:pos="0"/>
        </w:tabs>
        <w:overflowPunct/>
        <w:autoSpaceDE/>
        <w:bidi w:val="0"/>
        <w:adjustRightInd/>
        <w:spacing w:line="264" w:lineRule="auto"/>
        <w:rPr>
          <w:rFonts w:ascii="Times New Roman" w:hAnsi="Times New Roman"/>
        </w:rPr>
      </w:pPr>
      <w:r w:rsidRPr="00DA5B8F" w:rsidR="00AA6C1F">
        <w:rPr>
          <w:rFonts w:ascii="Times New Roman" w:hAnsi="Times New Roman"/>
        </w:rPr>
        <w:t>Po vydaní predchádzajúceho písomného súhlasu č. 28/2014 z MH SR</w:t>
      </w:r>
      <w:r w:rsidRPr="00DA5B8F">
        <w:rPr>
          <w:rFonts w:ascii="Times New Roman" w:hAnsi="Times New Roman"/>
        </w:rPr>
        <w:t xml:space="preserve"> a rozhodnutia č. 1/2014 FNM SR sa realizoval schválený spôsob naloženia s majetkovou účasťou fondu na podnikaní spoločnosti Letisko BTS, t. j. bezodplatný prevod predmetnej majetkovej účasti na štát – Slovenskú republiku v mene ktorej koná MDVRR SR</w:t>
      </w:r>
      <w:r w:rsidRPr="00DA5B8F" w:rsidR="008407C9">
        <w:rPr>
          <w:rFonts w:ascii="Times New Roman" w:hAnsi="Times New Roman"/>
        </w:rPr>
        <w:t xml:space="preserve">. Prevod sa uskutočnil </w:t>
      </w:r>
      <w:r w:rsidRPr="00DA5B8F">
        <w:rPr>
          <w:rFonts w:ascii="Times New Roman" w:hAnsi="Times New Roman"/>
        </w:rPr>
        <w:t>na základe zmluvy o bezodplatnom prevod</w:t>
      </w:r>
      <w:r w:rsidRPr="00DA5B8F" w:rsidR="008407C9">
        <w:rPr>
          <w:rFonts w:ascii="Times New Roman" w:hAnsi="Times New Roman"/>
        </w:rPr>
        <w:t>e</w:t>
      </w:r>
      <w:r w:rsidRPr="00DA5B8F">
        <w:rPr>
          <w:rFonts w:ascii="Times New Roman" w:hAnsi="Times New Roman"/>
        </w:rPr>
        <w:t xml:space="preserve"> akcií s účinnosťou do 5.</w:t>
      </w:r>
      <w:r w:rsidRPr="00DA5B8F" w:rsidR="00B0709D">
        <w:rPr>
          <w:rFonts w:ascii="Times New Roman" w:hAnsi="Times New Roman"/>
        </w:rPr>
        <w:t> </w:t>
      </w:r>
      <w:r w:rsidRPr="00DA5B8F">
        <w:rPr>
          <w:rFonts w:ascii="Times New Roman" w:hAnsi="Times New Roman"/>
        </w:rPr>
        <w:t>9.</w:t>
      </w:r>
      <w:r w:rsidRPr="00DA5B8F" w:rsidR="00B0709D">
        <w:rPr>
          <w:rFonts w:ascii="Times New Roman" w:hAnsi="Times New Roman"/>
        </w:rPr>
        <w:t> 2</w:t>
      </w:r>
      <w:r w:rsidRPr="00DA5B8F">
        <w:rPr>
          <w:rFonts w:ascii="Times New Roman" w:hAnsi="Times New Roman"/>
        </w:rPr>
        <w:t>014</w:t>
      </w:r>
      <w:r w:rsidRPr="00DA5B8F" w:rsidR="008407C9">
        <w:rPr>
          <w:rFonts w:ascii="Times New Roman" w:hAnsi="Times New Roman"/>
        </w:rPr>
        <w:t>, ktorej z</w:t>
      </w:r>
      <w:r w:rsidRPr="00DA5B8F">
        <w:rPr>
          <w:rFonts w:ascii="Times New Roman" w:hAnsi="Times New Roman"/>
        </w:rPr>
        <w:t>neni</w:t>
      </w:r>
      <w:r w:rsidRPr="00DA5B8F" w:rsidR="008407C9">
        <w:rPr>
          <w:rFonts w:ascii="Times New Roman" w:hAnsi="Times New Roman"/>
        </w:rPr>
        <w:t>e</w:t>
      </w:r>
      <w:r w:rsidRPr="00DA5B8F">
        <w:rPr>
          <w:rFonts w:ascii="Times New Roman" w:hAnsi="Times New Roman"/>
        </w:rPr>
        <w:t xml:space="preserve"> schválil </w:t>
      </w:r>
      <w:r w:rsidRPr="00DA5B8F" w:rsidR="008407C9">
        <w:rPr>
          <w:rFonts w:ascii="Times New Roman" w:hAnsi="Times New Roman"/>
        </w:rPr>
        <w:t>V</w:t>
      </w:r>
      <w:r w:rsidRPr="00DA5B8F">
        <w:rPr>
          <w:rFonts w:ascii="Times New Roman" w:hAnsi="Times New Roman"/>
        </w:rPr>
        <w:t>ýkonný vý</w:t>
      </w:r>
      <w:r w:rsidRPr="00DA5B8F" w:rsidR="008407C9">
        <w:rPr>
          <w:rFonts w:ascii="Times New Roman" w:hAnsi="Times New Roman"/>
        </w:rPr>
        <w:t>b</w:t>
      </w:r>
      <w:r w:rsidRPr="00DA5B8F">
        <w:rPr>
          <w:rFonts w:ascii="Times New Roman" w:hAnsi="Times New Roman"/>
        </w:rPr>
        <w:t>or FNM</w:t>
      </w:r>
      <w:r w:rsidRPr="00DA5B8F" w:rsidR="008407C9">
        <w:rPr>
          <w:rFonts w:ascii="Times New Roman" w:hAnsi="Times New Roman"/>
        </w:rPr>
        <w:t> </w:t>
      </w:r>
      <w:r w:rsidRPr="00DA5B8F">
        <w:rPr>
          <w:rFonts w:ascii="Times New Roman" w:hAnsi="Times New Roman"/>
        </w:rPr>
        <w:t xml:space="preserve">SR </w:t>
      </w:r>
      <w:r w:rsidRPr="00DA5B8F" w:rsidR="008407C9">
        <w:rPr>
          <w:rFonts w:ascii="Times New Roman" w:hAnsi="Times New Roman"/>
        </w:rPr>
        <w:t>v</w:t>
      </w:r>
      <w:r w:rsidRPr="00DA5B8F">
        <w:rPr>
          <w:rFonts w:ascii="Times New Roman" w:hAnsi="Times New Roman"/>
        </w:rPr>
        <w:t> august</w:t>
      </w:r>
      <w:r w:rsidRPr="00DA5B8F" w:rsidR="008407C9">
        <w:rPr>
          <w:rFonts w:ascii="Times New Roman" w:hAnsi="Times New Roman"/>
        </w:rPr>
        <w:t>e</w:t>
      </w:r>
      <w:r w:rsidRPr="00DA5B8F">
        <w:rPr>
          <w:rFonts w:ascii="Times New Roman" w:hAnsi="Times New Roman"/>
        </w:rPr>
        <w:t xml:space="preserve"> 2014</w:t>
      </w:r>
      <w:r w:rsidRPr="00DA5B8F" w:rsidR="008407C9">
        <w:rPr>
          <w:rFonts w:ascii="Times New Roman" w:hAnsi="Times New Roman"/>
        </w:rPr>
        <w:t>.</w:t>
      </w:r>
      <w:r w:rsidRPr="00DA5B8F">
        <w:rPr>
          <w:rFonts w:ascii="Times New Roman" w:hAnsi="Times New Roman"/>
        </w:rPr>
        <w:t xml:space="preserve"> Fond zabe</w:t>
      </w:r>
      <w:r w:rsidRPr="00DA5B8F" w:rsidR="008407C9">
        <w:rPr>
          <w:rFonts w:ascii="Times New Roman" w:hAnsi="Times New Roman"/>
        </w:rPr>
        <w:t>z</w:t>
      </w:r>
      <w:r w:rsidRPr="00DA5B8F">
        <w:rPr>
          <w:rFonts w:ascii="Times New Roman" w:hAnsi="Times New Roman"/>
        </w:rPr>
        <w:t>pečoval všetky úkony spojené s návrhom aj s re</w:t>
      </w:r>
      <w:r w:rsidRPr="00DA5B8F" w:rsidR="008407C9">
        <w:rPr>
          <w:rFonts w:ascii="Times New Roman" w:hAnsi="Times New Roman"/>
        </w:rPr>
        <w:t>a</w:t>
      </w:r>
      <w:r w:rsidRPr="00DA5B8F">
        <w:rPr>
          <w:rFonts w:ascii="Times New Roman" w:hAnsi="Times New Roman"/>
        </w:rPr>
        <w:t>lizáciou uvedeného sp</w:t>
      </w:r>
      <w:r w:rsidRPr="00DA5B8F" w:rsidR="008407C9">
        <w:rPr>
          <w:rFonts w:ascii="Times New Roman" w:hAnsi="Times New Roman"/>
        </w:rPr>
        <w:t>ôs</w:t>
      </w:r>
      <w:r w:rsidRPr="00DA5B8F">
        <w:rPr>
          <w:rFonts w:ascii="Times New Roman" w:hAnsi="Times New Roman"/>
        </w:rPr>
        <w:t>obu naloženi</w:t>
      </w:r>
      <w:r w:rsidRPr="00DA5B8F" w:rsidR="008407C9">
        <w:rPr>
          <w:rFonts w:ascii="Times New Roman" w:hAnsi="Times New Roman"/>
        </w:rPr>
        <w:t>a</w:t>
      </w:r>
      <w:r w:rsidRPr="00DA5B8F">
        <w:rPr>
          <w:rFonts w:ascii="Times New Roman" w:hAnsi="Times New Roman"/>
        </w:rPr>
        <w:t xml:space="preserve"> s majetkov</w:t>
      </w:r>
      <w:r w:rsidRPr="00DA5B8F" w:rsidR="008407C9">
        <w:rPr>
          <w:rFonts w:ascii="Times New Roman" w:hAnsi="Times New Roman"/>
        </w:rPr>
        <w:t>o</w:t>
      </w:r>
      <w:r w:rsidRPr="00DA5B8F">
        <w:rPr>
          <w:rFonts w:ascii="Times New Roman" w:hAnsi="Times New Roman"/>
        </w:rPr>
        <w:t xml:space="preserve">u účasťou </w:t>
      </w:r>
      <w:r w:rsidRPr="00DA5B8F" w:rsidR="008407C9">
        <w:rPr>
          <w:rFonts w:ascii="Times New Roman" w:hAnsi="Times New Roman"/>
        </w:rPr>
        <w:t>fondu</w:t>
      </w:r>
      <w:r w:rsidRPr="00DA5B8F">
        <w:rPr>
          <w:rFonts w:ascii="Times New Roman" w:hAnsi="Times New Roman"/>
        </w:rPr>
        <w:t xml:space="preserve"> na podnikaní spoločnosti Letisko BTS</w:t>
      </w:r>
      <w:r w:rsidRPr="00DA5B8F" w:rsidR="008407C9">
        <w:rPr>
          <w:rFonts w:ascii="Times New Roman" w:hAnsi="Times New Roman"/>
        </w:rPr>
        <w:t>.</w:t>
      </w:r>
    </w:p>
    <w:p w:rsidR="008407C9" w:rsidRPr="00DA5B8F" w:rsidP="00156767">
      <w:pPr>
        <w:pStyle w:val="BodyTextIndent1"/>
        <w:tabs>
          <w:tab w:val="num" w:pos="0"/>
        </w:tabs>
        <w:overflowPunct/>
        <w:autoSpaceDE/>
        <w:bidi w:val="0"/>
        <w:adjustRightInd/>
        <w:spacing w:line="264" w:lineRule="auto"/>
        <w:rPr>
          <w:rFonts w:ascii="Times New Roman" w:hAnsi="Times New Roman"/>
        </w:rPr>
      </w:pPr>
      <w:r w:rsidRPr="00DA5B8F" w:rsidR="00B0709D">
        <w:rPr>
          <w:rFonts w:ascii="Times New Roman" w:hAnsi="Times New Roman"/>
        </w:rPr>
        <w:t xml:space="preserve">Činnosť fondu v priebehu </w:t>
      </w:r>
      <w:r w:rsidRPr="00DA5B8F">
        <w:rPr>
          <w:rFonts w:ascii="Times New Roman" w:hAnsi="Times New Roman"/>
        </w:rPr>
        <w:t xml:space="preserve">roku 2014 </w:t>
      </w:r>
      <w:r w:rsidRPr="00DA5B8F" w:rsidR="000224D9">
        <w:rPr>
          <w:rFonts w:ascii="Times New Roman" w:hAnsi="Times New Roman"/>
        </w:rPr>
        <w:t xml:space="preserve">zahrňovala aj </w:t>
      </w:r>
      <w:r w:rsidRPr="00DA5B8F">
        <w:rPr>
          <w:rFonts w:ascii="Times New Roman" w:hAnsi="Times New Roman"/>
        </w:rPr>
        <w:t>uzat</w:t>
      </w:r>
      <w:r w:rsidRPr="00DA5B8F" w:rsidR="009E6FAB">
        <w:rPr>
          <w:rFonts w:ascii="Times New Roman" w:hAnsi="Times New Roman"/>
        </w:rPr>
        <w:t>voren</w:t>
      </w:r>
      <w:r w:rsidRPr="00DA5B8F" w:rsidR="000224D9">
        <w:rPr>
          <w:rFonts w:ascii="Times New Roman" w:hAnsi="Times New Roman"/>
        </w:rPr>
        <w:t>ie</w:t>
      </w:r>
      <w:r w:rsidRPr="00DA5B8F" w:rsidR="009E6FAB">
        <w:rPr>
          <w:rFonts w:ascii="Times New Roman" w:hAnsi="Times New Roman"/>
        </w:rPr>
        <w:t xml:space="preserve"> zml</w:t>
      </w:r>
      <w:r w:rsidRPr="00DA5B8F" w:rsidR="000224D9">
        <w:rPr>
          <w:rFonts w:ascii="Times New Roman" w:hAnsi="Times New Roman"/>
        </w:rPr>
        <w:t>úv</w:t>
      </w:r>
      <w:r w:rsidRPr="00DA5B8F" w:rsidR="009E6FAB">
        <w:rPr>
          <w:rFonts w:ascii="Times New Roman" w:hAnsi="Times New Roman"/>
        </w:rPr>
        <w:t xml:space="preserve"> o kúpe 34 a 269 kusov akcií spoločnosti POĽNONÁKUP HONT a.</w:t>
      </w:r>
      <w:r w:rsidRPr="00DA5B8F" w:rsidR="00C774C0">
        <w:rPr>
          <w:rFonts w:ascii="Times New Roman" w:hAnsi="Times New Roman"/>
        </w:rPr>
        <w:t> </w:t>
      </w:r>
      <w:r w:rsidRPr="00DA5B8F" w:rsidR="009E6FAB">
        <w:rPr>
          <w:rFonts w:ascii="Times New Roman" w:hAnsi="Times New Roman"/>
        </w:rPr>
        <w:t xml:space="preserve">s., so sídlom v Hontianskych Nemciach vo vlastníctve </w:t>
      </w:r>
      <w:r w:rsidRPr="00DA5B8F">
        <w:rPr>
          <w:rFonts w:ascii="Times New Roman" w:hAnsi="Times New Roman"/>
        </w:rPr>
        <w:t>FNM SR</w:t>
      </w:r>
      <w:r w:rsidRPr="00DA5B8F" w:rsidR="00721266">
        <w:rPr>
          <w:rFonts w:ascii="Times New Roman" w:hAnsi="Times New Roman"/>
        </w:rPr>
        <w:t>, v prospech</w:t>
      </w:r>
      <w:r w:rsidRPr="00DA5B8F" w:rsidR="009E6FAB">
        <w:rPr>
          <w:rFonts w:ascii="Times New Roman" w:hAnsi="Times New Roman"/>
        </w:rPr>
        <w:t xml:space="preserve"> spoločnosti SC FOOD, AGRO &amp; INDUSTRIAL a.</w:t>
      </w:r>
      <w:r w:rsidRPr="00DA5B8F" w:rsidR="00C774C0">
        <w:rPr>
          <w:rFonts w:ascii="Times New Roman" w:hAnsi="Times New Roman"/>
        </w:rPr>
        <w:t> </w:t>
      </w:r>
      <w:r w:rsidRPr="00DA5B8F" w:rsidR="009E6FAB">
        <w:rPr>
          <w:rFonts w:ascii="Times New Roman" w:hAnsi="Times New Roman"/>
        </w:rPr>
        <w:t>s. so sídlom v Prahe, Česká republika z titulu uplatneni</w:t>
      </w:r>
      <w:r w:rsidRPr="00DA5B8F" w:rsidR="00721266">
        <w:rPr>
          <w:rFonts w:ascii="Times New Roman" w:hAnsi="Times New Roman"/>
        </w:rPr>
        <w:t>a</w:t>
      </w:r>
      <w:r w:rsidRPr="00DA5B8F" w:rsidR="009E6FAB">
        <w:rPr>
          <w:rFonts w:ascii="Times New Roman" w:hAnsi="Times New Roman"/>
        </w:rPr>
        <w:t xml:space="preserve"> si práva výkupu (tzv. squeeze out)</w:t>
      </w:r>
      <w:r w:rsidRPr="00DA5B8F" w:rsidR="00721266">
        <w:rPr>
          <w:rFonts w:ascii="Times New Roman" w:hAnsi="Times New Roman"/>
        </w:rPr>
        <w:t>.</w:t>
      </w:r>
      <w:r w:rsidRPr="00DA5B8F">
        <w:rPr>
          <w:rFonts w:ascii="Times New Roman" w:hAnsi="Times New Roman"/>
        </w:rPr>
        <w:t xml:space="preserve"> Tieto akcie nadobudol fond bezodplatne od fyzických osôb, pričom o spôsobe naloženia s takto nadobudnutými akciami rozhoduje výkonný výbor fondu po</w:t>
      </w:r>
      <w:r w:rsidRPr="00DA5B8F" w:rsidR="001F7099">
        <w:rPr>
          <w:rFonts w:ascii="Times New Roman" w:hAnsi="Times New Roman"/>
        </w:rPr>
        <w:t> </w:t>
      </w:r>
      <w:r w:rsidRPr="00DA5B8F">
        <w:rPr>
          <w:rFonts w:ascii="Times New Roman" w:hAnsi="Times New Roman"/>
        </w:rPr>
        <w:t>prerokovaní v dozornej rade fondu.</w:t>
      </w:r>
    </w:p>
    <w:p w:rsidR="009E6FAB" w:rsidRPr="00DA5B8F" w:rsidP="00156767">
      <w:pPr>
        <w:pStyle w:val="BodyTextIndent1"/>
        <w:tabs>
          <w:tab w:val="num" w:pos="0"/>
        </w:tabs>
        <w:overflowPunct/>
        <w:autoSpaceDE/>
        <w:bidi w:val="0"/>
        <w:adjustRightInd/>
        <w:spacing w:line="264" w:lineRule="auto"/>
        <w:rPr>
          <w:rFonts w:ascii="Times New Roman" w:hAnsi="Times New Roman"/>
        </w:rPr>
      </w:pPr>
      <w:r w:rsidRPr="00DA5B8F" w:rsidR="008407C9">
        <w:rPr>
          <w:rFonts w:ascii="Times New Roman" w:hAnsi="Times New Roman"/>
        </w:rPr>
        <w:t>Na z</w:t>
      </w:r>
      <w:r w:rsidRPr="00DA5B8F">
        <w:rPr>
          <w:rFonts w:ascii="Times New Roman" w:hAnsi="Times New Roman"/>
        </w:rPr>
        <w:t xml:space="preserve">áklade požiadania dozornej rady </w:t>
      </w:r>
      <w:r w:rsidRPr="00DA5B8F" w:rsidR="008407C9">
        <w:rPr>
          <w:rFonts w:ascii="Times New Roman" w:hAnsi="Times New Roman"/>
        </w:rPr>
        <w:t>boli</w:t>
      </w:r>
      <w:r w:rsidRPr="00DA5B8F" w:rsidR="00AD0C18">
        <w:rPr>
          <w:rFonts w:ascii="Times New Roman" w:hAnsi="Times New Roman"/>
        </w:rPr>
        <w:t>,</w:t>
      </w:r>
      <w:r w:rsidRPr="00DA5B8F" w:rsidR="008407C9">
        <w:rPr>
          <w:rFonts w:ascii="Times New Roman" w:hAnsi="Times New Roman"/>
        </w:rPr>
        <w:t xml:space="preserve"> </w:t>
      </w:r>
      <w:r w:rsidRPr="00DA5B8F">
        <w:rPr>
          <w:rFonts w:ascii="Times New Roman" w:hAnsi="Times New Roman"/>
        </w:rPr>
        <w:t>po predchádzajúcom prerokovaní vo výkonnom výbore</w:t>
      </w:r>
      <w:r w:rsidRPr="00DA5B8F" w:rsidR="00AD0C18">
        <w:rPr>
          <w:rFonts w:ascii="Times New Roman" w:hAnsi="Times New Roman"/>
        </w:rPr>
        <w:t>,</w:t>
      </w:r>
      <w:r w:rsidRPr="00DA5B8F">
        <w:rPr>
          <w:rFonts w:ascii="Times New Roman" w:hAnsi="Times New Roman"/>
        </w:rPr>
        <w:t xml:space="preserve"> priebežne pred</w:t>
      </w:r>
      <w:r w:rsidRPr="00DA5B8F" w:rsidR="00AD0C18">
        <w:rPr>
          <w:rFonts w:ascii="Times New Roman" w:hAnsi="Times New Roman"/>
        </w:rPr>
        <w:t>ložené</w:t>
      </w:r>
      <w:r w:rsidRPr="00DA5B8F" w:rsidR="00721266">
        <w:rPr>
          <w:rFonts w:ascii="Times New Roman" w:hAnsi="Times New Roman"/>
        </w:rPr>
        <w:t xml:space="preserve"> </w:t>
      </w:r>
      <w:r w:rsidRPr="00DA5B8F">
        <w:rPr>
          <w:rFonts w:ascii="Times New Roman" w:hAnsi="Times New Roman"/>
        </w:rPr>
        <w:t xml:space="preserve">dozornej rade </w:t>
      </w:r>
      <w:r w:rsidRPr="00DA5B8F" w:rsidR="00AD0C18">
        <w:rPr>
          <w:rFonts w:ascii="Times New Roman" w:hAnsi="Times New Roman"/>
        </w:rPr>
        <w:t xml:space="preserve">aj </w:t>
      </w:r>
      <w:r w:rsidRPr="00DA5B8F">
        <w:rPr>
          <w:rFonts w:ascii="Times New Roman" w:hAnsi="Times New Roman"/>
        </w:rPr>
        <w:t>informácie o nakladaní s majetkovými účasťami v spoločnosti Slovak Telekom, a.</w:t>
      </w:r>
      <w:r w:rsidRPr="00DA5B8F" w:rsidR="00721266">
        <w:rPr>
          <w:rFonts w:ascii="Times New Roman" w:hAnsi="Times New Roman"/>
        </w:rPr>
        <w:t> </w:t>
      </w:r>
      <w:r w:rsidRPr="00DA5B8F">
        <w:rPr>
          <w:rFonts w:ascii="Times New Roman" w:hAnsi="Times New Roman"/>
        </w:rPr>
        <w:t>s.</w:t>
      </w:r>
    </w:p>
    <w:p w:rsidR="00856E80" w:rsidP="00156767">
      <w:pPr>
        <w:pStyle w:val="BodyTextIndent1"/>
        <w:tabs>
          <w:tab w:val="num" w:pos="0"/>
        </w:tabs>
        <w:overflowPunct/>
        <w:autoSpaceDE/>
        <w:bidi w:val="0"/>
        <w:adjustRightInd/>
        <w:spacing w:line="264" w:lineRule="auto"/>
        <w:rPr>
          <w:rFonts w:ascii="Times New Roman" w:hAnsi="Times New Roman"/>
        </w:rPr>
      </w:pPr>
      <w:r w:rsidR="00926C57">
        <w:rPr>
          <w:rFonts w:ascii="Times New Roman" w:hAnsi="Times New Roman"/>
        </w:rPr>
        <w:t xml:space="preserve">Vláda na svojom zasadnutí 13. 3. 2013 prerokovala materiál „Informácia o možnostiach a podmienkach naloženia s majetkovými účasťami </w:t>
      </w:r>
      <w:r w:rsidR="00D346D9">
        <w:rPr>
          <w:rFonts w:ascii="Times New Roman" w:hAnsi="Times New Roman"/>
        </w:rPr>
        <w:t xml:space="preserve">Slovenskej republiky zastúpenej MH SR a fondu na podnikaní ST, a. s. Uznesením č. 133 prijatým k tomuto materiálu splnomocnila ministra hospodárstva v bode B.1. v spolupráci </w:t>
      </w:r>
      <w:r w:rsidR="00720759">
        <w:rPr>
          <w:rFonts w:ascii="Times New Roman" w:hAnsi="Times New Roman"/>
        </w:rPr>
        <w:t xml:space="preserve">s </w:t>
      </w:r>
      <w:r w:rsidR="00D346D9">
        <w:rPr>
          <w:rFonts w:ascii="Times New Roman" w:hAnsi="Times New Roman"/>
        </w:rPr>
        <w:t>predsedom výkonného výboru FNM SR a za účasti odborných poradcov iniciovať a viesť rokovania s majoritným akcionárom spoločnosti ST, a.</w:t>
      </w:r>
      <w:r w:rsidR="008C67E2">
        <w:rPr>
          <w:rFonts w:ascii="Times New Roman" w:hAnsi="Times New Roman"/>
        </w:rPr>
        <w:t> </w:t>
      </w:r>
      <w:r w:rsidR="00D346D9">
        <w:rPr>
          <w:rFonts w:ascii="Times New Roman" w:hAnsi="Times New Roman"/>
        </w:rPr>
        <w:t>s. – spoločnosťou Deut</w:t>
      </w:r>
      <w:r w:rsidR="008C67E2">
        <w:rPr>
          <w:rFonts w:ascii="Times New Roman" w:hAnsi="Times New Roman"/>
        </w:rPr>
        <w:t>s</w:t>
      </w:r>
      <w:r w:rsidR="00D346D9">
        <w:rPr>
          <w:rFonts w:ascii="Times New Roman" w:hAnsi="Times New Roman"/>
        </w:rPr>
        <w:t>che Telekom AG a s manažmento</w:t>
      </w:r>
      <w:r w:rsidR="008C67E2">
        <w:rPr>
          <w:rFonts w:ascii="Times New Roman" w:hAnsi="Times New Roman"/>
        </w:rPr>
        <w:t>m</w:t>
      </w:r>
      <w:r w:rsidR="00D346D9">
        <w:rPr>
          <w:rFonts w:ascii="Times New Roman" w:hAnsi="Times New Roman"/>
        </w:rPr>
        <w:t xml:space="preserve"> ST, a.</w:t>
      </w:r>
      <w:r w:rsidR="008C67E2">
        <w:rPr>
          <w:rFonts w:ascii="Times New Roman" w:hAnsi="Times New Roman"/>
        </w:rPr>
        <w:t> </w:t>
      </w:r>
      <w:r w:rsidR="00D346D9">
        <w:rPr>
          <w:rFonts w:ascii="Times New Roman" w:hAnsi="Times New Roman"/>
        </w:rPr>
        <w:t>s. o možnostiach a podmi</w:t>
      </w:r>
      <w:r w:rsidR="008C67E2">
        <w:rPr>
          <w:rFonts w:ascii="Times New Roman" w:hAnsi="Times New Roman"/>
        </w:rPr>
        <w:t>e</w:t>
      </w:r>
      <w:r w:rsidR="00D346D9">
        <w:rPr>
          <w:rFonts w:ascii="Times New Roman" w:hAnsi="Times New Roman"/>
        </w:rPr>
        <w:t>nkach naloženia s m</w:t>
      </w:r>
      <w:r w:rsidR="008C67E2">
        <w:rPr>
          <w:rFonts w:ascii="Times New Roman" w:hAnsi="Times New Roman"/>
        </w:rPr>
        <w:t>a</w:t>
      </w:r>
      <w:r w:rsidR="00D346D9">
        <w:rPr>
          <w:rFonts w:ascii="Times New Roman" w:hAnsi="Times New Roman"/>
        </w:rPr>
        <w:t>jetkov</w:t>
      </w:r>
      <w:r w:rsidR="008C67E2">
        <w:rPr>
          <w:rFonts w:ascii="Times New Roman" w:hAnsi="Times New Roman"/>
        </w:rPr>
        <w:t>ou</w:t>
      </w:r>
      <w:r w:rsidR="00D346D9">
        <w:rPr>
          <w:rFonts w:ascii="Times New Roman" w:hAnsi="Times New Roman"/>
        </w:rPr>
        <w:t xml:space="preserve"> úča</w:t>
      </w:r>
      <w:r w:rsidR="008C67E2">
        <w:rPr>
          <w:rFonts w:ascii="Times New Roman" w:hAnsi="Times New Roman"/>
        </w:rPr>
        <w:t>s</w:t>
      </w:r>
      <w:r w:rsidR="00D346D9">
        <w:rPr>
          <w:rFonts w:ascii="Times New Roman" w:hAnsi="Times New Roman"/>
        </w:rPr>
        <w:t>ť</w:t>
      </w:r>
      <w:r w:rsidR="008C67E2">
        <w:rPr>
          <w:rFonts w:ascii="Times New Roman" w:hAnsi="Times New Roman"/>
        </w:rPr>
        <w:t>ou</w:t>
      </w:r>
      <w:r w:rsidR="00D346D9">
        <w:rPr>
          <w:rFonts w:ascii="Times New Roman" w:hAnsi="Times New Roman"/>
        </w:rPr>
        <w:t xml:space="preserve"> Slovenskej republiky zastúpenej MH</w:t>
      </w:r>
      <w:r w:rsidR="008C67E2">
        <w:rPr>
          <w:rFonts w:ascii="Times New Roman" w:hAnsi="Times New Roman"/>
        </w:rPr>
        <w:t> </w:t>
      </w:r>
      <w:r w:rsidR="00D346D9">
        <w:rPr>
          <w:rFonts w:ascii="Times New Roman" w:hAnsi="Times New Roman"/>
        </w:rPr>
        <w:t>SR a fondu v ST, a.</w:t>
      </w:r>
      <w:r w:rsidR="008C67E2">
        <w:rPr>
          <w:rFonts w:ascii="Times New Roman" w:hAnsi="Times New Roman"/>
        </w:rPr>
        <w:t> </w:t>
      </w:r>
      <w:r w:rsidR="00D346D9">
        <w:rPr>
          <w:rFonts w:ascii="Times New Roman" w:hAnsi="Times New Roman"/>
        </w:rPr>
        <w:t>s.</w:t>
      </w:r>
    </w:p>
    <w:p w:rsidR="008C67E2" w:rsidP="00156767">
      <w:pPr>
        <w:pStyle w:val="BodyTextIndent1"/>
        <w:tabs>
          <w:tab w:val="num" w:pos="0"/>
        </w:tabs>
        <w:overflowPunct/>
        <w:autoSpaceDE/>
        <w:bidi w:val="0"/>
        <w:adjustRightInd/>
        <w:spacing w:line="264" w:lineRule="auto"/>
        <w:rPr>
          <w:rFonts w:ascii="Times New Roman" w:hAnsi="Times New Roman"/>
        </w:rPr>
      </w:pPr>
      <w:r>
        <w:rPr>
          <w:rFonts w:ascii="Times New Roman" w:hAnsi="Times New Roman"/>
        </w:rPr>
        <w:t>Slovenská republika zastúpená MH SR</w:t>
      </w:r>
      <w:r w:rsidR="006223C0">
        <w:rPr>
          <w:rFonts w:ascii="Times New Roman" w:hAnsi="Times New Roman"/>
        </w:rPr>
        <w:t>,</w:t>
      </w:r>
      <w:r>
        <w:rPr>
          <w:rFonts w:ascii="Times New Roman" w:hAnsi="Times New Roman"/>
        </w:rPr>
        <w:t xml:space="preserve"> </w:t>
      </w:r>
      <w:r w:rsidR="006223C0">
        <w:rPr>
          <w:rFonts w:ascii="Times New Roman" w:hAnsi="Times New Roman"/>
        </w:rPr>
        <w:t>FNM SR</w:t>
      </w:r>
      <w:r>
        <w:rPr>
          <w:rFonts w:ascii="Times New Roman" w:hAnsi="Times New Roman"/>
        </w:rPr>
        <w:t xml:space="preserve"> sa dohodli so spoločnosťou ST, a. s. a spoločnosťou Deutsche Telekom AG na znení dokumentu „Memorandum o porozumení...“, ktoré </w:t>
      </w:r>
      <w:r w:rsidR="00B30CB2">
        <w:rPr>
          <w:rFonts w:ascii="Times New Roman" w:hAnsi="Times New Roman"/>
        </w:rPr>
        <w:t>za</w:t>
      </w:r>
      <w:r>
        <w:rPr>
          <w:rFonts w:ascii="Times New Roman" w:hAnsi="Times New Roman"/>
        </w:rPr>
        <w:t>definovalo spoločný postu</w:t>
      </w:r>
      <w:r w:rsidR="00B30CB2">
        <w:rPr>
          <w:rFonts w:ascii="Times New Roman" w:hAnsi="Times New Roman"/>
        </w:rPr>
        <w:t>p</w:t>
      </w:r>
      <w:r>
        <w:rPr>
          <w:rFonts w:ascii="Times New Roman" w:hAnsi="Times New Roman"/>
        </w:rPr>
        <w:t xml:space="preserve"> akcionárov ST, a.</w:t>
      </w:r>
      <w:r w:rsidR="00B30CB2">
        <w:rPr>
          <w:rFonts w:ascii="Times New Roman" w:hAnsi="Times New Roman"/>
        </w:rPr>
        <w:t> </w:t>
      </w:r>
      <w:r>
        <w:rPr>
          <w:rFonts w:ascii="Times New Roman" w:hAnsi="Times New Roman"/>
        </w:rPr>
        <w:t>s. pri m</w:t>
      </w:r>
      <w:r w:rsidR="00B30CB2">
        <w:rPr>
          <w:rFonts w:ascii="Times New Roman" w:hAnsi="Times New Roman"/>
        </w:rPr>
        <w:t>o</w:t>
      </w:r>
      <w:r>
        <w:rPr>
          <w:rFonts w:ascii="Times New Roman" w:hAnsi="Times New Roman"/>
        </w:rPr>
        <w:t>ne</w:t>
      </w:r>
      <w:r w:rsidR="00B30CB2">
        <w:rPr>
          <w:rFonts w:ascii="Times New Roman" w:hAnsi="Times New Roman"/>
        </w:rPr>
        <w:t>t</w:t>
      </w:r>
      <w:r>
        <w:rPr>
          <w:rFonts w:ascii="Times New Roman" w:hAnsi="Times New Roman"/>
        </w:rPr>
        <w:t>izovaní akcionárskych podielov slovenských ak</w:t>
      </w:r>
      <w:r w:rsidR="00B30CB2">
        <w:rPr>
          <w:rFonts w:ascii="Times New Roman" w:hAnsi="Times New Roman"/>
        </w:rPr>
        <w:t>c</w:t>
      </w:r>
      <w:r>
        <w:rPr>
          <w:rFonts w:ascii="Times New Roman" w:hAnsi="Times New Roman"/>
        </w:rPr>
        <w:t>ionárov. „Memorandum o porozumení...“ bolo podpísané vo februári 2014 ako dohoda 4 strán – MH SR, FNM</w:t>
      </w:r>
      <w:r w:rsidR="00B30CB2">
        <w:rPr>
          <w:rFonts w:ascii="Times New Roman" w:hAnsi="Times New Roman"/>
        </w:rPr>
        <w:t> </w:t>
      </w:r>
      <w:r>
        <w:rPr>
          <w:rFonts w:ascii="Times New Roman" w:hAnsi="Times New Roman"/>
        </w:rPr>
        <w:t>SR spoločnosti Deutsche Telekom AG a spoločnosti ST, a.</w:t>
      </w:r>
      <w:r w:rsidR="00B30CB2">
        <w:rPr>
          <w:rFonts w:ascii="Times New Roman" w:hAnsi="Times New Roman"/>
        </w:rPr>
        <w:t> </w:t>
      </w:r>
      <w:r>
        <w:rPr>
          <w:rFonts w:ascii="Times New Roman" w:hAnsi="Times New Roman"/>
        </w:rPr>
        <w:t>s. v sn</w:t>
      </w:r>
      <w:r w:rsidR="00B30CB2">
        <w:rPr>
          <w:rFonts w:ascii="Times New Roman" w:hAnsi="Times New Roman"/>
        </w:rPr>
        <w:t>a</w:t>
      </w:r>
      <w:r>
        <w:rPr>
          <w:rFonts w:ascii="Times New Roman" w:hAnsi="Times New Roman"/>
        </w:rPr>
        <w:t>he zabezpečiť súčinnosť všetkých zainter</w:t>
      </w:r>
      <w:r w:rsidR="00B30CB2">
        <w:rPr>
          <w:rFonts w:ascii="Times New Roman" w:hAnsi="Times New Roman"/>
        </w:rPr>
        <w:t>e</w:t>
      </w:r>
      <w:r>
        <w:rPr>
          <w:rFonts w:ascii="Times New Roman" w:hAnsi="Times New Roman"/>
        </w:rPr>
        <w:t>sovaných strán v celom procese. Základnou požiadavkou fondu a</w:t>
      </w:r>
      <w:r w:rsidR="00B30CB2">
        <w:rPr>
          <w:rFonts w:ascii="Times New Roman" w:hAnsi="Times New Roman"/>
        </w:rPr>
        <w:t> </w:t>
      </w:r>
      <w:r>
        <w:rPr>
          <w:rFonts w:ascii="Times New Roman" w:hAnsi="Times New Roman"/>
        </w:rPr>
        <w:t>MH</w:t>
      </w:r>
      <w:r w:rsidR="00B30CB2">
        <w:rPr>
          <w:rFonts w:ascii="Times New Roman" w:hAnsi="Times New Roman"/>
        </w:rPr>
        <w:t> </w:t>
      </w:r>
      <w:r>
        <w:rPr>
          <w:rFonts w:ascii="Times New Roman" w:hAnsi="Times New Roman"/>
        </w:rPr>
        <w:t xml:space="preserve">SR </w:t>
      </w:r>
      <w:r w:rsidR="006223C0">
        <w:rPr>
          <w:rFonts w:ascii="Times New Roman" w:hAnsi="Times New Roman"/>
        </w:rPr>
        <w:t>formulovanou v „</w:t>
      </w:r>
      <w:r w:rsidR="00B30CB2">
        <w:rPr>
          <w:rFonts w:ascii="Times New Roman" w:hAnsi="Times New Roman"/>
        </w:rPr>
        <w:t>M</w:t>
      </w:r>
      <w:r w:rsidR="006223C0">
        <w:rPr>
          <w:rFonts w:ascii="Times New Roman" w:hAnsi="Times New Roman"/>
        </w:rPr>
        <w:t>emorande o p</w:t>
      </w:r>
      <w:r w:rsidR="00B30CB2">
        <w:rPr>
          <w:rFonts w:ascii="Times New Roman" w:hAnsi="Times New Roman"/>
        </w:rPr>
        <w:t>o</w:t>
      </w:r>
      <w:r w:rsidR="006223C0">
        <w:rPr>
          <w:rFonts w:ascii="Times New Roman" w:hAnsi="Times New Roman"/>
        </w:rPr>
        <w:t>rozumení...“ je zabezp</w:t>
      </w:r>
      <w:r w:rsidR="00B30CB2">
        <w:rPr>
          <w:rFonts w:ascii="Times New Roman" w:hAnsi="Times New Roman"/>
        </w:rPr>
        <w:t>e</w:t>
      </w:r>
      <w:r w:rsidR="006223C0">
        <w:rPr>
          <w:rFonts w:ascii="Times New Roman" w:hAnsi="Times New Roman"/>
        </w:rPr>
        <w:t>č</w:t>
      </w:r>
      <w:r w:rsidR="00B30CB2">
        <w:rPr>
          <w:rFonts w:ascii="Times New Roman" w:hAnsi="Times New Roman"/>
        </w:rPr>
        <w:t>i</w:t>
      </w:r>
      <w:r w:rsidR="006223C0">
        <w:rPr>
          <w:rFonts w:ascii="Times New Roman" w:hAnsi="Times New Roman"/>
        </w:rPr>
        <w:t>ť predaj majetk</w:t>
      </w:r>
      <w:r w:rsidR="00B30CB2">
        <w:rPr>
          <w:rFonts w:ascii="Times New Roman" w:hAnsi="Times New Roman"/>
        </w:rPr>
        <w:t>ov</w:t>
      </w:r>
      <w:r w:rsidR="006223C0">
        <w:rPr>
          <w:rFonts w:ascii="Times New Roman" w:hAnsi="Times New Roman"/>
        </w:rPr>
        <w:t>ých účastí formou tzv. duálneho pr</w:t>
      </w:r>
      <w:r w:rsidR="00B30CB2">
        <w:rPr>
          <w:rFonts w:ascii="Times New Roman" w:hAnsi="Times New Roman"/>
        </w:rPr>
        <w:t>o</w:t>
      </w:r>
      <w:r w:rsidR="006223C0">
        <w:rPr>
          <w:rFonts w:ascii="Times New Roman" w:hAnsi="Times New Roman"/>
        </w:rPr>
        <w:t>cesu (Dual Track)</w:t>
      </w:r>
      <w:r w:rsidR="00B30CB2">
        <w:rPr>
          <w:rFonts w:ascii="Times New Roman" w:hAnsi="Times New Roman"/>
        </w:rPr>
        <w:t>, a</w:t>
      </w:r>
      <w:r w:rsidR="006223C0">
        <w:rPr>
          <w:rFonts w:ascii="Times New Roman" w:hAnsi="Times New Roman"/>
        </w:rPr>
        <w:t> teda predovšetkým prostredníctvom kapitálových t</w:t>
      </w:r>
      <w:r w:rsidR="00B30CB2">
        <w:rPr>
          <w:rFonts w:ascii="Times New Roman" w:hAnsi="Times New Roman"/>
        </w:rPr>
        <w:t>r</w:t>
      </w:r>
      <w:r w:rsidR="006223C0">
        <w:rPr>
          <w:rFonts w:ascii="Times New Roman" w:hAnsi="Times New Roman"/>
        </w:rPr>
        <w:t>hov (IPO – prv</w:t>
      </w:r>
      <w:r w:rsidR="00B30CB2">
        <w:rPr>
          <w:rFonts w:ascii="Times New Roman" w:hAnsi="Times New Roman"/>
        </w:rPr>
        <w:t>o</w:t>
      </w:r>
      <w:r w:rsidR="006223C0">
        <w:rPr>
          <w:rFonts w:ascii="Times New Roman" w:hAnsi="Times New Roman"/>
        </w:rPr>
        <w:t>tná ponuka akcií) a alternatívne formou priameho predaj</w:t>
      </w:r>
      <w:r w:rsidR="00B30CB2">
        <w:rPr>
          <w:rFonts w:ascii="Times New Roman" w:hAnsi="Times New Roman"/>
        </w:rPr>
        <w:t>a</w:t>
      </w:r>
      <w:r w:rsidR="006223C0">
        <w:rPr>
          <w:rFonts w:ascii="Times New Roman" w:hAnsi="Times New Roman"/>
        </w:rPr>
        <w:t xml:space="preserve"> s tým, že konečné rozhodnu</w:t>
      </w:r>
      <w:r w:rsidR="00B30CB2">
        <w:rPr>
          <w:rFonts w:ascii="Times New Roman" w:hAnsi="Times New Roman"/>
        </w:rPr>
        <w:t>t</w:t>
      </w:r>
      <w:r w:rsidR="006223C0">
        <w:rPr>
          <w:rFonts w:ascii="Times New Roman" w:hAnsi="Times New Roman"/>
        </w:rPr>
        <w:t>ie bude závisieť od trhových podmi</w:t>
      </w:r>
      <w:r w:rsidR="00B30CB2">
        <w:rPr>
          <w:rFonts w:ascii="Times New Roman" w:hAnsi="Times New Roman"/>
        </w:rPr>
        <w:t>e</w:t>
      </w:r>
      <w:r w:rsidR="006223C0">
        <w:rPr>
          <w:rFonts w:ascii="Times New Roman" w:hAnsi="Times New Roman"/>
        </w:rPr>
        <w:t>nok a kon</w:t>
      </w:r>
      <w:r w:rsidR="00B30CB2">
        <w:rPr>
          <w:rFonts w:ascii="Times New Roman" w:hAnsi="Times New Roman"/>
        </w:rPr>
        <w:t>e</w:t>
      </w:r>
      <w:r w:rsidR="006223C0">
        <w:rPr>
          <w:rFonts w:ascii="Times New Roman" w:hAnsi="Times New Roman"/>
        </w:rPr>
        <w:t>čného rozhodnutia FNM</w:t>
      </w:r>
      <w:r w:rsidR="00B30CB2">
        <w:rPr>
          <w:rFonts w:ascii="Times New Roman" w:hAnsi="Times New Roman"/>
        </w:rPr>
        <w:t> </w:t>
      </w:r>
      <w:r w:rsidR="006223C0">
        <w:rPr>
          <w:rFonts w:ascii="Times New Roman" w:hAnsi="Times New Roman"/>
        </w:rPr>
        <w:t>SR tak, aby bol, dosiahnutý čo najl</w:t>
      </w:r>
      <w:r w:rsidR="00B30CB2">
        <w:rPr>
          <w:rFonts w:ascii="Times New Roman" w:hAnsi="Times New Roman"/>
        </w:rPr>
        <w:t>e</w:t>
      </w:r>
      <w:r w:rsidR="006223C0">
        <w:rPr>
          <w:rFonts w:ascii="Times New Roman" w:hAnsi="Times New Roman"/>
        </w:rPr>
        <w:t>pší výsledok. Práce</w:t>
      </w:r>
      <w:r w:rsidR="00B30CB2">
        <w:rPr>
          <w:rFonts w:ascii="Times New Roman" w:hAnsi="Times New Roman"/>
        </w:rPr>
        <w:t xml:space="preserve"> </w:t>
      </w:r>
      <w:r w:rsidR="006223C0">
        <w:rPr>
          <w:rFonts w:ascii="Times New Roman" w:hAnsi="Times New Roman"/>
        </w:rPr>
        <w:t>je</w:t>
      </w:r>
      <w:r w:rsidR="00B30CB2">
        <w:rPr>
          <w:rFonts w:ascii="Times New Roman" w:hAnsi="Times New Roman"/>
        </w:rPr>
        <w:t>d</w:t>
      </w:r>
      <w:r w:rsidR="006223C0">
        <w:rPr>
          <w:rFonts w:ascii="Times New Roman" w:hAnsi="Times New Roman"/>
        </w:rPr>
        <w:t>notlivých pr</w:t>
      </w:r>
      <w:r w:rsidR="00B30CB2">
        <w:rPr>
          <w:rFonts w:ascii="Times New Roman" w:hAnsi="Times New Roman"/>
        </w:rPr>
        <w:t>aco</w:t>
      </w:r>
      <w:r w:rsidR="006223C0">
        <w:rPr>
          <w:rFonts w:ascii="Times New Roman" w:hAnsi="Times New Roman"/>
        </w:rPr>
        <w:t>vných tímov zriadených v zmysle „Memoranda o porozumení...“ pokračujú v stanovenom harmonograme s cieľom r</w:t>
      </w:r>
      <w:r w:rsidR="00B30CB2">
        <w:rPr>
          <w:rFonts w:ascii="Times New Roman" w:hAnsi="Times New Roman"/>
        </w:rPr>
        <w:t>e</w:t>
      </w:r>
      <w:r w:rsidR="006223C0">
        <w:rPr>
          <w:rFonts w:ascii="Times New Roman" w:hAnsi="Times New Roman"/>
        </w:rPr>
        <w:t>alizácie predaja formou IPO v horizonte najneskôr v prvej polovici ro</w:t>
      </w:r>
      <w:r w:rsidR="004D5165">
        <w:rPr>
          <w:rFonts w:ascii="Times New Roman" w:hAnsi="Times New Roman"/>
        </w:rPr>
        <w:t>ku</w:t>
      </w:r>
      <w:r w:rsidR="006223C0">
        <w:rPr>
          <w:rFonts w:ascii="Times New Roman" w:hAnsi="Times New Roman"/>
        </w:rPr>
        <w:t xml:space="preserve"> 2015</w:t>
      </w:r>
      <w:r w:rsidR="004D5165">
        <w:rPr>
          <w:rFonts w:ascii="Times New Roman" w:hAnsi="Times New Roman"/>
        </w:rPr>
        <w:t>.</w:t>
      </w:r>
    </w:p>
    <w:p w:rsidR="006223C0" w:rsidRPr="00DA5B8F" w:rsidP="00156767">
      <w:pPr>
        <w:pStyle w:val="BodyTextIndent1"/>
        <w:tabs>
          <w:tab w:val="num" w:pos="0"/>
        </w:tabs>
        <w:overflowPunct/>
        <w:autoSpaceDE/>
        <w:bidi w:val="0"/>
        <w:adjustRightInd/>
        <w:spacing w:before="360" w:line="264" w:lineRule="auto"/>
        <w:rPr>
          <w:rFonts w:ascii="Times New Roman" w:hAnsi="Times New Roman"/>
        </w:rPr>
      </w:pPr>
      <w:r>
        <w:rPr>
          <w:rFonts w:ascii="Times New Roman" w:hAnsi="Times New Roman"/>
        </w:rPr>
        <w:t>Prevod akcií zo št</w:t>
      </w:r>
      <w:r w:rsidR="004D5165">
        <w:rPr>
          <w:rFonts w:ascii="Times New Roman" w:hAnsi="Times New Roman"/>
        </w:rPr>
        <w:t>át</w:t>
      </w:r>
      <w:r>
        <w:rPr>
          <w:rFonts w:ascii="Times New Roman" w:hAnsi="Times New Roman"/>
        </w:rPr>
        <w:t>u na FNM</w:t>
      </w:r>
      <w:r w:rsidR="004D5165">
        <w:rPr>
          <w:rFonts w:ascii="Times New Roman" w:hAnsi="Times New Roman"/>
        </w:rPr>
        <w:t> </w:t>
      </w:r>
      <w:r>
        <w:rPr>
          <w:rFonts w:ascii="Times New Roman" w:hAnsi="Times New Roman"/>
        </w:rPr>
        <w:t>SR bude r</w:t>
      </w:r>
      <w:r w:rsidR="004D5165">
        <w:rPr>
          <w:rFonts w:ascii="Times New Roman" w:hAnsi="Times New Roman"/>
        </w:rPr>
        <w:t>e</w:t>
      </w:r>
      <w:r>
        <w:rPr>
          <w:rFonts w:ascii="Times New Roman" w:hAnsi="Times New Roman"/>
        </w:rPr>
        <w:t>alizovaný na zákl</w:t>
      </w:r>
      <w:r w:rsidR="004D5165">
        <w:rPr>
          <w:rFonts w:ascii="Times New Roman" w:hAnsi="Times New Roman"/>
        </w:rPr>
        <w:t>a</w:t>
      </w:r>
      <w:r>
        <w:rPr>
          <w:rFonts w:ascii="Times New Roman" w:hAnsi="Times New Roman"/>
        </w:rPr>
        <w:t>de rozhodnutia vlády o prev</w:t>
      </w:r>
      <w:r w:rsidR="004D5165">
        <w:rPr>
          <w:rFonts w:ascii="Times New Roman" w:hAnsi="Times New Roman"/>
        </w:rPr>
        <w:t>o</w:t>
      </w:r>
      <w:r>
        <w:rPr>
          <w:rFonts w:ascii="Times New Roman" w:hAnsi="Times New Roman"/>
        </w:rPr>
        <w:t>de majetkovej účasti na podnikaní dotknute</w:t>
      </w:r>
      <w:r w:rsidR="004D5165">
        <w:rPr>
          <w:rFonts w:ascii="Times New Roman" w:hAnsi="Times New Roman"/>
        </w:rPr>
        <w:t>j</w:t>
      </w:r>
      <w:r>
        <w:rPr>
          <w:rFonts w:ascii="Times New Roman" w:hAnsi="Times New Roman"/>
        </w:rPr>
        <w:t xml:space="preserve"> spoločnost</w:t>
      </w:r>
      <w:r w:rsidR="004D5165">
        <w:rPr>
          <w:rFonts w:ascii="Times New Roman" w:hAnsi="Times New Roman"/>
        </w:rPr>
        <w:t>i</w:t>
      </w:r>
      <w:r>
        <w:rPr>
          <w:rFonts w:ascii="Times New Roman" w:hAnsi="Times New Roman"/>
        </w:rPr>
        <w:t xml:space="preserve"> v</w:t>
      </w:r>
      <w:r w:rsidR="004D5165">
        <w:rPr>
          <w:rFonts w:ascii="Times New Roman" w:hAnsi="Times New Roman"/>
        </w:rPr>
        <w:t xml:space="preserve"> zmysle </w:t>
      </w:r>
      <w:r>
        <w:rPr>
          <w:rFonts w:ascii="Times New Roman" w:hAnsi="Times New Roman"/>
        </w:rPr>
        <w:t>zákona o privatizácii.</w:t>
      </w:r>
    </w:p>
    <w:p w:rsidR="002C3B67" w:rsidRPr="00DA5B8F">
      <w:pPr>
        <w:pStyle w:val="Heading3"/>
        <w:overflowPunct/>
        <w:autoSpaceDE/>
        <w:bidi w:val="0"/>
        <w:adjustRightInd/>
        <w:spacing w:before="360"/>
        <w:rPr>
          <w:rFonts w:ascii="Times New Roman" w:hAnsi="Times New Roman"/>
        </w:rPr>
      </w:pPr>
      <w:r w:rsidRPr="00DA5B8F">
        <w:rPr>
          <w:rFonts w:ascii="Times New Roman" w:hAnsi="Times New Roman"/>
        </w:rPr>
        <w:t>Majetok fondu, ktorý je predmetom dlhodobého nájmu</w:t>
      </w:r>
    </w:p>
    <w:p w:rsidR="002C3B67" w:rsidRPr="00DA5B8F" w:rsidP="00156767">
      <w:pPr>
        <w:pStyle w:val="BodyTextIndent1"/>
        <w:tabs>
          <w:tab w:val="num" w:pos="0"/>
        </w:tabs>
        <w:overflowPunct/>
        <w:autoSpaceDE/>
        <w:bidi w:val="0"/>
        <w:adjustRightInd/>
        <w:spacing w:before="360" w:line="252" w:lineRule="auto"/>
        <w:rPr>
          <w:rFonts w:ascii="Times New Roman" w:hAnsi="Times New Roman"/>
        </w:rPr>
      </w:pPr>
      <w:r w:rsidRPr="00DA5B8F">
        <w:rPr>
          <w:rFonts w:ascii="Times New Roman" w:hAnsi="Times New Roman"/>
        </w:rPr>
        <w:t xml:space="preserve">Fond okrem majetkových účastí v obchodných spoločnostiach vlastní aj majetok nadobudnutý odstúpením od privatizačných zmlúv, resp. nadobudnutý iným spôsobom. S uvedeným majetkom možno naložiť v súlade s príslušnými ustanoveniami zákona o privatizácii. </w:t>
      </w:r>
      <w:r w:rsidRPr="00DA5B8F" w:rsidR="00AD0C18">
        <w:rPr>
          <w:rFonts w:ascii="Times New Roman" w:hAnsi="Times New Roman"/>
        </w:rPr>
        <w:t xml:space="preserve">Majetok, ktorý </w:t>
      </w:r>
      <w:r w:rsidRPr="00DA5B8F" w:rsidR="000224D9">
        <w:rPr>
          <w:rFonts w:ascii="Times New Roman" w:hAnsi="Times New Roman"/>
        </w:rPr>
        <w:t xml:space="preserve">bol v sledovanom období </w:t>
      </w:r>
      <w:r w:rsidRPr="00DA5B8F">
        <w:rPr>
          <w:rFonts w:ascii="Times New Roman" w:hAnsi="Times New Roman"/>
        </w:rPr>
        <w:t>predmetom nájmu</w:t>
      </w:r>
      <w:r w:rsidRPr="00DA5B8F" w:rsidR="00AD0C18">
        <w:rPr>
          <w:rFonts w:ascii="Times New Roman" w:hAnsi="Times New Roman"/>
        </w:rPr>
        <w:t>:</w:t>
      </w:r>
    </w:p>
    <w:p w:rsidR="002C3B67" w:rsidRPr="00DA5B8F" w:rsidP="00C71980">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 xml:space="preserve">Prehľad majetku, ktorý bol predmetom nájmu </w:t>
      </w:r>
    </w:p>
    <w:tbl>
      <w:tblPr>
        <w:tblStyle w:val="TableNormal"/>
        <w:tblW w:w="0" w:type="auto"/>
        <w:tblBorders>
          <w:top w:val="single" w:sz="4" w:space="0" w:color="999999"/>
          <w:left w:val="single" w:sz="4" w:space="0" w:color="999999"/>
          <w:bottom w:val="single" w:sz="4" w:space="0" w:color="999999"/>
          <w:right w:val="single" w:sz="4" w:space="0" w:color="999999"/>
        </w:tblBorders>
        <w:tblLayout w:type="fixed"/>
        <w:tblCellMar>
          <w:left w:w="0" w:type="dxa"/>
          <w:right w:w="0" w:type="dxa"/>
        </w:tblCellMar>
      </w:tblPr>
      <w:tblGrid>
        <w:gridCol w:w="6855"/>
        <w:gridCol w:w="2520"/>
      </w:tblGrid>
      <w:tr>
        <w:tblPrEx>
          <w:tblW w:w="0" w:type="auto"/>
          <w:tblBorders>
            <w:top w:val="single" w:sz="4" w:space="0" w:color="999999"/>
            <w:left w:val="single" w:sz="4" w:space="0" w:color="999999"/>
            <w:bottom w:val="single" w:sz="4" w:space="0" w:color="999999"/>
            <w:right w:val="single" w:sz="4" w:space="0" w:color="999999"/>
          </w:tblBorders>
          <w:tblLayout w:type="fixed"/>
          <w:tblCellMar>
            <w:left w:w="0" w:type="dxa"/>
            <w:right w:w="0" w:type="dxa"/>
          </w:tblCellMar>
        </w:tblPrEx>
        <w:trPr>
          <w:cantSplit/>
          <w:trHeight w:val="276"/>
        </w:trPr>
        <w:tc>
          <w:tcPr>
            <w:tcW w:w="6855" w:type="dxa"/>
            <w:vMerge w:val="restart"/>
            <w:tcBorders>
              <w:top w:val="single" w:sz="4" w:space="0" w:color="999999"/>
              <w:left w:val="nil"/>
              <w:bottom w:val="double" w:sz="6" w:space="0" w:color="999999"/>
              <w:right w:val="nil"/>
            </w:tcBorders>
            <w:shd w:val="clear" w:color="auto" w:fill="CCCCFF"/>
            <w:noWrap/>
            <w:tcMar>
              <w:top w:w="15" w:type="dxa"/>
              <w:left w:w="15" w:type="dxa"/>
              <w:bottom w:w="0" w:type="dxa"/>
              <w:right w:w="15" w:type="dxa"/>
            </w:tcMar>
            <w:textDirection w:val="lrTb"/>
            <w:vAlign w:val="bottom"/>
          </w:tcPr>
          <w:p w:rsidR="002C3B67" w:rsidRPr="00DA5B8F">
            <w:pPr>
              <w:bidi w:val="0"/>
              <w:rPr>
                <w:rFonts w:ascii="Times New Roman" w:hAnsi="Times New Roman"/>
                <w:b/>
                <w:bCs/>
                <w:lang w:val="sk-SK"/>
              </w:rPr>
            </w:pPr>
            <w:r w:rsidRPr="00DA5B8F">
              <w:rPr>
                <w:rFonts w:ascii="Times New Roman" w:hAnsi="Times New Roman"/>
                <w:b/>
                <w:bCs/>
                <w:lang w:val="sk-SK"/>
              </w:rPr>
              <w:t>Nehnuteľnosti z bývalého štátneho podniku</w:t>
            </w:r>
          </w:p>
          <w:p w:rsidR="002C3B67" w:rsidRPr="00DA5B8F">
            <w:pPr>
              <w:bidi w:val="0"/>
              <w:rPr>
                <w:rFonts w:ascii="Times New Roman" w:eastAsia="Arial Unicode MS" w:hAnsi="Times New Roman"/>
                <w:b/>
                <w:bCs/>
                <w:lang w:val="sk-SK"/>
              </w:rPr>
            </w:pPr>
          </w:p>
        </w:tc>
        <w:tc>
          <w:tcPr>
            <w:tcW w:w="2520" w:type="dxa"/>
            <w:vMerge w:val="restart"/>
            <w:tcBorders>
              <w:top w:val="single" w:sz="4" w:space="0" w:color="999999"/>
              <w:left w:val="nil"/>
              <w:bottom w:val="double" w:sz="6" w:space="0" w:color="999999"/>
              <w:right w:val="nil"/>
            </w:tcBorders>
            <w:shd w:val="clear" w:color="auto" w:fill="CCCCFF"/>
            <w:tcMar>
              <w:top w:w="15" w:type="dxa"/>
              <w:left w:w="15" w:type="dxa"/>
              <w:bottom w:w="0" w:type="dxa"/>
              <w:right w:w="15" w:type="dxa"/>
            </w:tcMar>
            <w:textDirection w:val="lrTb"/>
            <w:vAlign w:val="bottom"/>
          </w:tcPr>
          <w:p w:rsidR="002C3B67" w:rsidRPr="00DA5B8F">
            <w:pPr>
              <w:pStyle w:val="Heading6"/>
              <w:bidi w:val="0"/>
              <w:rPr>
                <w:rFonts w:ascii="Times New Roman" w:eastAsia="Arial Unicode MS" w:hAnsi="Times New Roman"/>
                <w:sz w:val="24"/>
                <w:szCs w:val="24"/>
              </w:rPr>
            </w:pPr>
            <w:r w:rsidRPr="00DA5B8F">
              <w:rPr>
                <w:rFonts w:ascii="Times New Roman" w:hAnsi="Times New Roman"/>
                <w:sz w:val="24"/>
                <w:szCs w:val="24"/>
              </w:rPr>
              <w:t>Účtovná hodnota</w:t>
            </w:r>
          </w:p>
          <w:p w:rsidR="002C3B67" w:rsidRPr="00DA5B8F">
            <w:pPr>
              <w:bidi w:val="0"/>
              <w:jc w:val="center"/>
              <w:rPr>
                <w:rFonts w:ascii="Times New Roman" w:eastAsia="Arial Unicode MS" w:hAnsi="Times New Roman"/>
                <w:b/>
                <w:bCs/>
                <w:lang w:val="sk-SK"/>
              </w:rPr>
            </w:pPr>
            <w:r w:rsidRPr="00DA5B8F">
              <w:rPr>
                <w:rFonts w:ascii="Times New Roman" w:hAnsi="Times New Roman"/>
                <w:b/>
                <w:bCs/>
                <w:lang w:val="sk-SK"/>
              </w:rPr>
              <w:t>(v Eur)</w:t>
            </w:r>
          </w:p>
        </w:tc>
      </w:tr>
      <w:tr>
        <w:tblPrEx>
          <w:tblW w:w="0" w:type="auto"/>
          <w:tblLayout w:type="fixed"/>
          <w:tblCellMar>
            <w:left w:w="0" w:type="dxa"/>
            <w:right w:w="0" w:type="dxa"/>
          </w:tblCellMar>
        </w:tblPrEx>
        <w:trPr>
          <w:cantSplit/>
          <w:trHeight w:val="276"/>
        </w:trPr>
        <w:tc>
          <w:tcPr>
            <w:tcW w:w="6855" w:type="dxa"/>
            <w:vMerge/>
            <w:tcBorders>
              <w:top w:val="nil"/>
              <w:left w:val="nil"/>
              <w:bottom w:val="double" w:sz="6" w:space="0" w:color="999999"/>
              <w:right w:val="nil"/>
            </w:tcBorders>
            <w:shd w:val="clear" w:color="auto" w:fill="CCCCFF"/>
            <w:textDirection w:val="lrTb"/>
            <w:vAlign w:val="center"/>
          </w:tcPr>
          <w:p w:rsidR="002C3B67" w:rsidRPr="00DA5B8F">
            <w:pPr>
              <w:bidi w:val="0"/>
              <w:rPr>
                <w:rFonts w:ascii="Times New Roman" w:eastAsia="Arial Unicode MS" w:hAnsi="Times New Roman"/>
                <w:lang w:val="sk-SK"/>
              </w:rPr>
            </w:pPr>
          </w:p>
        </w:tc>
        <w:tc>
          <w:tcPr>
            <w:tcW w:w="2520" w:type="dxa"/>
            <w:vMerge/>
            <w:tcBorders>
              <w:top w:val="nil"/>
              <w:left w:val="nil"/>
              <w:bottom w:val="double" w:sz="6" w:space="0" w:color="999999"/>
              <w:right w:val="nil"/>
            </w:tcBorders>
            <w:shd w:val="clear" w:color="auto" w:fill="CCCCFF"/>
            <w:textDirection w:val="lrTb"/>
            <w:vAlign w:val="center"/>
          </w:tcPr>
          <w:p w:rsidR="002C3B67" w:rsidRPr="00DA5B8F">
            <w:pPr>
              <w:bidi w:val="0"/>
              <w:rPr>
                <w:rFonts w:ascii="Times New Roman" w:eastAsia="Arial Unicode MS" w:hAnsi="Times New Roman"/>
                <w:b/>
                <w:bCs/>
                <w:lang w:val="sk-SK"/>
              </w:rPr>
            </w:pPr>
          </w:p>
        </w:tc>
      </w:tr>
      <w:tr>
        <w:tblPrEx>
          <w:tblW w:w="0" w:type="auto"/>
          <w:tblLayout w:type="fixed"/>
          <w:tblCellMar>
            <w:left w:w="0" w:type="dxa"/>
            <w:right w:w="0" w:type="dxa"/>
          </w:tblCellMar>
        </w:tblPrEx>
        <w:trPr>
          <w:trHeight w:hRule="exact" w:val="397"/>
        </w:trPr>
        <w:tc>
          <w:tcPr>
            <w:tcW w:w="6855" w:type="dxa"/>
            <w:tcBorders>
              <w:top w:val="double" w:sz="6"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jc w:val="both"/>
              <w:rPr>
                <w:rFonts w:ascii="Times New Roman" w:eastAsia="Arial Unicode MS" w:hAnsi="Times New Roman"/>
                <w:b/>
                <w:bCs/>
                <w:lang w:val="sk-SK"/>
              </w:rPr>
            </w:pPr>
            <w:r w:rsidRPr="00DA5B8F">
              <w:rPr>
                <w:rFonts w:ascii="Times New Roman" w:hAnsi="Times New Roman"/>
                <w:lang w:val="sk-SK"/>
              </w:rPr>
              <w:t>Dopravno-inžinierske služby Banská Bystrica</w:t>
            </w:r>
          </w:p>
        </w:tc>
        <w:tc>
          <w:tcPr>
            <w:tcW w:w="2520" w:type="dxa"/>
            <w:tcBorders>
              <w:top w:val="double" w:sz="6"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eastAsia="Arial Unicode MS" w:hAnsi="Times New Roman"/>
                <w:lang w:val="sk-SK"/>
              </w:rPr>
            </w:pPr>
            <w:r w:rsidRPr="00DA5B8F">
              <w:rPr>
                <w:rFonts w:ascii="Times New Roman" w:hAnsi="Times New Roman"/>
                <w:lang w:val="sk-SK"/>
              </w:rPr>
              <w:t>15 202,81</w:t>
            </w:r>
          </w:p>
        </w:tc>
      </w:tr>
      <w:tr>
        <w:tblPrEx>
          <w:tblW w:w="0" w:type="auto"/>
          <w:tblLayout w:type="fixed"/>
          <w:tblCellMar>
            <w:left w:w="0" w:type="dxa"/>
            <w:right w:w="0" w:type="dxa"/>
          </w:tblCellMar>
        </w:tblPrEx>
        <w:trPr>
          <w:trHeight w:hRule="exact" w:val="397"/>
        </w:trPr>
        <w:tc>
          <w:tcPr>
            <w:tcW w:w="6855" w:type="dxa"/>
            <w:tcBorders>
              <w:top w:val="single" w:sz="4" w:space="0" w:color="999999"/>
              <w:left w:val="nil"/>
              <w:bottom w:val="single" w:sz="4" w:space="0" w:color="999999"/>
              <w:right w:val="nil"/>
            </w:tcBorders>
            <w:shd w:val="clear" w:color="auto" w:fill="FFFFFF"/>
            <w:noWrap/>
            <w:tcMar>
              <w:top w:w="15" w:type="dxa"/>
              <w:left w:w="15" w:type="dxa"/>
              <w:bottom w:w="0" w:type="dxa"/>
              <w:right w:w="15" w:type="dxa"/>
            </w:tcMar>
            <w:textDirection w:val="lrTb"/>
            <w:vAlign w:val="center"/>
          </w:tcPr>
          <w:p w:rsidR="002C3B67" w:rsidRPr="00DA5B8F" w:rsidP="001F7099">
            <w:pPr>
              <w:bidi w:val="0"/>
              <w:jc w:val="both"/>
              <w:rPr>
                <w:rFonts w:ascii="Times New Roman" w:hAnsi="Times New Roman"/>
                <w:lang w:val="sk-SK"/>
              </w:rPr>
            </w:pPr>
            <w:r w:rsidRPr="00DA5B8F">
              <w:rPr>
                <w:rFonts w:ascii="Times New Roman" w:hAnsi="Times New Roman"/>
                <w:lang w:val="sk-SK"/>
              </w:rPr>
              <w:t xml:space="preserve">EKOENERGOSTAV, Košice </w:t>
            </w:r>
          </w:p>
        </w:tc>
        <w:tc>
          <w:tcPr>
            <w:tcW w:w="25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692 365,00</w:t>
            </w:r>
          </w:p>
        </w:tc>
      </w:tr>
      <w:tr>
        <w:tblPrEx>
          <w:tblW w:w="0" w:type="auto"/>
          <w:tblLayout w:type="fixed"/>
          <w:tblCellMar>
            <w:left w:w="0" w:type="dxa"/>
            <w:right w:w="0" w:type="dxa"/>
          </w:tblCellMar>
        </w:tblPrEx>
        <w:trPr>
          <w:trHeight w:hRule="exact" w:val="397"/>
        </w:trPr>
        <w:tc>
          <w:tcPr>
            <w:tcW w:w="6855" w:type="dxa"/>
            <w:tcBorders>
              <w:top w:val="single" w:sz="4"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jc w:val="both"/>
              <w:rPr>
                <w:rFonts w:ascii="Times New Roman" w:hAnsi="Times New Roman"/>
                <w:lang w:val="sk-SK"/>
              </w:rPr>
            </w:pPr>
            <w:r w:rsidRPr="00DA5B8F">
              <w:rPr>
                <w:rFonts w:ascii="Times New Roman" w:hAnsi="Times New Roman"/>
                <w:lang w:val="sk-SK"/>
              </w:rPr>
              <w:t>Piloimpregna, Košice</w:t>
            </w:r>
          </w:p>
        </w:tc>
        <w:tc>
          <w:tcPr>
            <w:tcW w:w="25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hAnsi="Times New Roman"/>
                <w:lang w:val="sk-SK"/>
              </w:rPr>
            </w:pPr>
            <w:r w:rsidRPr="00DA5B8F">
              <w:rPr>
                <w:rFonts w:ascii="Times New Roman" w:hAnsi="Times New Roman"/>
                <w:lang w:val="sk-SK"/>
              </w:rPr>
              <w:t>175 447,45</w:t>
            </w:r>
          </w:p>
        </w:tc>
      </w:tr>
      <w:tr>
        <w:tblPrEx>
          <w:tblW w:w="0" w:type="auto"/>
          <w:tblLayout w:type="fixed"/>
          <w:tblCellMar>
            <w:left w:w="0" w:type="dxa"/>
            <w:right w:w="0" w:type="dxa"/>
          </w:tblCellMar>
        </w:tblPrEx>
        <w:trPr>
          <w:trHeight w:hRule="exact" w:val="397"/>
        </w:trPr>
        <w:tc>
          <w:tcPr>
            <w:tcW w:w="6855" w:type="dxa"/>
            <w:tcBorders>
              <w:top w:val="single" w:sz="4"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jc w:val="both"/>
              <w:rPr>
                <w:rFonts w:ascii="Times New Roman" w:hAnsi="Times New Roman"/>
                <w:lang w:val="sk-SK"/>
              </w:rPr>
            </w:pPr>
            <w:r w:rsidRPr="00DA5B8F">
              <w:rPr>
                <w:rFonts w:ascii="Times New Roman" w:hAnsi="Times New Roman"/>
                <w:lang w:val="sk-SK"/>
              </w:rPr>
              <w:t>Obchod s palivami, Banská Bystrica</w:t>
            </w:r>
          </w:p>
        </w:tc>
        <w:tc>
          <w:tcPr>
            <w:tcW w:w="25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hAnsi="Times New Roman"/>
                <w:lang w:val="sk-SK"/>
              </w:rPr>
            </w:pPr>
            <w:r w:rsidRPr="00DA5B8F">
              <w:rPr>
                <w:rFonts w:ascii="Times New Roman" w:hAnsi="Times New Roman"/>
                <w:lang w:val="sk-SK"/>
              </w:rPr>
              <w:t>532 679,28</w:t>
            </w:r>
          </w:p>
        </w:tc>
      </w:tr>
      <w:tr>
        <w:tblPrEx>
          <w:tblW w:w="0" w:type="auto"/>
          <w:tblLayout w:type="fixed"/>
          <w:tblCellMar>
            <w:left w:w="0" w:type="dxa"/>
            <w:right w:w="0" w:type="dxa"/>
          </w:tblCellMar>
        </w:tblPrEx>
        <w:trPr>
          <w:trHeight w:hRule="exact" w:val="397"/>
        </w:trPr>
        <w:tc>
          <w:tcPr>
            <w:tcW w:w="6855" w:type="dxa"/>
            <w:tcBorders>
              <w:top w:val="single" w:sz="4"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jc w:val="both"/>
              <w:rPr>
                <w:rFonts w:ascii="Times New Roman" w:hAnsi="Times New Roman"/>
                <w:lang w:val="sk-SK"/>
              </w:rPr>
            </w:pPr>
            <w:r w:rsidRPr="00DA5B8F">
              <w:rPr>
                <w:rFonts w:ascii="Times New Roman" w:hAnsi="Times New Roman"/>
                <w:lang w:val="sk-SK"/>
              </w:rPr>
              <w:t>Agrotechnika Zvolen</w:t>
            </w:r>
          </w:p>
        </w:tc>
        <w:tc>
          <w:tcPr>
            <w:tcW w:w="25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hAnsi="Times New Roman"/>
                <w:lang w:val="sk-SK"/>
              </w:rPr>
            </w:pPr>
            <w:r w:rsidRPr="00DA5B8F">
              <w:rPr>
                <w:rFonts w:ascii="Times New Roman" w:hAnsi="Times New Roman"/>
                <w:lang w:val="sk-SK"/>
              </w:rPr>
              <w:t>523 899,62</w:t>
            </w:r>
          </w:p>
        </w:tc>
      </w:tr>
      <w:tr>
        <w:tblPrEx>
          <w:tblW w:w="0" w:type="auto"/>
          <w:tblLayout w:type="fixed"/>
          <w:tblCellMar>
            <w:left w:w="0" w:type="dxa"/>
            <w:right w:w="0" w:type="dxa"/>
          </w:tblCellMar>
        </w:tblPrEx>
        <w:trPr>
          <w:trHeight w:hRule="exact" w:val="397"/>
        </w:trPr>
        <w:tc>
          <w:tcPr>
            <w:tcW w:w="6855" w:type="dxa"/>
            <w:tcBorders>
              <w:top w:val="single" w:sz="4"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jc w:val="both"/>
              <w:rPr>
                <w:rFonts w:ascii="Times New Roman" w:hAnsi="Times New Roman"/>
                <w:lang w:val="sk-SK"/>
              </w:rPr>
            </w:pPr>
            <w:r w:rsidRPr="00DA5B8F">
              <w:rPr>
                <w:rFonts w:ascii="Times New Roman" w:hAnsi="Times New Roman"/>
                <w:lang w:val="sk-SK"/>
              </w:rPr>
              <w:t>Výskumno–vývojový ústav pozemných stavieb NOVA, Bratislava.</w:t>
            </w:r>
          </w:p>
        </w:tc>
        <w:tc>
          <w:tcPr>
            <w:tcW w:w="25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hAnsi="Times New Roman"/>
                <w:lang w:val="sk-SK"/>
              </w:rPr>
            </w:pPr>
            <w:r w:rsidRPr="00DA5B8F">
              <w:rPr>
                <w:rFonts w:ascii="Times New Roman" w:hAnsi="Times New Roman"/>
                <w:lang w:val="sk-SK"/>
              </w:rPr>
              <w:t>48 164,39</w:t>
            </w:r>
          </w:p>
        </w:tc>
      </w:tr>
    </w:tbl>
    <w:p w:rsidR="002C3B67" w:rsidRPr="00DA5B8F">
      <w:pPr>
        <w:pStyle w:val="Caption"/>
        <w:bidi w:val="0"/>
        <w:rPr>
          <w:rFonts w:ascii="Times New Roman" w:hAnsi="Times New Roman"/>
          <w:color w:val="auto"/>
        </w:rPr>
      </w:pPr>
      <w:r w:rsidRPr="00DA5B8F">
        <w:rPr>
          <w:rFonts w:ascii="Times New Roman" w:hAnsi="Times New Roman"/>
          <w:color w:val="auto"/>
        </w:rPr>
        <w:t>Poznámka: Náklady na poistenie prenajatého majetku znáša nájomca</w:t>
      </w:r>
    </w:p>
    <w:p w:rsidR="002C3B67" w:rsidRPr="00DA5B8F" w:rsidP="00156767">
      <w:pPr>
        <w:pStyle w:val="BodyTextIndent1"/>
        <w:tabs>
          <w:tab w:val="num" w:pos="0"/>
        </w:tabs>
        <w:overflowPunct/>
        <w:autoSpaceDE/>
        <w:bidi w:val="0"/>
        <w:adjustRightInd/>
        <w:spacing w:before="360" w:line="252" w:lineRule="auto"/>
        <w:rPr>
          <w:rFonts w:ascii="Times New Roman" w:hAnsi="Times New Roman"/>
        </w:rPr>
      </w:pPr>
      <w:r w:rsidRPr="00DA5B8F" w:rsidR="00C6554F">
        <w:rPr>
          <w:rFonts w:ascii="Times New Roman" w:hAnsi="Times New Roman"/>
        </w:rPr>
        <w:t>Odbor vypracoval možné spôsoby naloženia s takto nadobudnutým majetkom fondu v zmysle zákonných možností. Fond zvažuje spôsob ďalšieho naloženia s majetkom nadobudnutého odstúpením od privatizačných zmlúv, resp. ktorý bol nadobudnutý iným spôsobom.</w:t>
      </w:r>
    </w:p>
    <w:p w:rsidR="002C3B67" w:rsidRPr="00DA5B8F">
      <w:pPr>
        <w:pStyle w:val="Heading3"/>
        <w:overflowPunct/>
        <w:autoSpaceDE/>
        <w:bidi w:val="0"/>
        <w:adjustRightInd/>
        <w:spacing w:before="360"/>
        <w:rPr>
          <w:rFonts w:ascii="Times New Roman" w:hAnsi="Times New Roman"/>
        </w:rPr>
      </w:pPr>
      <w:r w:rsidRPr="00DA5B8F">
        <w:rPr>
          <w:rFonts w:ascii="Times New Roman" w:hAnsi="Times New Roman"/>
        </w:rPr>
        <w:t>Pohľadávky z privatizácie</w:t>
      </w:r>
    </w:p>
    <w:p w:rsidR="002C3B67" w:rsidRPr="00DA5B8F" w:rsidP="00156767">
      <w:pPr>
        <w:pStyle w:val="BodyTextIndent1"/>
        <w:tabs>
          <w:tab w:val="num" w:pos="0"/>
        </w:tabs>
        <w:overflowPunct/>
        <w:autoSpaceDE/>
        <w:bidi w:val="0"/>
        <w:adjustRightInd/>
        <w:spacing w:before="360" w:line="252" w:lineRule="auto"/>
        <w:rPr>
          <w:rFonts w:ascii="Times New Roman" w:hAnsi="Times New Roman"/>
        </w:rPr>
      </w:pPr>
      <w:r w:rsidRPr="00DA5B8F">
        <w:rPr>
          <w:rFonts w:ascii="Times New Roman" w:hAnsi="Times New Roman"/>
        </w:rPr>
        <w:t>Jednu z významných položiek v majetku fondu predstavujú pohľadávky z privatizácie, ktoré sú vedené v účtovníctve fondu na analytických účtoch syntetického účtu „315“ - riadky „029“ a „033“ súvahy fondu. Analytika je v účtovníctve fondu vedená podľa jednotlivých zmlúv uzatvorených medzi fondom a nadobúdateľmi privatizovaného majetku/akcií. V tejto kategórii pohľadávok sú na osobitnom analytickom účte vedené aj iné pohľadávky</w:t>
      </w:r>
      <w:r w:rsidRPr="00DA5B8F" w:rsidR="00AD0C18">
        <w:rPr>
          <w:rFonts w:ascii="Times New Roman" w:hAnsi="Times New Roman"/>
        </w:rPr>
        <w:t xml:space="preserve">, napr. </w:t>
      </w:r>
      <w:r w:rsidRPr="00DA5B8F">
        <w:rPr>
          <w:rFonts w:ascii="Times New Roman" w:hAnsi="Times New Roman"/>
        </w:rPr>
        <w:t>pohľadávky za dividendy a pohľadávky na osobitnom účte MH SR. Odbor stratégie a zefektívnenia nakladania s majetkovými účasťami na žiadosť dozornej rady</w:t>
      </w:r>
      <w:r w:rsidRPr="00DA5B8F" w:rsidR="00A70905">
        <w:rPr>
          <w:rFonts w:ascii="Times New Roman" w:hAnsi="Times New Roman"/>
        </w:rPr>
        <w:t xml:space="preserve"> fondu</w:t>
      </w:r>
      <w:r w:rsidRPr="00DA5B8F">
        <w:rPr>
          <w:rFonts w:ascii="Times New Roman" w:hAnsi="Times New Roman"/>
        </w:rPr>
        <w:t>, pravidelne vypracováva a</w:t>
      </w:r>
      <w:r w:rsidRPr="00DA5B8F" w:rsidR="00A70905">
        <w:rPr>
          <w:rFonts w:ascii="Times New Roman" w:hAnsi="Times New Roman"/>
        </w:rPr>
        <w:t xml:space="preserve"> predkladá na jej rokovanie </w:t>
      </w:r>
      <w:r w:rsidRPr="00DA5B8F">
        <w:rPr>
          <w:rFonts w:ascii="Times New Roman" w:hAnsi="Times New Roman"/>
        </w:rPr>
        <w:t>informácie o pohľadávkach fondu z</w:t>
      </w:r>
      <w:r w:rsidRPr="00DA5B8F" w:rsidR="00A70905">
        <w:rPr>
          <w:rFonts w:ascii="Times New Roman" w:hAnsi="Times New Roman"/>
        </w:rPr>
        <w:t> </w:t>
      </w:r>
      <w:r w:rsidRPr="00DA5B8F">
        <w:rPr>
          <w:rFonts w:ascii="Times New Roman" w:hAnsi="Times New Roman"/>
        </w:rPr>
        <w:t>privatizácie</w:t>
      </w:r>
      <w:r w:rsidRPr="00DA5B8F" w:rsidR="00A70905">
        <w:rPr>
          <w:rFonts w:ascii="Times New Roman" w:hAnsi="Times New Roman"/>
        </w:rPr>
        <w:t>, schválené výkonným výborom fondu</w:t>
      </w:r>
      <w:r w:rsidRPr="00DA5B8F">
        <w:rPr>
          <w:rFonts w:ascii="Times New Roman" w:hAnsi="Times New Roman"/>
        </w:rPr>
        <w:t>.</w:t>
      </w:r>
    </w:p>
    <w:p w:rsidR="002C3B67" w:rsidRPr="00DA5B8F">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Stav pohľadávok FNM SR z privatizácie k 31. 12. 201</w:t>
      </w:r>
      <w:r w:rsidRPr="00DA5B8F" w:rsidR="00A85CB9">
        <w:rPr>
          <w:rFonts w:ascii="Times New Roman" w:hAnsi="Times New Roman"/>
        </w:rPr>
        <w:t>4</w:t>
      </w:r>
    </w:p>
    <w:tbl>
      <w:tblPr>
        <w:tblStyle w:val="TableNormal"/>
        <w:tblW w:w="0" w:type="auto"/>
        <w:tblBorders>
          <w:top w:val="single" w:sz="4" w:space="0" w:color="999999"/>
          <w:left w:val="single" w:sz="4" w:space="0" w:color="999999"/>
          <w:bottom w:val="single" w:sz="4" w:space="0" w:color="999999"/>
          <w:right w:val="single" w:sz="4" w:space="0" w:color="999999"/>
        </w:tblBorders>
        <w:tblLayout w:type="fixed"/>
        <w:tblCellMar>
          <w:left w:w="0" w:type="dxa"/>
          <w:right w:w="0" w:type="dxa"/>
        </w:tblCellMar>
      </w:tblPr>
      <w:tblGrid>
        <w:gridCol w:w="5955"/>
        <w:gridCol w:w="3420"/>
      </w:tblGrid>
      <w:tr>
        <w:tblPrEx>
          <w:tblW w:w="0" w:type="auto"/>
          <w:tblBorders>
            <w:top w:val="single" w:sz="4" w:space="0" w:color="999999"/>
            <w:left w:val="single" w:sz="4" w:space="0" w:color="999999"/>
            <w:bottom w:val="single" w:sz="4" w:space="0" w:color="999999"/>
            <w:right w:val="single" w:sz="4" w:space="0" w:color="999999"/>
          </w:tblBorders>
          <w:tblLayout w:type="fixed"/>
          <w:tblCellMar>
            <w:left w:w="0" w:type="dxa"/>
            <w:right w:w="0" w:type="dxa"/>
          </w:tblCellMar>
        </w:tblPrEx>
        <w:trPr>
          <w:cantSplit/>
          <w:trHeight w:val="276"/>
        </w:trPr>
        <w:tc>
          <w:tcPr>
            <w:tcW w:w="5955" w:type="dxa"/>
            <w:vMerge w:val="restart"/>
            <w:tcBorders>
              <w:top w:val="single" w:sz="4" w:space="0" w:color="999999"/>
              <w:left w:val="nil"/>
              <w:bottom w:val="double" w:sz="6" w:space="0" w:color="999999"/>
              <w:right w:val="nil"/>
            </w:tcBorders>
            <w:shd w:val="clear" w:color="auto" w:fill="CCCCFF"/>
            <w:noWrap/>
            <w:tcMar>
              <w:top w:w="15" w:type="dxa"/>
              <w:left w:w="15" w:type="dxa"/>
              <w:bottom w:w="0" w:type="dxa"/>
              <w:right w:w="15" w:type="dxa"/>
            </w:tcMar>
            <w:textDirection w:val="lrTb"/>
            <w:vAlign w:val="bottom"/>
          </w:tcPr>
          <w:p w:rsidR="002C3B67" w:rsidRPr="00DA5B8F">
            <w:pPr>
              <w:pStyle w:val="Heading9"/>
              <w:bidi w:val="0"/>
              <w:rPr>
                <w:rFonts w:ascii="Times New Roman" w:hAnsi="Times New Roman"/>
                <w:sz w:val="24"/>
                <w:szCs w:val="24"/>
              </w:rPr>
            </w:pPr>
            <w:r w:rsidRPr="00DA5B8F">
              <w:rPr>
                <w:rFonts w:ascii="Times New Roman" w:hAnsi="Times New Roman"/>
                <w:sz w:val="24"/>
                <w:szCs w:val="24"/>
              </w:rPr>
              <w:t>Názov</w:t>
            </w:r>
          </w:p>
          <w:p w:rsidR="002C3B67" w:rsidRPr="00DA5B8F">
            <w:pPr>
              <w:bidi w:val="0"/>
              <w:rPr>
                <w:rFonts w:ascii="Times New Roman" w:eastAsia="Arial Unicode MS" w:hAnsi="Times New Roman"/>
                <w:lang w:val="sk-SK"/>
              </w:rPr>
            </w:pPr>
          </w:p>
        </w:tc>
        <w:tc>
          <w:tcPr>
            <w:tcW w:w="3420" w:type="dxa"/>
            <w:vMerge w:val="restart"/>
            <w:tcBorders>
              <w:top w:val="single" w:sz="4" w:space="0" w:color="999999"/>
              <w:left w:val="nil"/>
              <w:bottom w:val="double" w:sz="6" w:space="0" w:color="999999"/>
              <w:right w:val="nil"/>
            </w:tcBorders>
            <w:shd w:val="clear" w:color="auto" w:fill="CCCCFF"/>
            <w:tcMar>
              <w:top w:w="15" w:type="dxa"/>
              <w:left w:w="15" w:type="dxa"/>
              <w:bottom w:w="0" w:type="dxa"/>
              <w:right w:w="15" w:type="dxa"/>
            </w:tcMar>
            <w:textDirection w:val="lrTb"/>
            <w:vAlign w:val="bottom"/>
          </w:tcPr>
          <w:p w:rsidR="002C3B67" w:rsidRPr="00DA5B8F">
            <w:pPr>
              <w:pStyle w:val="Heading6"/>
              <w:bidi w:val="0"/>
              <w:rPr>
                <w:rFonts w:ascii="Times New Roman" w:eastAsia="Arial Unicode MS" w:hAnsi="Times New Roman"/>
                <w:sz w:val="24"/>
                <w:szCs w:val="24"/>
              </w:rPr>
            </w:pPr>
            <w:r w:rsidRPr="00DA5B8F">
              <w:rPr>
                <w:rFonts w:ascii="Times New Roman" w:hAnsi="Times New Roman"/>
                <w:sz w:val="24"/>
                <w:szCs w:val="24"/>
              </w:rPr>
              <w:t>Stav k 31. 12. 201</w:t>
            </w:r>
            <w:r w:rsidRPr="00DA5B8F" w:rsidR="00A85CB9">
              <w:rPr>
                <w:rFonts w:ascii="Times New Roman" w:hAnsi="Times New Roman"/>
                <w:sz w:val="24"/>
                <w:szCs w:val="24"/>
              </w:rPr>
              <w:t>4</w:t>
            </w:r>
          </w:p>
          <w:p w:rsidR="002C3B67" w:rsidRPr="00DA5B8F">
            <w:pPr>
              <w:bidi w:val="0"/>
              <w:jc w:val="center"/>
              <w:rPr>
                <w:rFonts w:ascii="Times New Roman" w:eastAsia="Arial Unicode MS" w:hAnsi="Times New Roman"/>
                <w:b/>
                <w:bCs/>
                <w:lang w:val="sk-SK"/>
              </w:rPr>
            </w:pPr>
            <w:r w:rsidRPr="00DA5B8F">
              <w:rPr>
                <w:rFonts w:ascii="Times New Roman" w:hAnsi="Times New Roman"/>
                <w:b/>
                <w:bCs/>
                <w:lang w:val="sk-SK"/>
              </w:rPr>
              <w:t>(v Eur)</w:t>
            </w:r>
          </w:p>
        </w:tc>
      </w:tr>
      <w:tr>
        <w:tblPrEx>
          <w:tblW w:w="0" w:type="auto"/>
          <w:tblLayout w:type="fixed"/>
          <w:tblCellMar>
            <w:left w:w="0" w:type="dxa"/>
            <w:right w:w="0" w:type="dxa"/>
          </w:tblCellMar>
        </w:tblPrEx>
        <w:trPr>
          <w:cantSplit/>
          <w:trHeight w:val="276"/>
        </w:trPr>
        <w:tc>
          <w:tcPr>
            <w:tcW w:w="5955" w:type="dxa"/>
            <w:vMerge/>
            <w:tcBorders>
              <w:top w:val="nil"/>
              <w:left w:val="nil"/>
              <w:bottom w:val="double" w:sz="6" w:space="0" w:color="999999"/>
              <w:right w:val="nil"/>
            </w:tcBorders>
            <w:shd w:val="clear" w:color="auto" w:fill="CCCCFF"/>
            <w:textDirection w:val="lrTb"/>
            <w:vAlign w:val="center"/>
          </w:tcPr>
          <w:p w:rsidR="002C3B67" w:rsidRPr="00DA5B8F">
            <w:pPr>
              <w:bidi w:val="0"/>
              <w:rPr>
                <w:rFonts w:ascii="Times New Roman" w:eastAsia="Arial Unicode MS" w:hAnsi="Times New Roman"/>
                <w:lang w:val="sk-SK"/>
              </w:rPr>
            </w:pPr>
          </w:p>
        </w:tc>
        <w:tc>
          <w:tcPr>
            <w:tcW w:w="3420" w:type="dxa"/>
            <w:vMerge/>
            <w:tcBorders>
              <w:top w:val="nil"/>
              <w:left w:val="nil"/>
              <w:bottom w:val="double" w:sz="6" w:space="0" w:color="999999"/>
              <w:right w:val="nil"/>
            </w:tcBorders>
            <w:shd w:val="clear" w:color="auto" w:fill="CCCCFF"/>
            <w:textDirection w:val="lrTb"/>
            <w:vAlign w:val="center"/>
          </w:tcPr>
          <w:p w:rsidR="002C3B67" w:rsidRPr="00DA5B8F">
            <w:pPr>
              <w:bidi w:val="0"/>
              <w:rPr>
                <w:rFonts w:ascii="Times New Roman" w:eastAsia="Arial Unicode MS" w:hAnsi="Times New Roman"/>
                <w:b/>
                <w:bCs/>
                <w:lang w:val="sk-SK"/>
              </w:rPr>
            </w:pPr>
          </w:p>
        </w:tc>
      </w:tr>
      <w:tr>
        <w:tblPrEx>
          <w:tblW w:w="0" w:type="auto"/>
          <w:tblLayout w:type="fixed"/>
          <w:tblCellMar>
            <w:left w:w="0" w:type="dxa"/>
            <w:right w:w="0" w:type="dxa"/>
          </w:tblCellMar>
        </w:tblPrEx>
        <w:trPr>
          <w:trHeight w:hRule="exact" w:val="397"/>
        </w:trPr>
        <w:tc>
          <w:tcPr>
            <w:tcW w:w="5955" w:type="dxa"/>
            <w:tcBorders>
              <w:top w:val="double" w:sz="6"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jc w:val="both"/>
              <w:rPr>
                <w:rFonts w:ascii="Times New Roman" w:eastAsia="Arial Unicode MS" w:hAnsi="Times New Roman"/>
                <w:b/>
                <w:bCs/>
                <w:lang w:val="sk-SK"/>
              </w:rPr>
            </w:pPr>
            <w:r w:rsidRPr="00DA5B8F">
              <w:rPr>
                <w:rFonts w:ascii="Times New Roman" w:hAnsi="Times New Roman"/>
                <w:b/>
                <w:bCs/>
                <w:lang w:val="sk-SK"/>
              </w:rPr>
              <w:t>Pohľadávky z privatizácie celkom - z toho:</w:t>
            </w:r>
          </w:p>
        </w:tc>
        <w:tc>
          <w:tcPr>
            <w:tcW w:w="3420" w:type="dxa"/>
            <w:tcBorders>
              <w:top w:val="double" w:sz="6"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eastAsia="Arial Unicode MS" w:hAnsi="Times New Roman"/>
                <w:b/>
                <w:bCs/>
                <w:lang w:val="sk-SK"/>
              </w:rPr>
            </w:pPr>
            <w:r w:rsidRPr="00DA5B8F" w:rsidR="00AD0C18">
              <w:rPr>
                <w:rFonts w:ascii="Times New Roman" w:hAnsi="Times New Roman"/>
                <w:b/>
                <w:bCs/>
                <w:lang w:val="sk-SK"/>
              </w:rPr>
              <w:t>56 458 552,43</w:t>
            </w:r>
            <w:r w:rsidRPr="00DA5B8F" w:rsidR="00A970B3">
              <w:rPr>
                <w:rFonts w:ascii="Times New Roman" w:hAnsi="Times New Roman"/>
                <w:b/>
                <w:bCs/>
                <w:lang w:val="sk-SK"/>
              </w:rPr>
              <w:t xml:space="preserve"> </w:t>
            </w:r>
          </w:p>
        </w:tc>
      </w:tr>
      <w:tr>
        <w:tblPrEx>
          <w:tblW w:w="0" w:type="auto"/>
          <w:tblLayout w:type="fixed"/>
          <w:tblCellMar>
            <w:left w:w="0" w:type="dxa"/>
            <w:right w:w="0" w:type="dxa"/>
          </w:tblCellMar>
        </w:tblPrEx>
        <w:trPr>
          <w:trHeight w:hRule="exact" w:val="397"/>
        </w:trPr>
        <w:tc>
          <w:tcPr>
            <w:tcW w:w="5955" w:type="dxa"/>
            <w:tcBorders>
              <w:top w:val="single" w:sz="4" w:space="0" w:color="999999"/>
              <w:left w:val="nil"/>
              <w:bottom w:val="single" w:sz="4" w:space="0" w:color="999999"/>
              <w:right w:val="nil"/>
            </w:tcBorders>
            <w:shd w:val="clear" w:color="auto" w:fill="FFFFFF"/>
            <w:noWrap/>
            <w:tcMar>
              <w:top w:w="15" w:type="dxa"/>
              <w:left w:w="15" w:type="dxa"/>
              <w:bottom w:w="0" w:type="dxa"/>
              <w:right w:w="15" w:type="dxa"/>
            </w:tcMar>
            <w:textDirection w:val="lrTb"/>
            <w:vAlign w:val="center"/>
          </w:tcPr>
          <w:p w:rsidR="002C3B67" w:rsidRPr="00DA5B8F" w:rsidP="001F7099">
            <w:pPr>
              <w:bidi w:val="0"/>
              <w:ind w:left="360"/>
              <w:jc w:val="both"/>
              <w:rPr>
                <w:rFonts w:ascii="Times New Roman" w:eastAsia="Arial Unicode MS" w:hAnsi="Times New Roman"/>
                <w:b/>
                <w:bCs/>
                <w:lang w:val="sk-SK"/>
              </w:rPr>
            </w:pPr>
            <w:r w:rsidRPr="00DA5B8F">
              <w:rPr>
                <w:rFonts w:ascii="Times New Roman" w:hAnsi="Times New Roman"/>
                <w:b/>
                <w:bCs/>
                <w:lang w:val="sk-SK"/>
              </w:rPr>
              <w:t>1) v lehote splatnosti</w:t>
            </w:r>
          </w:p>
        </w:tc>
        <w:tc>
          <w:tcPr>
            <w:tcW w:w="34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eastAsia="Arial Unicode MS" w:hAnsi="Times New Roman"/>
                <w:b/>
                <w:bCs/>
                <w:lang w:val="sk-SK"/>
              </w:rPr>
            </w:pPr>
            <w:r w:rsidRPr="00DA5B8F" w:rsidR="00A85CB9">
              <w:rPr>
                <w:rFonts w:ascii="Times New Roman" w:hAnsi="Times New Roman"/>
                <w:b/>
                <w:bCs/>
                <w:lang w:val="sk-SK"/>
              </w:rPr>
              <w:t>4</w:t>
            </w:r>
            <w:r w:rsidRPr="00DA5B8F">
              <w:rPr>
                <w:rFonts w:ascii="Times New Roman" w:hAnsi="Times New Roman"/>
                <w:b/>
                <w:bCs/>
                <w:lang w:val="sk-SK"/>
              </w:rPr>
              <w:t> </w:t>
            </w:r>
            <w:r w:rsidRPr="00DA5B8F" w:rsidR="00A85CB9">
              <w:rPr>
                <w:rFonts w:ascii="Times New Roman" w:hAnsi="Times New Roman"/>
                <w:b/>
                <w:bCs/>
                <w:lang w:val="sk-SK"/>
              </w:rPr>
              <w:t>965</w:t>
            </w:r>
            <w:r w:rsidRPr="00DA5B8F">
              <w:rPr>
                <w:rFonts w:ascii="Times New Roman" w:hAnsi="Times New Roman"/>
                <w:b/>
                <w:bCs/>
                <w:lang w:val="sk-SK"/>
              </w:rPr>
              <w:t>,</w:t>
            </w:r>
            <w:r w:rsidRPr="00DA5B8F" w:rsidR="00A85CB9">
              <w:rPr>
                <w:rFonts w:ascii="Times New Roman" w:hAnsi="Times New Roman"/>
                <w:b/>
                <w:bCs/>
                <w:lang w:val="sk-SK"/>
              </w:rPr>
              <w:t>46</w:t>
            </w:r>
          </w:p>
        </w:tc>
      </w:tr>
      <w:tr>
        <w:tblPrEx>
          <w:tblW w:w="0" w:type="auto"/>
          <w:tblLayout w:type="fixed"/>
          <w:tblCellMar>
            <w:left w:w="0" w:type="dxa"/>
            <w:right w:w="0" w:type="dxa"/>
          </w:tblCellMar>
        </w:tblPrEx>
        <w:trPr>
          <w:trHeight w:hRule="exact" w:val="397"/>
        </w:trPr>
        <w:tc>
          <w:tcPr>
            <w:tcW w:w="5955" w:type="dxa"/>
            <w:tcBorders>
              <w:top w:val="single" w:sz="4" w:space="0" w:color="999999"/>
              <w:left w:val="nil"/>
              <w:bottom w:val="nil"/>
              <w:right w:val="nil"/>
            </w:tcBorders>
            <w:shd w:val="clear" w:color="auto" w:fill="FFFFFF"/>
            <w:tcMar>
              <w:top w:w="15" w:type="dxa"/>
              <w:left w:w="15" w:type="dxa"/>
              <w:bottom w:w="0" w:type="dxa"/>
              <w:right w:w="15" w:type="dxa"/>
            </w:tcMar>
            <w:textDirection w:val="lrTb"/>
            <w:vAlign w:val="center"/>
          </w:tcPr>
          <w:p w:rsidR="002C3B67" w:rsidRPr="00DA5B8F" w:rsidP="001F7099">
            <w:pPr>
              <w:bidi w:val="0"/>
              <w:ind w:left="360"/>
              <w:jc w:val="both"/>
              <w:rPr>
                <w:rFonts w:ascii="Times New Roman" w:hAnsi="Times New Roman"/>
                <w:b/>
                <w:bCs/>
                <w:lang w:val="sk-SK"/>
              </w:rPr>
            </w:pPr>
            <w:r w:rsidRPr="00DA5B8F">
              <w:rPr>
                <w:rFonts w:ascii="Times New Roman" w:hAnsi="Times New Roman"/>
                <w:b/>
                <w:bCs/>
                <w:lang w:val="sk-SK"/>
              </w:rPr>
              <w:t>2) po lehote splatnosti</w:t>
            </w:r>
            <w:r w:rsidRPr="00DA5B8F" w:rsidR="00AD0C18">
              <w:rPr>
                <w:rFonts w:ascii="Times New Roman" w:hAnsi="Times New Roman"/>
                <w:b/>
                <w:bCs/>
                <w:lang w:val="sk-SK"/>
              </w:rPr>
              <w:t xml:space="preserve"> – z toho</w:t>
            </w:r>
            <w:r w:rsidRPr="00DA5B8F">
              <w:rPr>
                <w:rFonts w:ascii="Times New Roman" w:hAnsi="Times New Roman"/>
                <w:b/>
                <w:bCs/>
                <w:lang w:val="sk-SK"/>
              </w:rPr>
              <w:t>:</w:t>
            </w:r>
          </w:p>
        </w:tc>
        <w:tc>
          <w:tcPr>
            <w:tcW w:w="3420" w:type="dxa"/>
            <w:tcBorders>
              <w:top w:val="single" w:sz="4" w:space="0" w:color="999999"/>
              <w:left w:val="nil"/>
              <w:bottom w:val="nil"/>
              <w:right w:val="nil"/>
            </w:tcBorders>
            <w:noWrap/>
            <w:tcMar>
              <w:top w:w="15" w:type="dxa"/>
              <w:left w:w="15" w:type="dxa"/>
              <w:bottom w:w="0" w:type="dxa"/>
              <w:right w:w="15" w:type="dxa"/>
            </w:tcMar>
            <w:textDirection w:val="lrTb"/>
            <w:vAlign w:val="center"/>
          </w:tcPr>
          <w:p w:rsidR="002C3B67" w:rsidRPr="00DA5B8F" w:rsidP="001F7099">
            <w:pPr>
              <w:bidi w:val="0"/>
              <w:ind w:left="180"/>
              <w:jc w:val="right"/>
              <w:rPr>
                <w:rFonts w:ascii="Times New Roman" w:hAnsi="Times New Roman"/>
                <w:b/>
                <w:bCs/>
                <w:lang w:val="sk-SK"/>
              </w:rPr>
            </w:pPr>
            <w:r w:rsidRPr="00DA5B8F" w:rsidR="00A85CB9">
              <w:rPr>
                <w:rFonts w:ascii="Times New Roman" w:hAnsi="Times New Roman"/>
                <w:b/>
                <w:bCs/>
                <w:lang w:val="sk-SK"/>
              </w:rPr>
              <w:t>49</w:t>
            </w:r>
            <w:r w:rsidRPr="00DA5B8F">
              <w:rPr>
                <w:rFonts w:ascii="Times New Roman" w:hAnsi="Times New Roman"/>
                <w:b/>
                <w:bCs/>
                <w:lang w:val="sk-SK"/>
              </w:rPr>
              <w:t> 4</w:t>
            </w:r>
            <w:r w:rsidRPr="00DA5B8F" w:rsidR="00A85CB9">
              <w:rPr>
                <w:rFonts w:ascii="Times New Roman" w:hAnsi="Times New Roman"/>
                <w:b/>
                <w:bCs/>
                <w:lang w:val="sk-SK"/>
              </w:rPr>
              <w:t>38</w:t>
            </w:r>
            <w:r w:rsidRPr="00DA5B8F">
              <w:rPr>
                <w:rFonts w:ascii="Times New Roman" w:hAnsi="Times New Roman"/>
                <w:b/>
                <w:bCs/>
                <w:lang w:val="sk-SK"/>
              </w:rPr>
              <w:t> </w:t>
            </w:r>
            <w:r w:rsidRPr="00DA5B8F" w:rsidR="00A85CB9">
              <w:rPr>
                <w:rFonts w:ascii="Times New Roman" w:hAnsi="Times New Roman"/>
                <w:b/>
                <w:bCs/>
                <w:lang w:val="sk-SK"/>
              </w:rPr>
              <w:t>047</w:t>
            </w:r>
            <w:r w:rsidRPr="00DA5B8F">
              <w:rPr>
                <w:rFonts w:ascii="Times New Roman" w:hAnsi="Times New Roman"/>
                <w:b/>
                <w:bCs/>
                <w:lang w:val="sk-SK"/>
              </w:rPr>
              <w:t>,</w:t>
            </w:r>
            <w:r w:rsidRPr="00DA5B8F" w:rsidR="00A85CB9">
              <w:rPr>
                <w:rFonts w:ascii="Times New Roman" w:hAnsi="Times New Roman"/>
                <w:b/>
                <w:bCs/>
                <w:lang w:val="sk-SK"/>
              </w:rPr>
              <w:t>90</w:t>
            </w:r>
          </w:p>
        </w:tc>
      </w:tr>
      <w:tr>
        <w:tblPrEx>
          <w:tblW w:w="0" w:type="auto"/>
          <w:tblLayout w:type="fixed"/>
          <w:tblCellMar>
            <w:left w:w="0" w:type="dxa"/>
            <w:right w:w="0" w:type="dxa"/>
          </w:tblCellMar>
        </w:tblPrEx>
        <w:trPr>
          <w:trHeight w:hRule="exact" w:val="397"/>
        </w:trPr>
        <w:tc>
          <w:tcPr>
            <w:tcW w:w="5955" w:type="dxa"/>
            <w:tcBorders>
              <w:top w:val="nil"/>
              <w:left w:val="nil"/>
              <w:bottom w:val="nil"/>
              <w:right w:val="nil"/>
            </w:tcBorders>
            <w:shd w:val="clear" w:color="auto" w:fill="FFFFFF"/>
            <w:tcMar>
              <w:top w:w="15" w:type="dxa"/>
              <w:left w:w="15" w:type="dxa"/>
              <w:bottom w:w="0" w:type="dxa"/>
              <w:right w:w="15" w:type="dxa"/>
            </w:tcMar>
            <w:textDirection w:val="lrTb"/>
            <w:vAlign w:val="center"/>
          </w:tcPr>
          <w:p w:rsidR="002C3B67" w:rsidRPr="00DA5B8F" w:rsidP="001F7099">
            <w:pPr>
              <w:bidi w:val="0"/>
              <w:ind w:left="720"/>
              <w:jc w:val="both"/>
              <w:rPr>
                <w:rFonts w:ascii="Times New Roman" w:eastAsia="Arial Unicode MS" w:hAnsi="Times New Roman"/>
                <w:lang w:val="sk-SK"/>
              </w:rPr>
            </w:pPr>
            <w:r w:rsidRPr="00DA5B8F">
              <w:rPr>
                <w:rFonts w:ascii="Times New Roman" w:hAnsi="Times New Roman"/>
                <w:lang w:val="sk-SK"/>
              </w:rPr>
              <w:t>2.1. v konkurzoch, likvidáciách a</w:t>
            </w:r>
            <w:r w:rsidRPr="00DA5B8F" w:rsidR="00B96C1E">
              <w:rPr>
                <w:rFonts w:ascii="Times New Roman" w:hAnsi="Times New Roman"/>
                <w:lang w:val="sk-SK"/>
              </w:rPr>
              <w:t> </w:t>
            </w:r>
            <w:r w:rsidRPr="00DA5B8F">
              <w:rPr>
                <w:rFonts w:ascii="Times New Roman" w:hAnsi="Times New Roman"/>
                <w:lang w:val="sk-SK"/>
              </w:rPr>
              <w:t>exekúciách</w:t>
            </w:r>
          </w:p>
        </w:tc>
        <w:tc>
          <w:tcPr>
            <w:tcW w:w="3420" w:type="dxa"/>
            <w:tcBorders>
              <w:top w:val="nil"/>
              <w:left w:val="nil"/>
              <w:bottom w:val="nil"/>
              <w:right w:val="nil"/>
            </w:tcBorders>
            <w:noWrap/>
            <w:tcMar>
              <w:top w:w="15" w:type="dxa"/>
              <w:left w:w="15" w:type="dxa"/>
              <w:bottom w:w="0" w:type="dxa"/>
              <w:right w:w="15" w:type="dxa"/>
            </w:tcMar>
            <w:textDirection w:val="lrTb"/>
            <w:vAlign w:val="center"/>
          </w:tcPr>
          <w:p w:rsidR="002C3B67" w:rsidRPr="00DA5B8F" w:rsidP="001F7099">
            <w:pPr>
              <w:bidi w:val="0"/>
              <w:jc w:val="right"/>
              <w:rPr>
                <w:rFonts w:ascii="Times New Roman" w:eastAsia="Arial Unicode MS" w:hAnsi="Times New Roman"/>
                <w:lang w:val="sk-SK"/>
              </w:rPr>
            </w:pPr>
            <w:r w:rsidRPr="00DA5B8F" w:rsidR="00A85CB9">
              <w:rPr>
                <w:rFonts w:ascii="Times New Roman" w:hAnsi="Times New Roman"/>
                <w:lang w:val="sk-SK"/>
              </w:rPr>
              <w:t>36</w:t>
            </w:r>
            <w:r w:rsidRPr="00DA5B8F">
              <w:rPr>
                <w:rFonts w:ascii="Times New Roman" w:hAnsi="Times New Roman"/>
                <w:lang w:val="sk-SK"/>
              </w:rPr>
              <w:t> </w:t>
            </w:r>
            <w:r w:rsidRPr="00DA5B8F" w:rsidR="00A85CB9">
              <w:rPr>
                <w:rFonts w:ascii="Times New Roman" w:hAnsi="Times New Roman"/>
                <w:lang w:val="sk-SK"/>
              </w:rPr>
              <w:t>840</w:t>
            </w:r>
            <w:r w:rsidRPr="00DA5B8F">
              <w:rPr>
                <w:rFonts w:ascii="Times New Roman" w:hAnsi="Times New Roman"/>
                <w:lang w:val="sk-SK"/>
              </w:rPr>
              <w:t> </w:t>
            </w:r>
            <w:r w:rsidRPr="00DA5B8F" w:rsidR="00A85CB9">
              <w:rPr>
                <w:rFonts w:ascii="Times New Roman" w:hAnsi="Times New Roman"/>
                <w:lang w:val="sk-SK"/>
              </w:rPr>
              <w:t>973</w:t>
            </w:r>
            <w:r w:rsidRPr="00DA5B8F">
              <w:rPr>
                <w:rFonts w:ascii="Times New Roman" w:hAnsi="Times New Roman"/>
                <w:lang w:val="sk-SK"/>
              </w:rPr>
              <w:t>,</w:t>
            </w:r>
            <w:r w:rsidRPr="00DA5B8F" w:rsidR="00A85CB9">
              <w:rPr>
                <w:rFonts w:ascii="Times New Roman" w:hAnsi="Times New Roman"/>
                <w:lang w:val="sk-SK"/>
              </w:rPr>
              <w:t>90</w:t>
            </w:r>
          </w:p>
        </w:tc>
      </w:tr>
      <w:tr>
        <w:tblPrEx>
          <w:tblW w:w="0" w:type="auto"/>
          <w:tblLayout w:type="fixed"/>
          <w:tblCellMar>
            <w:left w:w="0" w:type="dxa"/>
            <w:right w:w="0" w:type="dxa"/>
          </w:tblCellMar>
        </w:tblPrEx>
        <w:trPr>
          <w:trHeight w:hRule="exact" w:val="397"/>
        </w:trPr>
        <w:tc>
          <w:tcPr>
            <w:tcW w:w="5955" w:type="dxa"/>
            <w:tcBorders>
              <w:top w:val="nil"/>
              <w:left w:val="nil"/>
              <w:bottom w:val="nil"/>
              <w:right w:val="nil"/>
            </w:tcBorders>
            <w:shd w:val="clear" w:color="auto" w:fill="FFFFFF"/>
            <w:noWrap/>
            <w:tcMar>
              <w:top w:w="15" w:type="dxa"/>
              <w:left w:w="15" w:type="dxa"/>
              <w:bottom w:w="0" w:type="dxa"/>
              <w:right w:w="15" w:type="dxa"/>
            </w:tcMar>
            <w:textDirection w:val="lrTb"/>
            <w:vAlign w:val="center"/>
          </w:tcPr>
          <w:p w:rsidR="002C3B67" w:rsidRPr="00DA5B8F" w:rsidP="001F7099">
            <w:pPr>
              <w:bidi w:val="0"/>
              <w:ind w:left="720"/>
              <w:jc w:val="both"/>
              <w:rPr>
                <w:rFonts w:ascii="Times New Roman" w:hAnsi="Times New Roman"/>
                <w:lang w:val="sk-SK"/>
              </w:rPr>
            </w:pPr>
            <w:r w:rsidRPr="00DA5B8F">
              <w:rPr>
                <w:rFonts w:ascii="Times New Roman" w:hAnsi="Times New Roman"/>
                <w:lang w:val="sk-SK"/>
              </w:rPr>
              <w:t>2.2. v príprave na odpis</w:t>
            </w:r>
          </w:p>
        </w:tc>
        <w:tc>
          <w:tcPr>
            <w:tcW w:w="3420" w:type="dxa"/>
            <w:tcBorders>
              <w:top w:val="nil"/>
              <w:left w:val="nil"/>
              <w:bottom w:val="nil"/>
              <w:right w:val="nil"/>
            </w:tcBorders>
            <w:noWrap/>
            <w:tcMar>
              <w:top w:w="15" w:type="dxa"/>
              <w:left w:w="15" w:type="dxa"/>
              <w:bottom w:w="0" w:type="dxa"/>
              <w:right w:w="15" w:type="dxa"/>
            </w:tcMar>
            <w:textDirection w:val="lrTb"/>
            <w:vAlign w:val="center"/>
          </w:tcPr>
          <w:p w:rsidR="002C3B67" w:rsidRPr="00DA5B8F" w:rsidP="001F7099">
            <w:pPr>
              <w:bidi w:val="0"/>
              <w:ind w:left="720"/>
              <w:jc w:val="right"/>
              <w:rPr>
                <w:rFonts w:ascii="Times New Roman" w:hAnsi="Times New Roman"/>
                <w:lang w:val="sk-SK"/>
              </w:rPr>
            </w:pPr>
            <w:r w:rsidRPr="00DA5B8F" w:rsidR="00A85CB9">
              <w:rPr>
                <w:rFonts w:ascii="Times New Roman" w:hAnsi="Times New Roman"/>
                <w:lang w:val="sk-SK"/>
              </w:rPr>
              <w:t>554</w:t>
            </w:r>
            <w:r w:rsidRPr="00DA5B8F">
              <w:rPr>
                <w:rFonts w:ascii="Times New Roman" w:hAnsi="Times New Roman"/>
                <w:lang w:val="sk-SK"/>
              </w:rPr>
              <w:t> </w:t>
            </w:r>
            <w:r w:rsidRPr="00DA5B8F" w:rsidR="00A85CB9">
              <w:rPr>
                <w:rFonts w:ascii="Times New Roman" w:hAnsi="Times New Roman"/>
                <w:lang w:val="sk-SK"/>
              </w:rPr>
              <w:t>980</w:t>
            </w:r>
            <w:r w:rsidRPr="00DA5B8F">
              <w:rPr>
                <w:rFonts w:ascii="Times New Roman" w:hAnsi="Times New Roman"/>
                <w:lang w:val="sk-SK"/>
              </w:rPr>
              <w:t>,</w:t>
            </w:r>
            <w:r w:rsidRPr="00DA5B8F" w:rsidR="00A85CB9">
              <w:rPr>
                <w:rFonts w:ascii="Times New Roman" w:hAnsi="Times New Roman"/>
                <w:lang w:val="sk-SK"/>
              </w:rPr>
              <w:t>96</w:t>
            </w:r>
          </w:p>
        </w:tc>
      </w:tr>
      <w:tr>
        <w:tblPrEx>
          <w:tblW w:w="0" w:type="auto"/>
          <w:tblLayout w:type="fixed"/>
          <w:tblCellMar>
            <w:left w:w="0" w:type="dxa"/>
            <w:right w:w="0" w:type="dxa"/>
          </w:tblCellMar>
        </w:tblPrEx>
        <w:trPr>
          <w:trHeight w:hRule="exact" w:val="397"/>
        </w:trPr>
        <w:tc>
          <w:tcPr>
            <w:tcW w:w="5955" w:type="dxa"/>
            <w:tcBorders>
              <w:top w:val="nil"/>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ind w:left="720"/>
              <w:jc w:val="both"/>
              <w:rPr>
                <w:rFonts w:ascii="Times New Roman" w:hAnsi="Times New Roman"/>
                <w:lang w:val="sk-SK"/>
              </w:rPr>
            </w:pPr>
            <w:r w:rsidRPr="00DA5B8F">
              <w:rPr>
                <w:rFonts w:ascii="Times New Roman" w:hAnsi="Times New Roman"/>
                <w:lang w:val="sk-SK"/>
              </w:rPr>
              <w:t>2.3. vymáhané súdnou cestou</w:t>
            </w:r>
          </w:p>
        </w:tc>
        <w:tc>
          <w:tcPr>
            <w:tcW w:w="3420" w:type="dxa"/>
            <w:tcBorders>
              <w:top w:val="nil"/>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ind w:left="720"/>
              <w:jc w:val="right"/>
              <w:rPr>
                <w:rFonts w:ascii="Times New Roman" w:hAnsi="Times New Roman"/>
                <w:lang w:val="sk-SK"/>
              </w:rPr>
            </w:pPr>
            <w:r w:rsidRPr="00DA5B8F">
              <w:rPr>
                <w:rFonts w:ascii="Times New Roman" w:hAnsi="Times New Roman"/>
                <w:lang w:val="sk-SK"/>
              </w:rPr>
              <w:t>12 0</w:t>
            </w:r>
            <w:r w:rsidRPr="00DA5B8F" w:rsidR="00A85CB9">
              <w:rPr>
                <w:rFonts w:ascii="Times New Roman" w:hAnsi="Times New Roman"/>
                <w:lang w:val="sk-SK"/>
              </w:rPr>
              <w:t>42</w:t>
            </w:r>
            <w:r w:rsidRPr="00DA5B8F">
              <w:rPr>
                <w:rFonts w:ascii="Times New Roman" w:hAnsi="Times New Roman"/>
                <w:lang w:val="sk-SK"/>
              </w:rPr>
              <w:t> </w:t>
            </w:r>
            <w:r w:rsidRPr="00DA5B8F" w:rsidR="00A85CB9">
              <w:rPr>
                <w:rFonts w:ascii="Times New Roman" w:hAnsi="Times New Roman"/>
                <w:lang w:val="sk-SK"/>
              </w:rPr>
              <w:t>093</w:t>
            </w:r>
            <w:r w:rsidRPr="00DA5B8F">
              <w:rPr>
                <w:rFonts w:ascii="Times New Roman" w:hAnsi="Times New Roman"/>
                <w:lang w:val="sk-SK"/>
              </w:rPr>
              <w:t>,</w:t>
            </w:r>
            <w:r w:rsidRPr="00DA5B8F" w:rsidR="00A85CB9">
              <w:rPr>
                <w:rFonts w:ascii="Times New Roman" w:hAnsi="Times New Roman"/>
                <w:lang w:val="sk-SK"/>
              </w:rPr>
              <w:t>04</w:t>
            </w:r>
          </w:p>
        </w:tc>
      </w:tr>
      <w:tr>
        <w:tblPrEx>
          <w:tblW w:w="0" w:type="auto"/>
          <w:tblLayout w:type="fixed"/>
          <w:tblCellMar>
            <w:left w:w="0" w:type="dxa"/>
            <w:right w:w="0" w:type="dxa"/>
          </w:tblCellMar>
        </w:tblPrEx>
        <w:trPr>
          <w:trHeight w:hRule="exact" w:val="397"/>
        </w:trPr>
        <w:tc>
          <w:tcPr>
            <w:tcW w:w="5955" w:type="dxa"/>
            <w:tcBorders>
              <w:top w:val="single" w:sz="4"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2C3B67" w:rsidRPr="00DA5B8F" w:rsidP="001F7099">
            <w:pPr>
              <w:bidi w:val="0"/>
              <w:ind w:left="360"/>
              <w:jc w:val="both"/>
              <w:rPr>
                <w:rFonts w:ascii="Times New Roman" w:hAnsi="Times New Roman"/>
                <w:b/>
                <w:bCs/>
                <w:lang w:val="sk-SK"/>
              </w:rPr>
            </w:pPr>
            <w:r w:rsidRPr="00DA5B8F">
              <w:rPr>
                <w:rFonts w:ascii="Times New Roman" w:hAnsi="Times New Roman"/>
                <w:b/>
                <w:bCs/>
                <w:lang w:val="sk-SK"/>
              </w:rPr>
              <w:t>3) príjem osobitného účtu MH SR</w:t>
            </w:r>
          </w:p>
        </w:tc>
        <w:tc>
          <w:tcPr>
            <w:tcW w:w="3420" w:type="dxa"/>
            <w:tcBorders>
              <w:top w:val="single" w:sz="4" w:space="0" w:color="999999"/>
              <w:left w:val="nil"/>
              <w:bottom w:val="single" w:sz="4" w:space="0" w:color="999999"/>
              <w:right w:val="nil"/>
            </w:tcBorders>
            <w:noWrap/>
            <w:tcMar>
              <w:top w:w="15" w:type="dxa"/>
              <w:left w:w="15" w:type="dxa"/>
              <w:bottom w:w="0" w:type="dxa"/>
              <w:right w:w="15" w:type="dxa"/>
            </w:tcMar>
            <w:textDirection w:val="lrTb"/>
            <w:vAlign w:val="center"/>
          </w:tcPr>
          <w:p w:rsidR="002C3B67" w:rsidRPr="00DA5B8F" w:rsidP="001F7099">
            <w:pPr>
              <w:bidi w:val="0"/>
              <w:ind w:left="180"/>
              <w:jc w:val="right"/>
              <w:rPr>
                <w:rFonts w:ascii="Times New Roman" w:hAnsi="Times New Roman"/>
                <w:b/>
                <w:bCs/>
                <w:lang w:val="sk-SK"/>
              </w:rPr>
            </w:pPr>
            <w:r w:rsidRPr="00DA5B8F">
              <w:rPr>
                <w:rFonts w:ascii="Times New Roman" w:hAnsi="Times New Roman"/>
                <w:b/>
                <w:bCs/>
                <w:lang w:val="sk-SK"/>
              </w:rPr>
              <w:t>7 0</w:t>
            </w:r>
            <w:r w:rsidRPr="00DA5B8F" w:rsidR="00A970B3">
              <w:rPr>
                <w:rFonts w:ascii="Times New Roman" w:hAnsi="Times New Roman"/>
                <w:b/>
                <w:bCs/>
                <w:lang w:val="sk-SK"/>
              </w:rPr>
              <w:t>15</w:t>
            </w:r>
            <w:r w:rsidRPr="00DA5B8F">
              <w:rPr>
                <w:rFonts w:ascii="Times New Roman" w:hAnsi="Times New Roman"/>
                <w:b/>
                <w:bCs/>
                <w:lang w:val="sk-SK"/>
              </w:rPr>
              <w:t> </w:t>
            </w:r>
            <w:r w:rsidRPr="00DA5B8F" w:rsidR="00A970B3">
              <w:rPr>
                <w:rFonts w:ascii="Times New Roman" w:hAnsi="Times New Roman"/>
                <w:b/>
                <w:bCs/>
                <w:lang w:val="sk-SK"/>
              </w:rPr>
              <w:t>539</w:t>
            </w:r>
            <w:r w:rsidRPr="00DA5B8F">
              <w:rPr>
                <w:rFonts w:ascii="Times New Roman" w:hAnsi="Times New Roman"/>
                <w:b/>
                <w:bCs/>
                <w:lang w:val="sk-SK"/>
              </w:rPr>
              <w:t>,</w:t>
            </w:r>
            <w:r w:rsidRPr="00DA5B8F" w:rsidR="00A970B3">
              <w:rPr>
                <w:rFonts w:ascii="Times New Roman" w:hAnsi="Times New Roman"/>
                <w:b/>
                <w:bCs/>
                <w:lang w:val="sk-SK"/>
              </w:rPr>
              <w:t>07</w:t>
            </w:r>
          </w:p>
        </w:tc>
      </w:tr>
    </w:tbl>
    <w:p w:rsidR="002C3B67" w:rsidRPr="00DA5B8F" w:rsidP="00156767">
      <w:pPr>
        <w:pStyle w:val="BodyTextIndent1"/>
        <w:tabs>
          <w:tab w:val="num" w:pos="0"/>
        </w:tabs>
        <w:overflowPunct/>
        <w:autoSpaceDE/>
        <w:bidi w:val="0"/>
        <w:adjustRightInd/>
        <w:spacing w:before="360" w:line="252" w:lineRule="auto"/>
        <w:rPr>
          <w:rFonts w:ascii="Times New Roman" w:hAnsi="Times New Roman"/>
        </w:rPr>
      </w:pPr>
      <w:r w:rsidRPr="00DA5B8F">
        <w:rPr>
          <w:rFonts w:ascii="Times New Roman" w:hAnsi="Times New Roman"/>
          <w:u w:val="single" w:color="A6A6A6"/>
        </w:rPr>
        <w:t>Pohľadávky v lehote splatnosti</w:t>
      </w:r>
      <w:r w:rsidRPr="00DA5B8F">
        <w:rPr>
          <w:rFonts w:ascii="Times New Roman" w:hAnsi="Times New Roman"/>
        </w:rPr>
        <w:t xml:space="preserve"> predstavujú pohľadávky z privatizačných zmlúv</w:t>
      </w:r>
      <w:r w:rsidRPr="00DA5B8F" w:rsidR="00A970B3">
        <w:rPr>
          <w:rFonts w:ascii="Times New Roman" w:hAnsi="Times New Roman"/>
        </w:rPr>
        <w:t xml:space="preserve"> a</w:t>
      </w:r>
      <w:r w:rsidRPr="00DA5B8F">
        <w:rPr>
          <w:rFonts w:ascii="Times New Roman" w:hAnsi="Times New Roman"/>
        </w:rPr>
        <w:t xml:space="preserve"> za nájom majetku fondu. </w:t>
      </w:r>
      <w:r w:rsidRPr="00DA5B8F" w:rsidR="000832BF">
        <w:rPr>
          <w:rFonts w:ascii="Times New Roman" w:hAnsi="Times New Roman"/>
        </w:rPr>
        <w:t xml:space="preserve">V tejto kategórii sa vedú aj </w:t>
      </w:r>
      <w:r w:rsidRPr="00DA5B8F">
        <w:rPr>
          <w:rFonts w:ascii="Times New Roman" w:hAnsi="Times New Roman"/>
        </w:rPr>
        <w:t>pohľadávky za dividendy z akciových spoločností s majetkovou účasťou fondu.</w:t>
      </w:r>
    </w:p>
    <w:p w:rsidR="002C3B67" w:rsidRPr="00DA5B8F" w:rsidP="00156767">
      <w:pPr>
        <w:pStyle w:val="BodyTextIndent1"/>
        <w:tabs>
          <w:tab w:val="num" w:pos="0"/>
        </w:tabs>
        <w:overflowPunct/>
        <w:autoSpaceDE/>
        <w:bidi w:val="0"/>
        <w:adjustRightInd/>
        <w:spacing w:line="252" w:lineRule="auto"/>
        <w:rPr>
          <w:rFonts w:ascii="Times New Roman" w:hAnsi="Times New Roman"/>
        </w:rPr>
      </w:pPr>
      <w:r w:rsidRPr="00DA5B8F">
        <w:rPr>
          <w:rFonts w:ascii="Times New Roman" w:hAnsi="Times New Roman"/>
          <w:u w:val="single" w:color="999999"/>
        </w:rPr>
        <w:t>Pohľadávky po lehote splatnosti</w:t>
      </w:r>
      <w:r w:rsidRPr="00DA5B8F">
        <w:rPr>
          <w:rFonts w:ascii="Times New Roman" w:hAnsi="Times New Roman"/>
        </w:rPr>
        <w:t>:</w:t>
      </w:r>
    </w:p>
    <w:p w:rsidR="002C3B67" w:rsidRPr="00DA5B8F" w:rsidP="00156767">
      <w:pPr>
        <w:pStyle w:val="BodyTextIndent1"/>
        <w:numPr>
          <w:ilvl w:val="1"/>
          <w:numId w:val="15"/>
        </w:numPr>
        <w:tabs>
          <w:tab w:val="num" w:pos="360"/>
          <w:tab w:val="clear" w:pos="540"/>
          <w:tab w:val="clear" w:pos="1440"/>
        </w:tabs>
        <w:overflowPunct/>
        <w:autoSpaceDE/>
        <w:bidi w:val="0"/>
        <w:adjustRightInd/>
        <w:spacing w:before="40" w:line="252" w:lineRule="auto"/>
        <w:ind w:left="360"/>
        <w:rPr>
          <w:rFonts w:ascii="Times New Roman" w:hAnsi="Times New Roman"/>
        </w:rPr>
      </w:pPr>
      <w:r w:rsidRPr="00DA5B8F">
        <w:rPr>
          <w:rFonts w:ascii="Times New Roman" w:hAnsi="Times New Roman"/>
        </w:rPr>
        <w:t>v konkurzoch,</w:t>
      </w:r>
      <w:r w:rsidRPr="00DA5B8F">
        <w:rPr>
          <w:rFonts w:ascii="Times New Roman" w:hAnsi="Times New Roman"/>
          <w:sz w:val="16"/>
          <w:szCs w:val="16"/>
        </w:rPr>
        <w:t xml:space="preserve"> </w:t>
      </w:r>
      <w:r w:rsidRPr="00DA5B8F">
        <w:rPr>
          <w:rFonts w:ascii="Times New Roman" w:hAnsi="Times New Roman"/>
        </w:rPr>
        <w:t>exekúciách</w:t>
      </w:r>
      <w:r w:rsidRPr="00DA5B8F">
        <w:rPr>
          <w:rFonts w:ascii="Times New Roman" w:hAnsi="Times New Roman"/>
          <w:sz w:val="16"/>
          <w:szCs w:val="16"/>
        </w:rPr>
        <w:t xml:space="preserve"> </w:t>
      </w:r>
      <w:r w:rsidRPr="00DA5B8F">
        <w:rPr>
          <w:rFonts w:ascii="Times New Roman" w:hAnsi="Times New Roman"/>
        </w:rPr>
        <w:t>a likvidáciách - predstavujú pohľadávky uplatnené v prebiehajúcich konkurzných konaniach, exekúciách a likvidáciách. Do tejto kategórie patria aj pohľadávky, ktoré vznikli z nesplnenia záväzku vyplatenia dividend z akciových spoločností s majetkovou účasťou fondu, alebo z dôvodu neoprávnene vyplatených dlhopisov fondu fyzickým osobám. (</w:t>
      </w:r>
      <w:r w:rsidRPr="00DA5B8F" w:rsidR="000832BF">
        <w:rPr>
          <w:rFonts w:ascii="Times New Roman" w:hAnsi="Times New Roman"/>
        </w:rPr>
        <w:t xml:space="preserve">Najväčšia pohľadávka: </w:t>
      </w:r>
      <w:r w:rsidRPr="00DA5B8F">
        <w:rPr>
          <w:rFonts w:ascii="Times New Roman" w:hAnsi="Times New Roman"/>
        </w:rPr>
        <w:t>Novácke chemické závody a. s. v konkurze - 22 587 tis. Eur).</w:t>
      </w:r>
    </w:p>
    <w:p w:rsidR="002C3B67" w:rsidRPr="00DA5B8F" w:rsidP="00156767">
      <w:pPr>
        <w:pStyle w:val="BodyTextIndent1"/>
        <w:numPr>
          <w:ilvl w:val="1"/>
          <w:numId w:val="15"/>
        </w:numPr>
        <w:tabs>
          <w:tab w:val="num" w:pos="360"/>
          <w:tab w:val="clear" w:pos="540"/>
          <w:tab w:val="clear" w:pos="1440"/>
        </w:tabs>
        <w:overflowPunct/>
        <w:autoSpaceDE/>
        <w:bidi w:val="0"/>
        <w:adjustRightInd/>
        <w:spacing w:before="40" w:line="252" w:lineRule="auto"/>
        <w:ind w:left="360"/>
        <w:rPr>
          <w:rFonts w:ascii="Times New Roman" w:hAnsi="Times New Roman"/>
        </w:rPr>
      </w:pPr>
      <w:r w:rsidRPr="00DA5B8F">
        <w:rPr>
          <w:rFonts w:ascii="Times New Roman" w:hAnsi="Times New Roman"/>
        </w:rPr>
        <w:t>v príprave</w:t>
      </w:r>
      <w:r w:rsidRPr="00DA5B8F">
        <w:rPr>
          <w:rFonts w:ascii="Times New Roman" w:hAnsi="Times New Roman"/>
          <w:sz w:val="18"/>
          <w:szCs w:val="18"/>
        </w:rPr>
        <w:t xml:space="preserve"> </w:t>
      </w:r>
      <w:r w:rsidRPr="00DA5B8F">
        <w:rPr>
          <w:rFonts w:ascii="Times New Roman" w:hAnsi="Times New Roman"/>
        </w:rPr>
        <w:t>na odpis - predstavujú pohľadávky v príprave na trvalé upustenie od vymáhania pohľadávok a ich účtovný odpis, uplatnené v konkurznom konaní, ktoré bolo právoplatne ukončené</w:t>
      </w:r>
      <w:r w:rsidRPr="00DA5B8F" w:rsidR="00A43760">
        <w:rPr>
          <w:rFonts w:ascii="Times New Roman" w:hAnsi="Times New Roman"/>
        </w:rPr>
        <w:t>,</w:t>
      </w:r>
      <w:r w:rsidRPr="00DA5B8F">
        <w:rPr>
          <w:rFonts w:ascii="Times New Roman" w:hAnsi="Times New Roman"/>
        </w:rPr>
        <w:t xml:space="preserve"> alebo kde došlo k právoplatnému zamietnutiu návrhu na vyhlásenie konkurzu na majetok dlžníka pre nedostatok majetku</w:t>
      </w:r>
      <w:r w:rsidRPr="00DA5B8F" w:rsidR="001B0BD4">
        <w:rPr>
          <w:rFonts w:ascii="Times New Roman" w:hAnsi="Times New Roman"/>
        </w:rPr>
        <w:t>.</w:t>
      </w:r>
      <w:r w:rsidRPr="00DA5B8F">
        <w:rPr>
          <w:rFonts w:ascii="Times New Roman" w:hAnsi="Times New Roman"/>
        </w:rPr>
        <w:t xml:space="preserve"> Patr</w:t>
      </w:r>
      <w:r w:rsidRPr="00DA5B8F" w:rsidR="00A43760">
        <w:rPr>
          <w:rFonts w:ascii="Times New Roman" w:hAnsi="Times New Roman"/>
        </w:rPr>
        <w:t>í</w:t>
      </w:r>
      <w:r w:rsidRPr="00DA5B8F">
        <w:rPr>
          <w:rFonts w:ascii="Times New Roman" w:hAnsi="Times New Roman"/>
        </w:rPr>
        <w:t xml:space="preserve"> sem aj </w:t>
      </w:r>
      <w:r w:rsidRPr="00DA5B8F" w:rsidR="001B0BD4">
        <w:rPr>
          <w:rFonts w:ascii="Times New Roman" w:hAnsi="Times New Roman"/>
        </w:rPr>
        <w:t xml:space="preserve">časť </w:t>
      </w:r>
      <w:r w:rsidRPr="00DA5B8F">
        <w:rPr>
          <w:rFonts w:ascii="Times New Roman" w:hAnsi="Times New Roman"/>
        </w:rPr>
        <w:t>pohľadáv</w:t>
      </w:r>
      <w:r w:rsidRPr="00DA5B8F" w:rsidR="001B0BD4">
        <w:rPr>
          <w:rFonts w:ascii="Times New Roman" w:hAnsi="Times New Roman"/>
        </w:rPr>
        <w:t>ok</w:t>
      </w:r>
      <w:r w:rsidRPr="00DA5B8F">
        <w:rPr>
          <w:rFonts w:ascii="Times New Roman" w:hAnsi="Times New Roman"/>
        </w:rPr>
        <w:t xml:space="preserve"> voči dlžníkom</w:t>
      </w:r>
      <w:r w:rsidRPr="00DA5B8F" w:rsidR="001B0BD4">
        <w:rPr>
          <w:rFonts w:ascii="Times New Roman" w:hAnsi="Times New Roman"/>
        </w:rPr>
        <w:t xml:space="preserve"> z ukončených súdnych sporov</w:t>
      </w:r>
      <w:r w:rsidRPr="00DA5B8F">
        <w:rPr>
          <w:rFonts w:ascii="Times New Roman" w:hAnsi="Times New Roman"/>
        </w:rPr>
        <w:t>. (</w:t>
      </w:r>
      <w:r w:rsidRPr="00DA5B8F" w:rsidR="000832BF">
        <w:rPr>
          <w:rFonts w:ascii="Times New Roman" w:hAnsi="Times New Roman"/>
        </w:rPr>
        <w:t>Najväčšia pohľadávka: D.U.O spol. s r. o. Banská Bystrica 341</w:t>
      </w:r>
      <w:r w:rsidRPr="00DA5B8F">
        <w:rPr>
          <w:rFonts w:ascii="Times New Roman" w:hAnsi="Times New Roman"/>
        </w:rPr>
        <w:t> tis. Eur</w:t>
      </w:r>
      <w:r w:rsidRPr="00DA5B8F" w:rsidR="000832BF">
        <w:rPr>
          <w:rFonts w:ascii="Times New Roman" w:hAnsi="Times New Roman"/>
        </w:rPr>
        <w:t>)</w:t>
      </w:r>
      <w:r w:rsidRPr="00DA5B8F">
        <w:rPr>
          <w:rFonts w:ascii="Times New Roman" w:hAnsi="Times New Roman"/>
        </w:rPr>
        <w:t>.</w:t>
      </w:r>
    </w:p>
    <w:p w:rsidR="002C3B67" w:rsidRPr="00DA5B8F" w:rsidP="00156767">
      <w:pPr>
        <w:pStyle w:val="BodyTextIndent1"/>
        <w:numPr>
          <w:ilvl w:val="1"/>
          <w:numId w:val="15"/>
        </w:numPr>
        <w:tabs>
          <w:tab w:val="num" w:pos="360"/>
          <w:tab w:val="clear" w:pos="540"/>
          <w:tab w:val="clear" w:pos="1440"/>
        </w:tabs>
        <w:overflowPunct/>
        <w:autoSpaceDE/>
        <w:bidi w:val="0"/>
        <w:adjustRightInd/>
        <w:spacing w:before="40" w:line="252" w:lineRule="auto"/>
        <w:ind w:left="360"/>
        <w:rPr>
          <w:rFonts w:ascii="Times New Roman" w:hAnsi="Times New Roman"/>
        </w:rPr>
      </w:pPr>
      <w:r w:rsidRPr="00DA5B8F">
        <w:rPr>
          <w:rFonts w:ascii="Times New Roman" w:hAnsi="Times New Roman"/>
        </w:rPr>
        <w:t>vymáhané súdnou cestou - predstavujú pohľadávky z privatizačných zmlúv vymáhané súdnou cestou, resp. u ktorých došlo k ukončeniu súdneho sporu a nárok fondu nebol uznaný</w:t>
      </w:r>
      <w:r w:rsidRPr="00DA5B8F" w:rsidR="00A21A0E">
        <w:rPr>
          <w:rFonts w:ascii="Times New Roman" w:hAnsi="Times New Roman"/>
        </w:rPr>
        <w:t>, resp. kde došlo k výmazu dlžníka z Obchodného registra</w:t>
      </w:r>
      <w:r w:rsidRPr="00DA5B8F">
        <w:rPr>
          <w:rFonts w:ascii="Times New Roman" w:hAnsi="Times New Roman"/>
        </w:rPr>
        <w:t>. (</w:t>
      </w:r>
      <w:r w:rsidRPr="00DA5B8F" w:rsidR="000832BF">
        <w:rPr>
          <w:rFonts w:ascii="Times New Roman" w:hAnsi="Times New Roman"/>
        </w:rPr>
        <w:t>Najväčšie pohľadávky:</w:t>
      </w:r>
      <w:r w:rsidRPr="00DA5B8F" w:rsidR="00A21A0E">
        <w:rPr>
          <w:rFonts w:ascii="Times New Roman" w:hAnsi="Times New Roman"/>
        </w:rPr>
        <w:t xml:space="preserve"> </w:t>
      </w:r>
      <w:r w:rsidRPr="00DA5B8F">
        <w:rPr>
          <w:rFonts w:ascii="Times New Roman" w:hAnsi="Times New Roman"/>
        </w:rPr>
        <w:t>Hlavko M., Ing. Sucháč Ľ. / majetok bývalého š. p. Gemerský mlyn – 1 507 tis. Eur; TG Trade,</w:t>
      </w:r>
      <w:r w:rsidRPr="00DA5B8F">
        <w:rPr>
          <w:rFonts w:ascii="Times New Roman" w:hAnsi="Times New Roman"/>
          <w:sz w:val="16"/>
          <w:szCs w:val="16"/>
        </w:rPr>
        <w:t xml:space="preserve"> </w:t>
      </w:r>
      <w:r w:rsidRPr="00DA5B8F">
        <w:rPr>
          <w:rFonts w:ascii="Times New Roman" w:hAnsi="Times New Roman"/>
        </w:rPr>
        <w:t>a. s</w:t>
      </w:r>
      <w:r w:rsidRPr="00DA5B8F">
        <w:rPr>
          <w:rFonts w:ascii="Times New Roman" w:hAnsi="Times New Roman"/>
          <w:sz w:val="16"/>
          <w:szCs w:val="16"/>
        </w:rPr>
        <w:t>. /</w:t>
      </w:r>
      <w:r w:rsidRPr="00DA5B8F">
        <w:rPr>
          <w:rFonts w:ascii="Times New Roman" w:hAnsi="Times New Roman"/>
        </w:rPr>
        <w:t xml:space="preserve"> právny nástupca CEBO HOLDING SLOVAKIA a. s. v konkurze - 4 779 tis. Eur; Baláž Roman, Balážová Eva /majetok bývalého š. p. Víno Nitra – 6 2</w:t>
      </w:r>
      <w:r w:rsidRPr="00DA5B8F" w:rsidR="008B2D6F">
        <w:rPr>
          <w:rFonts w:ascii="Times New Roman" w:hAnsi="Times New Roman"/>
        </w:rPr>
        <w:t>85</w:t>
      </w:r>
      <w:r w:rsidRPr="00DA5B8F">
        <w:rPr>
          <w:rFonts w:ascii="Times New Roman" w:hAnsi="Times New Roman"/>
        </w:rPr>
        <w:t> tis. Eur).</w:t>
      </w:r>
    </w:p>
    <w:p w:rsidR="002C3B67" w:rsidRPr="00DA5B8F" w:rsidP="00156767">
      <w:pPr>
        <w:pStyle w:val="BodyTextIndent1"/>
        <w:tabs>
          <w:tab w:val="num" w:pos="0"/>
        </w:tabs>
        <w:overflowPunct/>
        <w:autoSpaceDE/>
        <w:bidi w:val="0"/>
        <w:adjustRightInd/>
        <w:spacing w:line="252" w:lineRule="auto"/>
        <w:rPr>
          <w:rFonts w:ascii="Times New Roman" w:hAnsi="Times New Roman"/>
        </w:rPr>
      </w:pPr>
      <w:r w:rsidRPr="00DA5B8F">
        <w:rPr>
          <w:rFonts w:ascii="Times New Roman" w:hAnsi="Times New Roman"/>
          <w:u w:val="single" w:color="999999"/>
        </w:rPr>
        <w:t>Príjmy osobitného účtu MH SR</w:t>
      </w:r>
      <w:r w:rsidRPr="00DA5B8F">
        <w:rPr>
          <w:rFonts w:ascii="Times New Roman" w:hAnsi="Times New Roman"/>
        </w:rPr>
        <w:t xml:space="preserve"> predstavujú samostatnú kategóriu pohľadávok z privatizácie, ktorú tvoria príjmy osobitného účtu MH SR ako právneho nástupcu bývalého MSPNM SR. Podmienky, po splnení ktorých sa finančné prostriedky, ktoré sú príjmom osobitného účtu MH SR, stávajú majetkom fondu, upravuje ustanovenie §</w:t>
      </w:r>
      <w:r w:rsidRPr="00DA5B8F" w:rsidR="008B2D6F">
        <w:rPr>
          <w:rFonts w:ascii="Times New Roman" w:hAnsi="Times New Roman"/>
        </w:rPr>
        <w:t> </w:t>
      </w:r>
      <w:r w:rsidRPr="00DA5B8F">
        <w:rPr>
          <w:rFonts w:ascii="Times New Roman" w:hAnsi="Times New Roman"/>
        </w:rPr>
        <w:t>28 ods. 2 zákona o privatizácii.</w:t>
      </w:r>
    </w:p>
    <w:p w:rsidR="002C3B67" w:rsidRPr="00DA5B8F">
      <w:pPr>
        <w:pStyle w:val="Header"/>
        <w:numPr>
          <w:ilvl w:val="1"/>
          <w:numId w:val="11"/>
        </w:numPr>
        <w:shd w:val="clear" w:color="auto" w:fill="E6E6E6"/>
        <w:tabs>
          <w:tab w:val="clear" w:pos="4703"/>
          <w:tab w:val="clear" w:pos="9406"/>
        </w:tabs>
        <w:bidi w:val="0"/>
        <w:spacing w:before="360" w:after="240"/>
        <w:ind w:left="703" w:hanging="703"/>
        <w:jc w:val="both"/>
        <w:rPr>
          <w:rFonts w:ascii="Times New Roman" w:hAnsi="Times New Roman"/>
          <w:b/>
          <w:bCs/>
          <w:lang w:val="sk-SK"/>
        </w:rPr>
      </w:pPr>
      <w:bookmarkStart w:id="2" w:name="OLE_LINK7"/>
      <w:r w:rsidRPr="00DA5B8F">
        <w:rPr>
          <w:rFonts w:ascii="Times New Roman" w:hAnsi="Times New Roman"/>
          <w:b/>
          <w:bCs/>
          <w:lang w:val="sk-SK"/>
        </w:rPr>
        <w:t>Výkon akcionárskych práv</w:t>
      </w:r>
    </w:p>
    <w:p w:rsidR="00200EF0" w:rsidRPr="00DA5B8F" w:rsidP="00F46C00">
      <w:pPr>
        <w:pStyle w:val="BodyTextIndent1"/>
        <w:tabs>
          <w:tab w:val="num" w:pos="0"/>
          <w:tab w:val="clear" w:pos="540"/>
        </w:tabs>
        <w:overflowPunct/>
        <w:autoSpaceDE/>
        <w:autoSpaceDN/>
        <w:bidi w:val="0"/>
        <w:adjustRightInd/>
        <w:spacing w:line="264" w:lineRule="auto"/>
        <w:rPr>
          <w:rFonts w:ascii="Times New Roman" w:hAnsi="Times New Roman"/>
          <w:bCs/>
          <w:lang w:eastAsia="sk-SK"/>
        </w:rPr>
      </w:pPr>
      <w:bookmarkEnd w:id="2"/>
      <w:r w:rsidRPr="00DA5B8F" w:rsidR="002C3B67">
        <w:rPr>
          <w:rFonts w:ascii="Times New Roman" w:hAnsi="Times New Roman"/>
        </w:rPr>
        <w:t xml:space="preserve">Jednou z hlavných úloh fondu, ktorú zastrešuje </w:t>
      </w:r>
      <w:r w:rsidRPr="00DA5B8F" w:rsidR="008B129C">
        <w:rPr>
          <w:rFonts w:ascii="Times New Roman" w:hAnsi="Times New Roman"/>
        </w:rPr>
        <w:t>odbor</w:t>
      </w:r>
      <w:r w:rsidRPr="00DA5B8F" w:rsidR="002C3B67">
        <w:rPr>
          <w:rFonts w:ascii="Times New Roman" w:hAnsi="Times New Roman"/>
        </w:rPr>
        <w:t xml:space="preserve"> výkonu akcionárskych práv, </w:t>
      </w:r>
      <w:r w:rsidRPr="00DA5B8F" w:rsidR="008B129C">
        <w:rPr>
          <w:rFonts w:ascii="Times New Roman" w:hAnsi="Times New Roman"/>
        </w:rPr>
        <w:t>bolo</w:t>
      </w:r>
      <w:r w:rsidRPr="00DA5B8F" w:rsidR="002C3B67">
        <w:rPr>
          <w:rFonts w:ascii="Times New Roman" w:hAnsi="Times New Roman"/>
        </w:rPr>
        <w:t xml:space="preserve"> zabezpečiť výkon práv akcionára v spoločnostiach s majetkovou účasťou fondu. K </w:t>
      </w:r>
      <w:r w:rsidRPr="00DA5B8F">
        <w:rPr>
          <w:rFonts w:ascii="Times New Roman" w:hAnsi="Times New Roman"/>
        </w:rPr>
        <w:t>3</w:t>
      </w:r>
      <w:r w:rsidRPr="00DA5B8F" w:rsidR="002C3B67">
        <w:rPr>
          <w:rFonts w:ascii="Times New Roman" w:hAnsi="Times New Roman"/>
        </w:rPr>
        <w:t>1. 1</w:t>
      </w:r>
      <w:r w:rsidRPr="00DA5B8F">
        <w:rPr>
          <w:rFonts w:ascii="Times New Roman" w:hAnsi="Times New Roman"/>
        </w:rPr>
        <w:t>2</w:t>
      </w:r>
      <w:r w:rsidRPr="00DA5B8F" w:rsidR="002C3B67">
        <w:rPr>
          <w:rFonts w:ascii="Times New Roman" w:hAnsi="Times New Roman"/>
        </w:rPr>
        <w:t>. 201</w:t>
      </w:r>
      <w:r w:rsidRPr="00DA5B8F">
        <w:rPr>
          <w:rFonts w:ascii="Times New Roman" w:hAnsi="Times New Roman"/>
        </w:rPr>
        <w:t>4</w:t>
      </w:r>
      <w:r w:rsidRPr="00DA5B8F" w:rsidR="002C3B67">
        <w:rPr>
          <w:rFonts w:ascii="Times New Roman" w:hAnsi="Times New Roman"/>
        </w:rPr>
        <w:t xml:space="preserve"> mal fond majetkovú účasť v </w:t>
      </w:r>
      <w:r w:rsidRPr="00DA5B8F">
        <w:rPr>
          <w:rFonts w:ascii="Times New Roman" w:hAnsi="Times New Roman"/>
        </w:rPr>
        <w:t>67</w:t>
      </w:r>
      <w:r w:rsidRPr="00DA5B8F" w:rsidR="002C3B67">
        <w:rPr>
          <w:rFonts w:ascii="Times New Roman" w:hAnsi="Times New Roman"/>
        </w:rPr>
        <w:t xml:space="preserve"> akciových spoločnostiach, čo je o </w:t>
      </w:r>
      <w:r w:rsidRPr="00DA5B8F">
        <w:rPr>
          <w:rFonts w:ascii="Times New Roman" w:hAnsi="Times New Roman"/>
        </w:rPr>
        <w:t>9</w:t>
      </w:r>
      <w:r w:rsidRPr="00DA5B8F" w:rsidR="002C3B67">
        <w:rPr>
          <w:rFonts w:ascii="Times New Roman" w:hAnsi="Times New Roman"/>
        </w:rPr>
        <w:t xml:space="preserve"> menej ako v roku 201</w:t>
      </w:r>
      <w:r w:rsidRPr="00DA5B8F">
        <w:rPr>
          <w:rFonts w:ascii="Times New Roman" w:hAnsi="Times New Roman"/>
        </w:rPr>
        <w:t>3.</w:t>
      </w:r>
      <w:r w:rsidRPr="00DA5B8F" w:rsidR="002C3B67">
        <w:rPr>
          <w:rFonts w:ascii="Times New Roman" w:hAnsi="Times New Roman"/>
        </w:rPr>
        <w:t xml:space="preserve"> </w:t>
      </w:r>
      <w:r w:rsidRPr="00DA5B8F">
        <w:rPr>
          <w:rFonts w:ascii="Times New Roman" w:hAnsi="Times New Roman"/>
        </w:rPr>
        <w:t>Akcie 6 spoločností boli od 1. 8. 2014 prevedené z</w:t>
      </w:r>
      <w:r w:rsidRPr="00DA5B8F" w:rsidR="008B129C">
        <w:rPr>
          <w:rFonts w:ascii="Times New Roman" w:hAnsi="Times New Roman"/>
        </w:rPr>
        <w:t> </w:t>
      </w:r>
      <w:r w:rsidRPr="00DA5B8F">
        <w:rPr>
          <w:rFonts w:ascii="Times New Roman" w:hAnsi="Times New Roman"/>
        </w:rPr>
        <w:t>FNM</w:t>
      </w:r>
      <w:r w:rsidRPr="00DA5B8F" w:rsidR="008B129C">
        <w:rPr>
          <w:rFonts w:ascii="Times New Roman" w:hAnsi="Times New Roman"/>
        </w:rPr>
        <w:t> </w:t>
      </w:r>
      <w:r w:rsidRPr="00DA5B8F">
        <w:rPr>
          <w:rFonts w:ascii="Times New Roman" w:hAnsi="Times New Roman"/>
        </w:rPr>
        <w:t>SR na MH SR a akcie 1 spoločnosti na MDVRR SR, na základe z</w:t>
      </w:r>
      <w:r w:rsidRPr="00DA5B8F">
        <w:rPr>
          <w:rFonts w:ascii="Times New Roman" w:hAnsi="Times New Roman"/>
          <w:bCs/>
          <w:lang w:eastAsia="sk-SK"/>
        </w:rPr>
        <w:t>ákona č.</w:t>
      </w:r>
      <w:r w:rsidRPr="00DA5B8F" w:rsidR="008B129C">
        <w:rPr>
          <w:rFonts w:ascii="Times New Roman" w:hAnsi="Times New Roman"/>
          <w:bCs/>
          <w:lang w:eastAsia="sk-SK"/>
        </w:rPr>
        <w:t> </w:t>
      </w:r>
      <w:r w:rsidRPr="00DA5B8F">
        <w:rPr>
          <w:rFonts w:ascii="Times New Roman" w:hAnsi="Times New Roman"/>
          <w:bCs/>
          <w:lang w:eastAsia="sk-SK"/>
        </w:rPr>
        <w:t>197/2014 a novely zákona o</w:t>
      </w:r>
      <w:r w:rsidRPr="00DA5B8F" w:rsidR="0052015B">
        <w:rPr>
          <w:rFonts w:ascii="Times New Roman" w:hAnsi="Times New Roman"/>
          <w:bCs/>
          <w:lang w:eastAsia="sk-SK"/>
        </w:rPr>
        <w:t> </w:t>
      </w:r>
      <w:r w:rsidRPr="00DA5B8F">
        <w:rPr>
          <w:rFonts w:ascii="Times New Roman" w:hAnsi="Times New Roman"/>
          <w:bCs/>
          <w:lang w:eastAsia="sk-SK"/>
        </w:rPr>
        <w:t>privatizácii</w:t>
      </w:r>
      <w:r w:rsidRPr="00DA5B8F" w:rsidR="0052015B">
        <w:rPr>
          <w:rFonts w:ascii="Times New Roman" w:hAnsi="Times New Roman"/>
          <w:bCs/>
          <w:lang w:eastAsia="sk-SK"/>
        </w:rPr>
        <w:t>.</w:t>
      </w:r>
    </w:p>
    <w:p w:rsidR="002C3B67"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Z evidovaného počtu 6</w:t>
      </w:r>
      <w:r w:rsidRPr="00DA5B8F" w:rsidR="00200EF0">
        <w:rPr>
          <w:rFonts w:ascii="Times New Roman" w:hAnsi="Times New Roman"/>
        </w:rPr>
        <w:t>7</w:t>
      </w:r>
      <w:r w:rsidRPr="00DA5B8F">
        <w:rPr>
          <w:rFonts w:ascii="Times New Roman" w:hAnsi="Times New Roman"/>
        </w:rPr>
        <w:t xml:space="preserve"> akciových spoločností bolo 3</w:t>
      </w:r>
      <w:r w:rsidRPr="00DA5B8F" w:rsidR="00200EF0">
        <w:rPr>
          <w:rFonts w:ascii="Times New Roman" w:hAnsi="Times New Roman"/>
        </w:rPr>
        <w:t>6</w:t>
      </w:r>
      <w:r w:rsidRPr="00DA5B8F">
        <w:rPr>
          <w:rFonts w:ascii="Times New Roman" w:hAnsi="Times New Roman"/>
        </w:rPr>
        <w:t xml:space="preserve"> v konkurze, v likvidácii, alebo už bol konkurz ukončený, ale spoločnosť nebola ešte vymazaná z obchodného registra, alebo spoločnosť už bola vymazaná z obchodného registra, ale akcie ešte zostali na účte fondu.</w:t>
      </w:r>
      <w:r w:rsidRPr="00DA5B8F" w:rsidR="008B129C">
        <w:rPr>
          <w:rFonts w:ascii="Times New Roman" w:hAnsi="Times New Roman"/>
        </w:rPr>
        <w:t xml:space="preserve"> Z evidovaného počtu 67 akciových spoločností mal fond účasť </w:t>
      </w:r>
      <w:r w:rsidRPr="00DA5B8F">
        <w:rPr>
          <w:rFonts w:ascii="Times New Roman" w:hAnsi="Times New Roman"/>
        </w:rPr>
        <w:t>vyššiu ako 50 % zo základného imania</w:t>
      </w:r>
      <w:r w:rsidRPr="00DA5B8F" w:rsidR="008B129C">
        <w:rPr>
          <w:rFonts w:ascii="Times New Roman" w:hAnsi="Times New Roman"/>
        </w:rPr>
        <w:t xml:space="preserve"> v 18 spoločnostiach</w:t>
      </w:r>
      <w:r w:rsidRPr="00DA5B8F">
        <w:rPr>
          <w:rFonts w:ascii="Times New Roman" w:hAnsi="Times New Roman"/>
        </w:rPr>
        <w:t>. Z</w:t>
      </w:r>
      <w:r w:rsidRPr="00DA5B8F" w:rsidR="00B30D7C">
        <w:rPr>
          <w:rFonts w:ascii="Times New Roman" w:hAnsi="Times New Roman"/>
        </w:rPr>
        <w:t>o</w:t>
      </w:r>
      <w:r w:rsidRPr="00DA5B8F">
        <w:rPr>
          <w:rFonts w:ascii="Times New Roman" w:hAnsi="Times New Roman"/>
        </w:rPr>
        <w:t xml:space="preserve"> spoločností, ktoré nie sú dotknuté konkurzom alebo likvidáciou bolo v roku 201</w:t>
      </w:r>
      <w:r w:rsidRPr="00DA5B8F" w:rsidR="00B30D7C">
        <w:rPr>
          <w:rFonts w:ascii="Times New Roman" w:hAnsi="Times New Roman"/>
        </w:rPr>
        <w:t>4</w:t>
      </w:r>
      <w:r w:rsidRPr="00DA5B8F">
        <w:rPr>
          <w:rFonts w:ascii="Times New Roman" w:hAnsi="Times New Roman"/>
        </w:rPr>
        <w:t xml:space="preserve"> najviac spoločností z odvetvia dopravy. Štruktúra spoločností podľa odvetví je uvedená v tabuľke:</w:t>
      </w:r>
    </w:p>
    <w:p w:rsidR="002C3B67" w:rsidRPr="00DA5B8F">
      <w:pPr>
        <w:pStyle w:val="Heading3"/>
        <w:tabs>
          <w:tab w:val="right" w:pos="9360"/>
        </w:tabs>
        <w:overflowPunct/>
        <w:autoSpaceDE/>
        <w:autoSpaceDN/>
        <w:bidi w:val="0"/>
        <w:adjustRightInd/>
        <w:spacing w:before="240" w:after="120"/>
        <w:rPr>
          <w:rFonts w:ascii="Times New Roman" w:hAnsi="Times New Roman"/>
        </w:rPr>
      </w:pPr>
      <w:bookmarkStart w:id="3" w:name="OLE_LINK6"/>
      <w:r w:rsidRPr="00DA5B8F">
        <w:rPr>
          <w:rFonts w:ascii="Times New Roman" w:hAnsi="Times New Roman"/>
        </w:rPr>
        <w:t>Štruktúra spoločností podľa odvetví:</w:t>
      </w:r>
    </w:p>
    <w:tbl>
      <w:tblPr>
        <w:tblStyle w:val="TableNormal"/>
        <w:tblW w:w="9540" w:type="dxa"/>
        <w:tblInd w:w="70" w:type="dxa"/>
        <w:tblBorders>
          <w:top w:val="single" w:sz="4" w:space="0" w:color="C0C0C0"/>
          <w:bottom w:val="single" w:sz="4" w:space="0" w:color="C0C0C0"/>
          <w:insideH w:val="single" w:sz="4" w:space="0" w:color="C0C0C0"/>
        </w:tblBorders>
        <w:tblCellMar>
          <w:left w:w="70" w:type="dxa"/>
          <w:right w:w="70" w:type="dxa"/>
        </w:tblCellMar>
      </w:tblPr>
      <w:tblGrid>
        <w:gridCol w:w="3960"/>
        <w:gridCol w:w="5580"/>
      </w:tblGrid>
      <w:tr>
        <w:tblPrEx>
          <w:tblW w:w="9540" w:type="dxa"/>
          <w:tblInd w:w="70" w:type="dxa"/>
          <w:tblBorders>
            <w:top w:val="single" w:sz="4" w:space="0" w:color="C0C0C0"/>
            <w:bottom w:val="single" w:sz="4" w:space="0" w:color="C0C0C0"/>
            <w:insideH w:val="single" w:sz="4" w:space="0" w:color="C0C0C0"/>
          </w:tblBorders>
          <w:tblCellMar>
            <w:left w:w="70" w:type="dxa"/>
            <w:right w:w="70" w:type="dxa"/>
          </w:tblCellMar>
        </w:tblPrEx>
        <w:trPr>
          <w:trHeight w:hRule="exact" w:val="340"/>
        </w:trPr>
        <w:tc>
          <w:tcPr>
            <w:tcW w:w="3960" w:type="dxa"/>
            <w:tcBorders>
              <w:top w:val="single" w:sz="4" w:space="0" w:color="C0C0C0"/>
              <w:left w:val="nil"/>
              <w:bottom w:val="double" w:sz="6" w:space="0" w:color="999999"/>
              <w:right w:val="nil"/>
            </w:tcBorders>
            <w:shd w:val="clear" w:color="auto" w:fill="CCCCFF"/>
            <w:textDirection w:val="lrTb"/>
            <w:vAlign w:val="top"/>
          </w:tcPr>
          <w:p w:rsidR="002C3B67" w:rsidRPr="00DA5B8F">
            <w:pPr>
              <w:bidi w:val="0"/>
              <w:ind w:firstLine="567"/>
              <w:rPr>
                <w:rFonts w:ascii="Times New Roman" w:hAnsi="Times New Roman"/>
                <w:b/>
                <w:bCs/>
                <w:lang w:val="sk-SK"/>
              </w:rPr>
            </w:pPr>
            <w:bookmarkEnd w:id="3"/>
            <w:r w:rsidRPr="00DA5B8F">
              <w:rPr>
                <w:rFonts w:ascii="Times New Roman" w:hAnsi="Times New Roman"/>
                <w:b/>
                <w:bCs/>
                <w:lang w:val="sk-SK"/>
              </w:rPr>
              <w:t>Odvetvie</w:t>
            </w:r>
          </w:p>
        </w:tc>
        <w:tc>
          <w:tcPr>
            <w:tcW w:w="5580" w:type="dxa"/>
            <w:tcBorders>
              <w:top w:val="single" w:sz="4" w:space="0" w:color="C0C0C0"/>
              <w:left w:val="nil"/>
              <w:bottom w:val="double" w:sz="6" w:space="0" w:color="999999"/>
              <w:right w:val="nil"/>
            </w:tcBorders>
            <w:shd w:val="clear" w:color="auto" w:fill="CCCCFF"/>
            <w:textDirection w:val="lrTb"/>
            <w:vAlign w:val="top"/>
          </w:tcPr>
          <w:p w:rsidR="002C3B67" w:rsidRPr="00DA5B8F">
            <w:pPr>
              <w:bidi w:val="0"/>
              <w:ind w:firstLine="567"/>
              <w:jc w:val="both"/>
              <w:rPr>
                <w:rFonts w:ascii="Times New Roman" w:hAnsi="Times New Roman"/>
                <w:b/>
                <w:bCs/>
                <w:lang w:val="sk-SK"/>
              </w:rPr>
            </w:pPr>
            <w:r w:rsidRPr="00DA5B8F">
              <w:rPr>
                <w:rFonts w:ascii="Times New Roman" w:hAnsi="Times New Roman"/>
                <w:b/>
                <w:bCs/>
                <w:lang w:val="sk-SK"/>
              </w:rPr>
              <w:t>Počet a. s.</w:t>
            </w:r>
          </w:p>
        </w:tc>
      </w:tr>
      <w:tr>
        <w:tblPrEx>
          <w:tblW w:w="9540" w:type="dxa"/>
          <w:tblInd w:w="70" w:type="dxa"/>
          <w:tblCellMar>
            <w:left w:w="70" w:type="dxa"/>
            <w:right w:w="70" w:type="dxa"/>
          </w:tblCellMar>
        </w:tblPrEx>
        <w:trPr>
          <w:trHeight w:hRule="exact" w:val="340"/>
        </w:trPr>
        <w:tc>
          <w:tcPr>
            <w:tcW w:w="3960" w:type="dxa"/>
            <w:tcBorders>
              <w:top w:val="double" w:sz="6" w:space="0" w:color="999999"/>
              <w:left w:val="nil"/>
              <w:bottom w:val="single" w:sz="4" w:space="0" w:color="C0C0C0"/>
              <w:right w:val="nil"/>
            </w:tcBorders>
            <w:textDirection w:val="lrTb"/>
            <w:vAlign w:val="top"/>
          </w:tcPr>
          <w:p w:rsidR="002C3B67" w:rsidRPr="00DA5B8F">
            <w:pPr>
              <w:pStyle w:val="Zkladntext21"/>
              <w:overflowPunct/>
              <w:autoSpaceDE/>
              <w:autoSpaceDN/>
              <w:bidi w:val="0"/>
              <w:adjustRightInd/>
              <w:spacing w:before="0"/>
              <w:jc w:val="left"/>
              <w:rPr>
                <w:rFonts w:ascii="Times New Roman" w:hAnsi="Times New Roman" w:cs="Times New Roman"/>
              </w:rPr>
            </w:pPr>
            <w:r w:rsidRPr="00DA5B8F">
              <w:rPr>
                <w:rFonts w:ascii="Times New Roman" w:hAnsi="Times New Roman" w:cs="Times New Roman"/>
              </w:rPr>
              <w:t>Doprava</w:t>
            </w:r>
          </w:p>
        </w:tc>
        <w:tc>
          <w:tcPr>
            <w:tcW w:w="5580" w:type="dxa"/>
            <w:tcBorders>
              <w:top w:val="double" w:sz="6" w:space="0" w:color="999999"/>
              <w:left w:val="nil"/>
              <w:bottom w:val="single" w:sz="4" w:space="0" w:color="C0C0C0"/>
              <w:right w:val="nil"/>
            </w:tcBorders>
            <w:textDirection w:val="lrTb"/>
            <w:vAlign w:val="top"/>
          </w:tcPr>
          <w:p w:rsidR="002C3B67" w:rsidRPr="00DA5B8F" w:rsidP="00B30D7C">
            <w:pPr>
              <w:bidi w:val="0"/>
              <w:ind w:firstLine="470"/>
              <w:jc w:val="both"/>
              <w:rPr>
                <w:rFonts w:ascii="Times New Roman" w:hAnsi="Times New Roman"/>
                <w:lang w:val="sk-SK"/>
              </w:rPr>
            </w:pPr>
            <w:r w:rsidRPr="00DA5B8F">
              <w:rPr>
                <w:rFonts w:ascii="Times New Roman" w:hAnsi="Times New Roman"/>
                <w:lang w:val="sk-SK"/>
              </w:rPr>
              <w:t>1</w:t>
            </w:r>
            <w:r w:rsidRPr="00DA5B8F" w:rsidR="00B30D7C">
              <w:rPr>
                <w:rFonts w:ascii="Times New Roman" w:hAnsi="Times New Roman"/>
                <w:lang w:val="sk-SK"/>
              </w:rPr>
              <w:t>7</w:t>
            </w:r>
          </w:p>
        </w:tc>
      </w:tr>
      <w:tr>
        <w:tblPrEx>
          <w:tblW w:w="9540" w:type="dxa"/>
          <w:tblInd w:w="70" w:type="dxa"/>
          <w:tblCellMar>
            <w:left w:w="70" w:type="dxa"/>
            <w:right w:w="70" w:type="dxa"/>
          </w:tblCellMar>
        </w:tblPrEx>
        <w:trPr>
          <w:trHeight w:hRule="exact" w:val="586"/>
        </w:trPr>
        <w:tc>
          <w:tcPr>
            <w:tcW w:w="396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Energetika</w:t>
            </w:r>
          </w:p>
        </w:tc>
        <w:tc>
          <w:tcPr>
            <w:tcW w:w="5580" w:type="dxa"/>
            <w:tcBorders>
              <w:top w:val="single" w:sz="4" w:space="0" w:color="C0C0C0"/>
              <w:left w:val="nil"/>
              <w:bottom w:val="single" w:sz="4" w:space="0" w:color="C0C0C0"/>
              <w:right w:val="nil"/>
            </w:tcBorders>
            <w:textDirection w:val="lrTb"/>
            <w:vAlign w:val="top"/>
          </w:tcPr>
          <w:p w:rsidR="008B129C" w:rsidRPr="00DA5B8F" w:rsidP="00CD3A41">
            <w:pPr>
              <w:bidi w:val="0"/>
              <w:ind w:firstLine="567"/>
              <w:rPr>
                <w:rFonts w:ascii="Times New Roman" w:hAnsi="Times New Roman"/>
                <w:lang w:val="sk-SK"/>
              </w:rPr>
            </w:pPr>
            <w:r w:rsidRPr="00DA5B8F">
              <w:rPr>
                <w:rFonts w:ascii="Times New Roman" w:hAnsi="Times New Roman"/>
                <w:lang w:val="sk-SK"/>
              </w:rPr>
              <w:t>0     od 1. 8. 2014</w:t>
            </w:r>
          </w:p>
          <w:p w:rsidR="008B129C" w:rsidRPr="00DA5B8F" w:rsidP="00CD3A41">
            <w:pPr>
              <w:bidi w:val="0"/>
              <w:ind w:firstLine="567"/>
              <w:rPr>
                <w:rFonts w:ascii="Times New Roman" w:hAnsi="Times New Roman"/>
                <w:lang w:val="sk-SK"/>
              </w:rPr>
            </w:pPr>
            <w:r w:rsidRPr="00DA5B8F">
              <w:rPr>
                <w:rFonts w:ascii="Times New Roman" w:hAnsi="Times New Roman"/>
                <w:lang w:val="sk-SK"/>
              </w:rPr>
              <w:t xml:space="preserve">5     do </w:t>
            </w:r>
            <w:r w:rsidRPr="00DA5B8F" w:rsidR="00B30D7C">
              <w:rPr>
                <w:rFonts w:ascii="Times New Roman" w:hAnsi="Times New Roman"/>
                <w:lang w:val="sk-SK"/>
              </w:rPr>
              <w:t>31. 7. 2014</w:t>
            </w:r>
          </w:p>
          <w:p w:rsidR="002C3B67" w:rsidRPr="00DA5B8F" w:rsidP="008B129C">
            <w:pPr>
              <w:bidi w:val="0"/>
              <w:ind w:firstLine="567"/>
              <w:rPr>
                <w:rFonts w:ascii="Times New Roman" w:hAnsi="Times New Roman"/>
                <w:lang w:val="sk-SK"/>
              </w:rPr>
            </w:pPr>
            <w:r w:rsidRPr="00DA5B8F" w:rsidR="00CD3A41">
              <w:rPr>
                <w:rFonts w:ascii="Times New Roman" w:hAnsi="Times New Roman"/>
                <w:lang w:val="sk-SK"/>
              </w:rPr>
              <w:t xml:space="preserve">     </w:t>
            </w:r>
          </w:p>
        </w:tc>
      </w:tr>
      <w:tr>
        <w:tblPrEx>
          <w:tblW w:w="9540" w:type="dxa"/>
          <w:tblInd w:w="70" w:type="dxa"/>
          <w:tblCellMar>
            <w:left w:w="70" w:type="dxa"/>
            <w:right w:w="70" w:type="dxa"/>
          </w:tblCellMar>
        </w:tblPrEx>
        <w:trPr>
          <w:trHeight w:hRule="exact" w:val="340"/>
        </w:trPr>
        <w:tc>
          <w:tcPr>
            <w:tcW w:w="396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Teplárenstvo</w:t>
            </w:r>
          </w:p>
        </w:tc>
        <w:tc>
          <w:tcPr>
            <w:tcW w:w="5580" w:type="dxa"/>
            <w:tcBorders>
              <w:top w:val="single" w:sz="4" w:space="0" w:color="C0C0C0"/>
              <w:left w:val="nil"/>
              <w:bottom w:val="single" w:sz="4" w:space="0" w:color="C0C0C0"/>
              <w:right w:val="nil"/>
            </w:tcBorders>
            <w:textDirection w:val="lrTb"/>
            <w:vAlign w:val="top"/>
          </w:tcPr>
          <w:p w:rsidR="002C3B67" w:rsidRPr="00DA5B8F">
            <w:pPr>
              <w:bidi w:val="0"/>
              <w:ind w:firstLine="567"/>
              <w:jc w:val="both"/>
              <w:rPr>
                <w:rFonts w:ascii="Times New Roman" w:hAnsi="Times New Roman"/>
                <w:lang w:val="sk-SK"/>
              </w:rPr>
            </w:pPr>
            <w:r w:rsidRPr="00DA5B8F">
              <w:rPr>
                <w:rFonts w:ascii="Times New Roman" w:hAnsi="Times New Roman"/>
                <w:lang w:val="sk-SK"/>
              </w:rPr>
              <w:t>6</w:t>
            </w:r>
          </w:p>
        </w:tc>
      </w:tr>
      <w:tr>
        <w:tblPrEx>
          <w:tblW w:w="9540" w:type="dxa"/>
          <w:tblInd w:w="70" w:type="dxa"/>
          <w:tblCellMar>
            <w:left w:w="70" w:type="dxa"/>
            <w:right w:w="70" w:type="dxa"/>
          </w:tblCellMar>
        </w:tblPrEx>
        <w:trPr>
          <w:trHeight w:hRule="exact" w:val="340"/>
        </w:trPr>
        <w:tc>
          <w:tcPr>
            <w:tcW w:w="396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Vodárenstvo</w:t>
            </w:r>
          </w:p>
        </w:tc>
        <w:tc>
          <w:tcPr>
            <w:tcW w:w="5580" w:type="dxa"/>
            <w:tcBorders>
              <w:top w:val="single" w:sz="4" w:space="0" w:color="C0C0C0"/>
              <w:left w:val="nil"/>
              <w:bottom w:val="single" w:sz="4" w:space="0" w:color="C0C0C0"/>
              <w:right w:val="nil"/>
            </w:tcBorders>
            <w:textDirection w:val="lrTb"/>
            <w:vAlign w:val="top"/>
          </w:tcPr>
          <w:p w:rsidR="002C3B67" w:rsidRPr="00DA5B8F" w:rsidP="00B30D7C">
            <w:pPr>
              <w:bidi w:val="0"/>
              <w:ind w:firstLine="567"/>
              <w:jc w:val="both"/>
              <w:rPr>
                <w:rFonts w:ascii="Times New Roman" w:hAnsi="Times New Roman"/>
                <w:lang w:val="sk-SK"/>
              </w:rPr>
            </w:pPr>
            <w:r w:rsidRPr="00DA5B8F" w:rsidR="00B30D7C">
              <w:rPr>
                <w:rFonts w:ascii="Times New Roman" w:hAnsi="Times New Roman"/>
                <w:lang w:val="sk-SK"/>
              </w:rPr>
              <w:t>1</w:t>
            </w:r>
          </w:p>
        </w:tc>
      </w:tr>
      <w:tr>
        <w:tblPrEx>
          <w:tblW w:w="9540" w:type="dxa"/>
          <w:tblInd w:w="70" w:type="dxa"/>
          <w:tblCellMar>
            <w:left w:w="70" w:type="dxa"/>
            <w:right w:w="70" w:type="dxa"/>
          </w:tblCellMar>
        </w:tblPrEx>
        <w:trPr>
          <w:trHeight w:hRule="exact" w:val="340"/>
        </w:trPr>
        <w:tc>
          <w:tcPr>
            <w:tcW w:w="396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Zdravotníctvo</w:t>
            </w:r>
          </w:p>
        </w:tc>
        <w:tc>
          <w:tcPr>
            <w:tcW w:w="5580" w:type="dxa"/>
            <w:tcBorders>
              <w:top w:val="single" w:sz="4" w:space="0" w:color="C0C0C0"/>
              <w:left w:val="nil"/>
              <w:bottom w:val="single" w:sz="4" w:space="0" w:color="C0C0C0"/>
              <w:right w:val="nil"/>
            </w:tcBorders>
            <w:textDirection w:val="lrTb"/>
            <w:vAlign w:val="top"/>
          </w:tcPr>
          <w:p w:rsidR="002C3B67" w:rsidRPr="00DA5B8F">
            <w:pPr>
              <w:bidi w:val="0"/>
              <w:ind w:firstLine="567"/>
              <w:jc w:val="both"/>
              <w:rPr>
                <w:rFonts w:ascii="Times New Roman" w:hAnsi="Times New Roman"/>
                <w:lang w:val="sk-SK"/>
              </w:rPr>
            </w:pPr>
            <w:r w:rsidRPr="00DA5B8F">
              <w:rPr>
                <w:rFonts w:ascii="Times New Roman" w:hAnsi="Times New Roman"/>
                <w:lang w:val="sk-SK"/>
              </w:rPr>
              <w:t>3</w:t>
            </w:r>
          </w:p>
        </w:tc>
      </w:tr>
      <w:tr>
        <w:tblPrEx>
          <w:tblW w:w="9540" w:type="dxa"/>
          <w:tblInd w:w="70" w:type="dxa"/>
          <w:tblCellMar>
            <w:left w:w="70" w:type="dxa"/>
            <w:right w:w="70" w:type="dxa"/>
          </w:tblCellMar>
        </w:tblPrEx>
        <w:trPr>
          <w:trHeight w:hRule="exact" w:val="340"/>
        </w:trPr>
        <w:tc>
          <w:tcPr>
            <w:tcW w:w="396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Strojárenstvo</w:t>
            </w:r>
          </w:p>
        </w:tc>
        <w:tc>
          <w:tcPr>
            <w:tcW w:w="5580" w:type="dxa"/>
            <w:tcBorders>
              <w:top w:val="single" w:sz="4" w:space="0" w:color="C0C0C0"/>
              <w:left w:val="nil"/>
              <w:bottom w:val="single" w:sz="4" w:space="0" w:color="C0C0C0"/>
              <w:right w:val="nil"/>
            </w:tcBorders>
            <w:textDirection w:val="lrTb"/>
            <w:vAlign w:val="top"/>
          </w:tcPr>
          <w:p w:rsidR="002C3B67" w:rsidRPr="00DA5B8F">
            <w:pPr>
              <w:bidi w:val="0"/>
              <w:ind w:firstLine="567"/>
              <w:jc w:val="both"/>
              <w:rPr>
                <w:rFonts w:ascii="Times New Roman" w:hAnsi="Times New Roman"/>
                <w:lang w:val="sk-SK"/>
              </w:rPr>
            </w:pPr>
            <w:r w:rsidRPr="00DA5B8F">
              <w:rPr>
                <w:rFonts w:ascii="Times New Roman" w:hAnsi="Times New Roman"/>
                <w:lang w:val="sk-SK"/>
              </w:rPr>
              <w:t>1</w:t>
            </w:r>
          </w:p>
        </w:tc>
      </w:tr>
      <w:tr>
        <w:tblPrEx>
          <w:tblW w:w="9540" w:type="dxa"/>
          <w:tblInd w:w="70" w:type="dxa"/>
          <w:tblCellMar>
            <w:left w:w="70" w:type="dxa"/>
            <w:right w:w="70" w:type="dxa"/>
          </w:tblCellMar>
        </w:tblPrEx>
        <w:trPr>
          <w:trHeight w:hRule="exact" w:val="340"/>
        </w:trPr>
        <w:tc>
          <w:tcPr>
            <w:tcW w:w="396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Kapitálový trh</w:t>
            </w:r>
          </w:p>
        </w:tc>
        <w:tc>
          <w:tcPr>
            <w:tcW w:w="5580" w:type="dxa"/>
            <w:tcBorders>
              <w:top w:val="single" w:sz="4" w:space="0" w:color="C0C0C0"/>
              <w:left w:val="nil"/>
              <w:bottom w:val="single" w:sz="4" w:space="0" w:color="C0C0C0"/>
              <w:right w:val="nil"/>
            </w:tcBorders>
            <w:textDirection w:val="lrTb"/>
            <w:vAlign w:val="top"/>
          </w:tcPr>
          <w:p w:rsidR="002C3B67" w:rsidRPr="00DA5B8F">
            <w:pPr>
              <w:bidi w:val="0"/>
              <w:ind w:firstLine="567"/>
              <w:jc w:val="both"/>
              <w:rPr>
                <w:rFonts w:ascii="Times New Roman" w:hAnsi="Times New Roman"/>
                <w:lang w:val="sk-SK"/>
              </w:rPr>
            </w:pPr>
            <w:r w:rsidRPr="00DA5B8F">
              <w:rPr>
                <w:rFonts w:ascii="Times New Roman" w:hAnsi="Times New Roman"/>
                <w:lang w:val="sk-SK"/>
              </w:rPr>
              <w:t>2</w:t>
            </w:r>
          </w:p>
        </w:tc>
      </w:tr>
      <w:tr>
        <w:tblPrEx>
          <w:tblW w:w="9540" w:type="dxa"/>
          <w:tblInd w:w="70" w:type="dxa"/>
          <w:tblCellMar>
            <w:left w:w="70" w:type="dxa"/>
            <w:right w:w="70" w:type="dxa"/>
          </w:tblCellMar>
        </w:tblPrEx>
        <w:trPr>
          <w:trHeight w:hRule="exact" w:val="340"/>
        </w:trPr>
        <w:tc>
          <w:tcPr>
            <w:tcW w:w="3960" w:type="dxa"/>
            <w:tcBorders>
              <w:top w:val="single" w:sz="4" w:space="0" w:color="C0C0C0"/>
              <w:left w:val="nil"/>
              <w:bottom w:val="double" w:sz="6" w:space="0" w:color="999999"/>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Ostatné</w:t>
            </w:r>
          </w:p>
        </w:tc>
        <w:tc>
          <w:tcPr>
            <w:tcW w:w="5580" w:type="dxa"/>
            <w:tcBorders>
              <w:top w:val="single" w:sz="4" w:space="0" w:color="C0C0C0"/>
              <w:left w:val="nil"/>
              <w:bottom w:val="double" w:sz="6" w:space="0" w:color="999999"/>
              <w:right w:val="nil"/>
            </w:tcBorders>
            <w:textDirection w:val="lrTb"/>
            <w:vAlign w:val="top"/>
          </w:tcPr>
          <w:p w:rsidR="002C3B67" w:rsidRPr="00DA5B8F">
            <w:pPr>
              <w:bidi w:val="0"/>
              <w:ind w:firstLine="567"/>
              <w:jc w:val="both"/>
              <w:rPr>
                <w:rFonts w:ascii="Times New Roman" w:hAnsi="Times New Roman"/>
                <w:lang w:val="sk-SK"/>
              </w:rPr>
            </w:pPr>
            <w:r w:rsidRPr="00DA5B8F">
              <w:rPr>
                <w:rFonts w:ascii="Times New Roman" w:hAnsi="Times New Roman"/>
                <w:lang w:val="sk-SK"/>
              </w:rPr>
              <w:t>1</w:t>
            </w:r>
          </w:p>
        </w:tc>
      </w:tr>
      <w:tr>
        <w:tblPrEx>
          <w:tblW w:w="9540" w:type="dxa"/>
          <w:tblInd w:w="70" w:type="dxa"/>
          <w:tblCellMar>
            <w:left w:w="70" w:type="dxa"/>
            <w:right w:w="70" w:type="dxa"/>
          </w:tblCellMar>
        </w:tblPrEx>
        <w:trPr>
          <w:trHeight w:hRule="exact" w:val="340"/>
        </w:trPr>
        <w:tc>
          <w:tcPr>
            <w:tcW w:w="3960" w:type="dxa"/>
            <w:tcBorders>
              <w:top w:val="double" w:sz="6" w:space="0" w:color="999999"/>
              <w:left w:val="nil"/>
              <w:bottom w:val="single" w:sz="4" w:space="0" w:color="C0C0C0"/>
              <w:right w:val="nil"/>
            </w:tcBorders>
            <w:shd w:val="clear" w:color="auto" w:fill="CCCCFF"/>
            <w:textDirection w:val="lrTb"/>
            <w:vAlign w:val="top"/>
          </w:tcPr>
          <w:p w:rsidR="002C3B67" w:rsidRPr="00DA5B8F">
            <w:pPr>
              <w:bidi w:val="0"/>
              <w:ind w:firstLine="567"/>
              <w:rPr>
                <w:rFonts w:ascii="Times New Roman" w:hAnsi="Times New Roman"/>
                <w:b/>
                <w:bCs/>
                <w:lang w:val="sk-SK"/>
              </w:rPr>
            </w:pPr>
            <w:r w:rsidRPr="00DA5B8F">
              <w:rPr>
                <w:rFonts w:ascii="Times New Roman" w:hAnsi="Times New Roman"/>
                <w:b/>
                <w:bCs/>
                <w:lang w:val="sk-SK"/>
              </w:rPr>
              <w:t>Spolu</w:t>
            </w:r>
          </w:p>
        </w:tc>
        <w:tc>
          <w:tcPr>
            <w:tcW w:w="5580" w:type="dxa"/>
            <w:tcBorders>
              <w:top w:val="double" w:sz="6" w:space="0" w:color="999999"/>
              <w:left w:val="nil"/>
              <w:bottom w:val="single" w:sz="4" w:space="0" w:color="C0C0C0"/>
              <w:right w:val="nil"/>
            </w:tcBorders>
            <w:shd w:val="clear" w:color="auto" w:fill="CCCCFF"/>
            <w:textDirection w:val="lrTb"/>
            <w:vAlign w:val="top"/>
          </w:tcPr>
          <w:p w:rsidR="002C3B67" w:rsidRPr="00DA5B8F" w:rsidP="00B30D7C">
            <w:pPr>
              <w:bidi w:val="0"/>
              <w:ind w:firstLine="470"/>
              <w:rPr>
                <w:rFonts w:ascii="Times New Roman" w:hAnsi="Times New Roman"/>
                <w:b/>
                <w:bCs/>
                <w:lang w:val="sk-SK"/>
              </w:rPr>
            </w:pPr>
            <w:r w:rsidRPr="00DA5B8F">
              <w:rPr>
                <w:rFonts w:ascii="Times New Roman" w:hAnsi="Times New Roman"/>
                <w:b/>
                <w:bCs/>
                <w:lang w:val="sk-SK"/>
              </w:rPr>
              <w:t>3</w:t>
            </w:r>
            <w:r w:rsidRPr="00DA5B8F" w:rsidR="00B30D7C">
              <w:rPr>
                <w:rFonts w:ascii="Times New Roman" w:hAnsi="Times New Roman"/>
                <w:b/>
                <w:bCs/>
                <w:lang w:val="sk-SK"/>
              </w:rPr>
              <w:t>1</w:t>
            </w:r>
          </w:p>
        </w:tc>
      </w:tr>
    </w:tbl>
    <w:p w:rsidR="002C3B67" w:rsidRPr="00DA5B8F" w:rsidP="00F46C00">
      <w:pPr>
        <w:pStyle w:val="BodyTextIndent1"/>
        <w:tabs>
          <w:tab w:val="num" w:pos="0"/>
          <w:tab w:val="clear" w:pos="540"/>
        </w:tabs>
        <w:overflowPunct/>
        <w:autoSpaceDE/>
        <w:autoSpaceDN/>
        <w:bidi w:val="0"/>
        <w:adjustRightInd/>
        <w:spacing w:before="240" w:line="264" w:lineRule="auto"/>
        <w:rPr>
          <w:rFonts w:ascii="Times New Roman" w:hAnsi="Times New Roman"/>
        </w:rPr>
      </w:pPr>
      <w:r w:rsidRPr="00DA5B8F">
        <w:rPr>
          <w:rFonts w:ascii="Times New Roman" w:hAnsi="Times New Roman"/>
        </w:rPr>
        <w:t>Najvýznamnejšími spoločnosťami, v ktorých má fond majetkovú účasť, z hľadiska výšky základného imania, majetkovej účasti a vyplácania dividend, sú podniky energetiky, teplárenstva a spoločnosť ST, a. s.</w:t>
      </w:r>
    </w:p>
    <w:p w:rsidR="00445315"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sidR="002C3B67">
        <w:rPr>
          <w:rFonts w:ascii="Times New Roman" w:hAnsi="Times New Roman"/>
        </w:rPr>
        <w:t>V oblasti dividendovej politiky vlády fond aktívne pristupoval k príprave riadnych VZ za účelom prijatia rozhodnutí o výplate dividend zo zisku dosiahnutého spoločnosťami s majetkovou účasťou fondu za účtovné obdobie roku 201</w:t>
      </w:r>
      <w:r w:rsidRPr="00DA5B8F" w:rsidR="003E26D2">
        <w:rPr>
          <w:rFonts w:ascii="Times New Roman" w:hAnsi="Times New Roman"/>
        </w:rPr>
        <w:t>3</w:t>
      </w:r>
      <w:r w:rsidRPr="00DA5B8F" w:rsidR="002C3B67">
        <w:rPr>
          <w:rFonts w:ascii="Times New Roman" w:hAnsi="Times New Roman"/>
        </w:rPr>
        <w:t>. Zo zisku roku 201</w:t>
      </w:r>
      <w:r w:rsidRPr="00DA5B8F" w:rsidR="003E26D2">
        <w:rPr>
          <w:rFonts w:ascii="Times New Roman" w:hAnsi="Times New Roman"/>
        </w:rPr>
        <w:t>3</w:t>
      </w:r>
      <w:r w:rsidRPr="00DA5B8F" w:rsidR="002C3B67">
        <w:rPr>
          <w:rFonts w:ascii="Times New Roman" w:hAnsi="Times New Roman"/>
        </w:rPr>
        <w:t xml:space="preserve"> fond zabezpečil dividendy v celkovej výške </w:t>
      </w:r>
      <w:r w:rsidRPr="00DA5B8F">
        <w:rPr>
          <w:rFonts w:ascii="Times New Roman" w:hAnsi="Times New Roman"/>
        </w:rPr>
        <w:t>79</w:t>
      </w:r>
      <w:r w:rsidRPr="00DA5B8F" w:rsidR="002C3B67">
        <w:rPr>
          <w:rFonts w:ascii="Times New Roman" w:hAnsi="Times New Roman"/>
        </w:rPr>
        <w:t> </w:t>
      </w:r>
      <w:r w:rsidRPr="00DA5B8F">
        <w:rPr>
          <w:rFonts w:ascii="Times New Roman" w:hAnsi="Times New Roman"/>
        </w:rPr>
        <w:t>638</w:t>
      </w:r>
      <w:r w:rsidRPr="00DA5B8F" w:rsidR="002C3B67">
        <w:rPr>
          <w:rFonts w:ascii="Times New Roman" w:hAnsi="Times New Roman"/>
        </w:rPr>
        <w:t> tis. Eur, z toho dividendy zo zisku energetických podnikov a spoločnosti ST, a. s. predstavovali 99,</w:t>
      </w:r>
      <w:r w:rsidRPr="00DA5B8F" w:rsidR="00582972">
        <w:rPr>
          <w:rFonts w:ascii="Times New Roman" w:hAnsi="Times New Roman"/>
        </w:rPr>
        <w:t>0</w:t>
      </w:r>
      <w:r w:rsidRPr="00DA5B8F" w:rsidR="002C3B67">
        <w:rPr>
          <w:rFonts w:ascii="Times New Roman" w:hAnsi="Times New Roman"/>
        </w:rPr>
        <w:t xml:space="preserve"> % podiel z celkového objemu dividend. </w:t>
      </w:r>
      <w:r w:rsidRPr="00DA5B8F">
        <w:rPr>
          <w:rFonts w:ascii="Times New Roman" w:hAnsi="Times New Roman"/>
        </w:rPr>
        <w:t>Výrazný pokles dividend oproti roku 2013 zapríčin</w:t>
      </w:r>
      <w:r w:rsidRPr="00DA5B8F" w:rsidR="008F75B8">
        <w:rPr>
          <w:rFonts w:ascii="Times New Roman" w:hAnsi="Times New Roman"/>
        </w:rPr>
        <w:t>il</w:t>
      </w:r>
      <w:r w:rsidRPr="00DA5B8F">
        <w:rPr>
          <w:rFonts w:ascii="Times New Roman" w:hAnsi="Times New Roman"/>
        </w:rPr>
        <w:t xml:space="preserve"> výpad</w:t>
      </w:r>
      <w:r w:rsidRPr="00DA5B8F" w:rsidR="008F75B8">
        <w:rPr>
          <w:rFonts w:ascii="Times New Roman" w:hAnsi="Times New Roman"/>
        </w:rPr>
        <w:t>o</w:t>
      </w:r>
      <w:r w:rsidRPr="00DA5B8F">
        <w:rPr>
          <w:rFonts w:ascii="Times New Roman" w:hAnsi="Times New Roman"/>
        </w:rPr>
        <w:t xml:space="preserve">k dividend </w:t>
      </w:r>
      <w:r w:rsidRPr="00DA5B8F" w:rsidR="00582972">
        <w:rPr>
          <w:rFonts w:ascii="Times New Roman" w:hAnsi="Times New Roman"/>
        </w:rPr>
        <w:t xml:space="preserve">z </w:t>
      </w:r>
      <w:r w:rsidRPr="00DA5B8F">
        <w:rPr>
          <w:rFonts w:ascii="Times New Roman" w:hAnsi="Times New Roman"/>
        </w:rPr>
        <w:t>SPP</w:t>
      </w:r>
      <w:r w:rsidRPr="00DA5B8F" w:rsidR="008F75B8">
        <w:rPr>
          <w:rFonts w:ascii="Times New Roman" w:hAnsi="Times New Roman"/>
        </w:rPr>
        <w:t>, a. s.,</w:t>
      </w:r>
      <w:r w:rsidRPr="00DA5B8F">
        <w:rPr>
          <w:rFonts w:ascii="Times New Roman" w:hAnsi="Times New Roman"/>
        </w:rPr>
        <w:t xml:space="preserve"> plánovan</w:t>
      </w:r>
      <w:r w:rsidRPr="00DA5B8F" w:rsidR="008F75B8">
        <w:rPr>
          <w:rFonts w:ascii="Times New Roman" w:hAnsi="Times New Roman"/>
        </w:rPr>
        <w:t>é vo</w:t>
      </w:r>
      <w:r w:rsidRPr="00DA5B8F">
        <w:rPr>
          <w:rFonts w:ascii="Times New Roman" w:hAnsi="Times New Roman"/>
        </w:rPr>
        <w:t xml:space="preserve"> výške 735</w:t>
      </w:r>
      <w:r w:rsidRPr="00DA5B8F" w:rsidR="008F75B8">
        <w:rPr>
          <w:rFonts w:ascii="Times New Roman" w:hAnsi="Times New Roman"/>
        </w:rPr>
        <w:t> </w:t>
      </w:r>
      <w:r w:rsidRPr="00DA5B8F">
        <w:rPr>
          <w:rFonts w:ascii="Times New Roman" w:hAnsi="Times New Roman"/>
        </w:rPr>
        <w:t>000</w:t>
      </w:r>
      <w:r w:rsidRPr="00DA5B8F" w:rsidR="008F75B8">
        <w:rPr>
          <w:rFonts w:ascii="Times New Roman" w:hAnsi="Times New Roman"/>
        </w:rPr>
        <w:t> tis. Eur, keďže a</w:t>
      </w:r>
      <w:r w:rsidRPr="00DA5B8F">
        <w:rPr>
          <w:rFonts w:ascii="Times New Roman" w:hAnsi="Times New Roman"/>
        </w:rPr>
        <w:t>kcie tejto spoločnosti boli prevedené na účet M</w:t>
      </w:r>
      <w:r w:rsidRPr="00DA5B8F" w:rsidR="008F75B8">
        <w:rPr>
          <w:rFonts w:ascii="Times New Roman" w:hAnsi="Times New Roman"/>
        </w:rPr>
        <w:t>H </w:t>
      </w:r>
      <w:r w:rsidRPr="00DA5B8F">
        <w:rPr>
          <w:rFonts w:ascii="Times New Roman" w:hAnsi="Times New Roman"/>
        </w:rPr>
        <w:t>SR, ešte pred rozhodnutím o výplate dividend zo zisku za rok 2013.</w:t>
      </w:r>
    </w:p>
    <w:p w:rsidR="00F550DA"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sidR="00582972">
        <w:rPr>
          <w:rFonts w:ascii="Times New Roman" w:hAnsi="Times New Roman"/>
        </w:rPr>
        <w:t>N</w:t>
      </w:r>
      <w:r w:rsidRPr="00DA5B8F" w:rsidR="00E25641">
        <w:rPr>
          <w:rFonts w:ascii="Times New Roman" w:hAnsi="Times New Roman"/>
        </w:rPr>
        <w:t xml:space="preserve">a doplnenie štátnych finančných aktív </w:t>
      </w:r>
      <w:r w:rsidRPr="00DA5B8F" w:rsidR="00582972">
        <w:rPr>
          <w:rFonts w:ascii="Times New Roman" w:hAnsi="Times New Roman"/>
        </w:rPr>
        <w:t xml:space="preserve">fond zabezpečil </w:t>
      </w:r>
      <w:r w:rsidRPr="00DA5B8F" w:rsidR="002C3B67">
        <w:rPr>
          <w:rFonts w:ascii="Times New Roman" w:hAnsi="Times New Roman"/>
        </w:rPr>
        <w:t xml:space="preserve">ďalšie dividendy z nerozdeleného zisku minulých rokov, či už priamo na riadnych VZ alebo dodatočnými rozhodnutiami </w:t>
      </w:r>
      <w:r w:rsidRPr="00DA5B8F" w:rsidR="00582972">
        <w:rPr>
          <w:rFonts w:ascii="Times New Roman" w:hAnsi="Times New Roman"/>
        </w:rPr>
        <w:t xml:space="preserve">v druhom polroku roku 2014 </w:t>
      </w:r>
      <w:r w:rsidRPr="00DA5B8F" w:rsidR="002C3B67">
        <w:rPr>
          <w:rFonts w:ascii="Times New Roman" w:hAnsi="Times New Roman"/>
        </w:rPr>
        <w:t xml:space="preserve">v spoločnostiach s majetkovou účasťou fondu </w:t>
      </w:r>
      <w:r w:rsidRPr="00DA5B8F" w:rsidR="00E25641">
        <w:rPr>
          <w:rFonts w:ascii="Times New Roman" w:hAnsi="Times New Roman"/>
        </w:rPr>
        <w:t xml:space="preserve">(Stredoslovenská energetika, a. s. a spoločnosti autobusovej dopravy) </w:t>
      </w:r>
      <w:r w:rsidRPr="00DA5B8F" w:rsidR="002C3B67">
        <w:rPr>
          <w:rFonts w:ascii="Times New Roman" w:hAnsi="Times New Roman"/>
        </w:rPr>
        <w:t xml:space="preserve">v celkovej sume </w:t>
      </w:r>
      <w:r w:rsidRPr="00DA5B8F" w:rsidR="00E25641">
        <w:rPr>
          <w:rFonts w:ascii="Times New Roman" w:hAnsi="Times New Roman"/>
        </w:rPr>
        <w:t>14</w:t>
      </w:r>
      <w:r w:rsidRPr="00DA5B8F" w:rsidR="002C3B67">
        <w:rPr>
          <w:rFonts w:ascii="Times New Roman" w:hAnsi="Times New Roman"/>
        </w:rPr>
        <w:t> </w:t>
      </w:r>
      <w:r w:rsidRPr="00DA5B8F" w:rsidR="00E25641">
        <w:rPr>
          <w:rFonts w:ascii="Times New Roman" w:hAnsi="Times New Roman"/>
        </w:rPr>
        <w:t>953</w:t>
      </w:r>
      <w:r w:rsidRPr="00DA5B8F" w:rsidR="002C3B67">
        <w:rPr>
          <w:rFonts w:ascii="Times New Roman" w:hAnsi="Times New Roman"/>
        </w:rPr>
        <w:t xml:space="preserve"> tis. Eur. Osobitne fond sledoval dividendy, ktoré zabezpečil pri vykonávaní akcionárskych práv v spoločnostiach, ktorých akcie nadobudol darovaním. </w:t>
      </w:r>
      <w:r w:rsidRPr="00DA5B8F">
        <w:rPr>
          <w:rFonts w:ascii="Times New Roman" w:hAnsi="Times New Roman"/>
        </w:rPr>
        <w:t>Tieto dividendy dosiahli v roku 2013 objem 78 tis. Eur, čo je o 100% viac oproti roku 2013.</w:t>
      </w:r>
    </w:p>
    <w:p w:rsidR="002C3B67"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sidR="00057B10">
        <w:rPr>
          <w:rFonts w:ascii="Times New Roman" w:hAnsi="Times New Roman"/>
        </w:rPr>
        <w:t xml:space="preserve">Celkovo boli na bankové účty fondu v roku 2014 </w:t>
      </w:r>
      <w:r w:rsidRPr="00DA5B8F" w:rsidR="002C2EF1">
        <w:rPr>
          <w:rFonts w:ascii="Times New Roman" w:hAnsi="Times New Roman"/>
        </w:rPr>
        <w:t xml:space="preserve">pripísané peňažné prostriedky z dividend vo výške 266 032 tis. Eur. Z toho </w:t>
      </w:r>
      <w:r w:rsidRPr="00DA5B8F">
        <w:rPr>
          <w:rFonts w:ascii="Times New Roman" w:hAnsi="Times New Roman"/>
        </w:rPr>
        <w:t>dividend</w:t>
      </w:r>
      <w:r w:rsidRPr="00DA5B8F" w:rsidR="002C2EF1">
        <w:rPr>
          <w:rFonts w:ascii="Times New Roman" w:hAnsi="Times New Roman"/>
        </w:rPr>
        <w:t>y</w:t>
      </w:r>
      <w:r w:rsidRPr="00DA5B8F">
        <w:rPr>
          <w:rFonts w:ascii="Times New Roman" w:hAnsi="Times New Roman"/>
        </w:rPr>
        <w:t xml:space="preserve"> schválen</w:t>
      </w:r>
      <w:r w:rsidRPr="00DA5B8F" w:rsidR="002C2EF1">
        <w:rPr>
          <w:rFonts w:ascii="Times New Roman" w:hAnsi="Times New Roman"/>
        </w:rPr>
        <w:t>é</w:t>
      </w:r>
      <w:r w:rsidRPr="00DA5B8F">
        <w:rPr>
          <w:rFonts w:ascii="Times New Roman" w:hAnsi="Times New Roman"/>
        </w:rPr>
        <w:t xml:space="preserve"> v roku 201</w:t>
      </w:r>
      <w:r w:rsidRPr="00DA5B8F" w:rsidR="002C2EF1">
        <w:rPr>
          <w:rFonts w:ascii="Times New Roman" w:hAnsi="Times New Roman"/>
        </w:rPr>
        <w:t>4</w:t>
      </w:r>
      <w:r w:rsidRPr="00DA5B8F">
        <w:rPr>
          <w:rFonts w:ascii="Times New Roman" w:hAnsi="Times New Roman"/>
        </w:rPr>
        <w:t xml:space="preserve"> predstavuj</w:t>
      </w:r>
      <w:r w:rsidRPr="00DA5B8F" w:rsidR="002C2EF1">
        <w:rPr>
          <w:rFonts w:ascii="Times New Roman" w:hAnsi="Times New Roman"/>
        </w:rPr>
        <w:t>ú</w:t>
      </w:r>
      <w:r w:rsidRPr="00DA5B8F">
        <w:rPr>
          <w:rFonts w:ascii="Times New Roman" w:hAnsi="Times New Roman"/>
        </w:rPr>
        <w:t xml:space="preserve"> objem </w:t>
      </w:r>
      <w:r w:rsidRPr="00DA5B8F" w:rsidR="002C2EF1">
        <w:rPr>
          <w:rFonts w:ascii="Times New Roman" w:hAnsi="Times New Roman"/>
        </w:rPr>
        <w:t>79</w:t>
      </w:r>
      <w:r w:rsidRPr="00DA5B8F">
        <w:rPr>
          <w:rFonts w:ascii="Times New Roman" w:hAnsi="Times New Roman"/>
        </w:rPr>
        <w:t> </w:t>
      </w:r>
      <w:r w:rsidRPr="00DA5B8F" w:rsidR="002C2EF1">
        <w:rPr>
          <w:rFonts w:ascii="Times New Roman" w:hAnsi="Times New Roman"/>
        </w:rPr>
        <w:t>716</w:t>
      </w:r>
      <w:r w:rsidRPr="00DA5B8F">
        <w:rPr>
          <w:rFonts w:ascii="Times New Roman" w:hAnsi="Times New Roman"/>
        </w:rPr>
        <w:t> tis. Eur</w:t>
      </w:r>
      <w:r w:rsidRPr="00DA5B8F" w:rsidR="002C2EF1">
        <w:rPr>
          <w:rFonts w:ascii="Times New Roman" w:hAnsi="Times New Roman"/>
        </w:rPr>
        <w:t xml:space="preserve"> a r</w:t>
      </w:r>
      <w:r w:rsidRPr="00DA5B8F">
        <w:rPr>
          <w:rFonts w:ascii="Times New Roman" w:hAnsi="Times New Roman"/>
        </w:rPr>
        <w:t xml:space="preserve">ozdiel vo výške 186 316 tis. Eur </w:t>
      </w:r>
      <w:r w:rsidRPr="00DA5B8F" w:rsidR="002C2EF1">
        <w:rPr>
          <w:rFonts w:ascii="Times New Roman" w:hAnsi="Times New Roman"/>
        </w:rPr>
        <w:t xml:space="preserve">tvoria dividendy z SPP, a. s. schválené v roku 2013 splatné v roku </w:t>
      </w:r>
      <w:r w:rsidRPr="00DA5B8F">
        <w:rPr>
          <w:rFonts w:ascii="Times New Roman" w:hAnsi="Times New Roman"/>
        </w:rPr>
        <w:t>2014.</w:t>
      </w:r>
    </w:p>
    <w:p w:rsidR="002C3B67" w:rsidRPr="00DA5B8F">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Príjmy fondu z</w:t>
      </w:r>
      <w:r w:rsidRPr="00DA5B8F" w:rsidR="00CD3A41">
        <w:rPr>
          <w:rFonts w:ascii="Times New Roman" w:hAnsi="Times New Roman"/>
        </w:rPr>
        <w:t> </w:t>
      </w:r>
      <w:r w:rsidRPr="00DA5B8F">
        <w:rPr>
          <w:rFonts w:ascii="Times New Roman" w:hAnsi="Times New Roman"/>
        </w:rPr>
        <w:t>dividend</w:t>
      </w:r>
      <w:r w:rsidRPr="00DA5B8F" w:rsidR="00CD3A41">
        <w:rPr>
          <w:rFonts w:ascii="Times New Roman" w:hAnsi="Times New Roman"/>
        </w:rPr>
        <w:t xml:space="preserve"> v roku 2014</w:t>
      </w:r>
    </w:p>
    <w:tbl>
      <w:tblPr>
        <w:tblStyle w:val="TableNormal"/>
        <w:tblW w:w="9540" w:type="dxa"/>
        <w:tblInd w:w="70" w:type="dxa"/>
        <w:tblBorders>
          <w:top w:val="single" w:sz="4" w:space="0" w:color="C0C0C0"/>
          <w:bottom w:val="single" w:sz="4" w:space="0" w:color="C0C0C0"/>
          <w:insideH w:val="single" w:sz="4" w:space="0" w:color="C0C0C0"/>
        </w:tblBorders>
        <w:tblCellMar>
          <w:left w:w="70" w:type="dxa"/>
          <w:right w:w="70" w:type="dxa"/>
        </w:tblCellMar>
      </w:tblPr>
      <w:tblGrid>
        <w:gridCol w:w="7020"/>
        <w:gridCol w:w="2520"/>
      </w:tblGrid>
      <w:tr>
        <w:tblPrEx>
          <w:tblW w:w="9540" w:type="dxa"/>
          <w:tblInd w:w="70" w:type="dxa"/>
          <w:tblBorders>
            <w:top w:val="single" w:sz="4" w:space="0" w:color="C0C0C0"/>
            <w:bottom w:val="single" w:sz="4" w:space="0" w:color="C0C0C0"/>
            <w:insideH w:val="single" w:sz="4" w:space="0" w:color="C0C0C0"/>
          </w:tblBorders>
          <w:tblCellMar>
            <w:left w:w="70" w:type="dxa"/>
            <w:right w:w="70" w:type="dxa"/>
          </w:tblCellMar>
        </w:tblPrEx>
        <w:trPr>
          <w:trHeight w:hRule="exact" w:val="340"/>
        </w:trPr>
        <w:tc>
          <w:tcPr>
            <w:tcW w:w="7020" w:type="dxa"/>
            <w:tcBorders>
              <w:top w:val="single" w:sz="4" w:space="0" w:color="C0C0C0"/>
              <w:left w:val="nil"/>
              <w:bottom w:val="double" w:sz="6" w:space="0" w:color="999999"/>
              <w:right w:val="nil"/>
            </w:tcBorders>
            <w:shd w:val="clear" w:color="auto" w:fill="CCCCFF"/>
            <w:textDirection w:val="lrTb"/>
            <w:vAlign w:val="top"/>
          </w:tcPr>
          <w:p w:rsidR="002C3B67" w:rsidRPr="00DA5B8F" w:rsidP="00DB1E71">
            <w:pPr>
              <w:bidi w:val="0"/>
              <w:ind w:firstLine="110"/>
              <w:rPr>
                <w:rFonts w:ascii="Times New Roman" w:hAnsi="Times New Roman"/>
                <w:b/>
                <w:bCs/>
                <w:lang w:val="sk-SK"/>
              </w:rPr>
            </w:pPr>
            <w:r w:rsidRPr="00DA5B8F">
              <w:rPr>
                <w:rFonts w:ascii="Times New Roman" w:hAnsi="Times New Roman"/>
                <w:b/>
                <w:bCs/>
                <w:lang w:val="sk-SK"/>
              </w:rPr>
              <w:t>Schválené VZ v roku 201</w:t>
            </w:r>
            <w:r w:rsidRPr="00DA5B8F" w:rsidR="00DB1E71">
              <w:rPr>
                <w:rFonts w:ascii="Times New Roman" w:hAnsi="Times New Roman"/>
                <w:b/>
                <w:bCs/>
                <w:lang w:val="sk-SK"/>
              </w:rPr>
              <w:t>3</w:t>
            </w:r>
            <w:r w:rsidRPr="00DA5B8F">
              <w:rPr>
                <w:rFonts w:ascii="Times New Roman" w:hAnsi="Times New Roman"/>
                <w:b/>
                <w:bCs/>
                <w:lang w:val="sk-SK"/>
              </w:rPr>
              <w:t xml:space="preserve"> vyplatené v roku 201</w:t>
            </w:r>
            <w:r w:rsidRPr="00DA5B8F" w:rsidR="00DB1E71">
              <w:rPr>
                <w:rFonts w:ascii="Times New Roman" w:hAnsi="Times New Roman"/>
                <w:b/>
                <w:bCs/>
                <w:lang w:val="sk-SK"/>
              </w:rPr>
              <w:t>4</w:t>
            </w:r>
          </w:p>
        </w:tc>
        <w:tc>
          <w:tcPr>
            <w:tcW w:w="2520" w:type="dxa"/>
            <w:tcBorders>
              <w:top w:val="single" w:sz="4" w:space="0" w:color="C0C0C0"/>
              <w:left w:val="nil"/>
              <w:bottom w:val="double" w:sz="6" w:space="0" w:color="999999"/>
              <w:right w:val="nil"/>
            </w:tcBorders>
            <w:shd w:val="clear" w:color="auto" w:fill="CCCCFF"/>
            <w:textDirection w:val="lrTb"/>
            <w:vAlign w:val="top"/>
          </w:tcPr>
          <w:p w:rsidR="002C3B67" w:rsidRPr="00DA5B8F" w:rsidP="0061482D">
            <w:pPr>
              <w:bidi w:val="0"/>
              <w:ind w:firstLine="567"/>
              <w:jc w:val="right"/>
              <w:rPr>
                <w:rFonts w:ascii="Times New Roman" w:hAnsi="Times New Roman"/>
                <w:b/>
                <w:bCs/>
                <w:lang w:val="sk-SK"/>
              </w:rPr>
            </w:pPr>
            <w:r w:rsidRPr="00DA5B8F">
              <w:rPr>
                <w:rFonts w:ascii="Times New Roman" w:hAnsi="Times New Roman"/>
                <w:b/>
                <w:bCs/>
                <w:lang w:val="sk-SK"/>
              </w:rPr>
              <w:t>(v Eur)</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double" w:sz="6" w:space="0" w:color="999999"/>
              <w:right w:val="nil"/>
            </w:tcBorders>
            <w:textDirection w:val="lrTb"/>
            <w:vAlign w:val="top"/>
          </w:tcPr>
          <w:p w:rsidR="002C3B67" w:rsidRPr="00DA5B8F" w:rsidP="00DB1E71">
            <w:pPr>
              <w:bidi w:val="0"/>
              <w:ind w:firstLine="567"/>
              <w:rPr>
                <w:rFonts w:ascii="Times New Roman" w:hAnsi="Times New Roman"/>
                <w:lang w:val="sk-SK"/>
              </w:rPr>
            </w:pPr>
            <w:r w:rsidRPr="00DA5B8F" w:rsidR="00DB1E71">
              <w:rPr>
                <w:rFonts w:ascii="Times New Roman" w:hAnsi="Times New Roman"/>
                <w:lang w:val="sk-SK"/>
              </w:rPr>
              <w:t>Slovenský plynárenský priemysel</w:t>
            </w:r>
            <w:r w:rsidRPr="00DA5B8F">
              <w:rPr>
                <w:rFonts w:ascii="Times New Roman" w:hAnsi="Times New Roman"/>
                <w:lang w:val="sk-SK"/>
              </w:rPr>
              <w:t>, a. s.</w:t>
            </w:r>
          </w:p>
        </w:tc>
        <w:tc>
          <w:tcPr>
            <w:tcW w:w="2520" w:type="dxa"/>
            <w:tcBorders>
              <w:top w:val="single" w:sz="4" w:space="0" w:color="C0C0C0"/>
              <w:left w:val="nil"/>
              <w:bottom w:val="double" w:sz="6" w:space="0" w:color="999999"/>
              <w:right w:val="nil"/>
            </w:tcBorders>
            <w:textDirection w:val="lrTb"/>
            <w:vAlign w:val="top"/>
          </w:tcPr>
          <w:p w:rsidR="002C3B67" w:rsidRPr="00DA5B8F" w:rsidP="0061482D">
            <w:pPr>
              <w:bidi w:val="0"/>
              <w:ind w:firstLine="567"/>
              <w:jc w:val="right"/>
              <w:rPr>
                <w:rFonts w:ascii="Times New Roman" w:hAnsi="Times New Roman"/>
                <w:lang w:val="sk-SK"/>
              </w:rPr>
            </w:pPr>
            <w:r w:rsidRPr="00DA5B8F">
              <w:rPr>
                <w:rFonts w:ascii="Times New Roman" w:hAnsi="Times New Roman"/>
                <w:lang w:val="sk-SK"/>
              </w:rPr>
              <w:t>1</w:t>
            </w:r>
            <w:r w:rsidRPr="00DA5B8F" w:rsidR="00DB1E71">
              <w:rPr>
                <w:rFonts w:ascii="Times New Roman" w:hAnsi="Times New Roman"/>
                <w:lang w:val="sk-SK"/>
              </w:rPr>
              <w:t>86</w:t>
            </w:r>
            <w:r w:rsidRPr="00DA5B8F" w:rsidR="0061482D">
              <w:rPr>
                <w:rFonts w:ascii="Times New Roman" w:hAnsi="Times New Roman"/>
                <w:lang w:val="sk-SK"/>
              </w:rPr>
              <w:t> </w:t>
            </w:r>
            <w:r w:rsidRPr="00DA5B8F" w:rsidR="00A767BB">
              <w:rPr>
                <w:rFonts w:ascii="Times New Roman" w:hAnsi="Times New Roman"/>
                <w:lang w:val="sk-SK"/>
              </w:rPr>
              <w:t>315</w:t>
            </w:r>
            <w:r w:rsidRPr="00DA5B8F" w:rsidR="0061482D">
              <w:rPr>
                <w:rFonts w:ascii="Times New Roman" w:hAnsi="Times New Roman"/>
                <w:lang w:val="sk-SK"/>
              </w:rPr>
              <w:t> </w:t>
            </w:r>
            <w:r w:rsidRPr="00DA5B8F" w:rsidR="00A767BB">
              <w:rPr>
                <w:rFonts w:ascii="Times New Roman" w:hAnsi="Times New Roman"/>
                <w:lang w:val="sk-SK"/>
              </w:rPr>
              <w:t>6</w:t>
            </w:r>
            <w:r w:rsidRPr="00DA5B8F" w:rsidR="0061482D">
              <w:rPr>
                <w:rFonts w:ascii="Times New Roman" w:hAnsi="Times New Roman"/>
                <w:lang w:val="sk-SK"/>
              </w:rPr>
              <w:t>15,79</w:t>
            </w:r>
          </w:p>
        </w:tc>
      </w:tr>
      <w:tr>
        <w:tblPrEx>
          <w:tblW w:w="9540" w:type="dxa"/>
          <w:tblInd w:w="70" w:type="dxa"/>
          <w:tblCellMar>
            <w:left w:w="70" w:type="dxa"/>
            <w:right w:w="70" w:type="dxa"/>
          </w:tblCellMar>
        </w:tblPrEx>
        <w:trPr>
          <w:trHeight w:hRule="exact" w:val="340"/>
        </w:trPr>
        <w:tc>
          <w:tcPr>
            <w:tcW w:w="7020" w:type="dxa"/>
            <w:tcBorders>
              <w:top w:val="double" w:sz="6" w:space="0" w:color="999999"/>
              <w:left w:val="nil"/>
              <w:bottom w:val="single" w:sz="4" w:space="0" w:color="C0C0C0"/>
              <w:right w:val="nil"/>
            </w:tcBorders>
            <w:shd w:val="clear" w:color="auto" w:fill="F3F3FF"/>
            <w:textDirection w:val="lrTb"/>
            <w:vAlign w:val="top"/>
          </w:tcPr>
          <w:p w:rsidR="002C3B67" w:rsidRPr="00DA5B8F">
            <w:pPr>
              <w:bidi w:val="0"/>
              <w:ind w:firstLine="110"/>
              <w:rPr>
                <w:rFonts w:ascii="Times New Roman" w:hAnsi="Times New Roman"/>
                <w:lang w:val="sk-SK"/>
              </w:rPr>
            </w:pPr>
            <w:r w:rsidRPr="00DA5B8F">
              <w:rPr>
                <w:rFonts w:ascii="Times New Roman" w:hAnsi="Times New Roman"/>
                <w:lang w:val="sk-SK"/>
              </w:rPr>
              <w:t>Spolu</w:t>
            </w:r>
          </w:p>
        </w:tc>
        <w:tc>
          <w:tcPr>
            <w:tcW w:w="2520" w:type="dxa"/>
            <w:tcBorders>
              <w:top w:val="double" w:sz="6" w:space="0" w:color="999999"/>
              <w:left w:val="nil"/>
              <w:bottom w:val="single" w:sz="4" w:space="0" w:color="C0C0C0"/>
              <w:right w:val="nil"/>
            </w:tcBorders>
            <w:shd w:val="clear" w:color="auto" w:fill="F3F3FF"/>
            <w:textDirection w:val="lrTb"/>
            <w:vAlign w:val="top"/>
          </w:tcPr>
          <w:p w:rsidR="002C3B67" w:rsidRPr="00DA5B8F" w:rsidP="0061482D">
            <w:pPr>
              <w:bidi w:val="0"/>
              <w:ind w:firstLine="567"/>
              <w:jc w:val="right"/>
              <w:rPr>
                <w:rFonts w:ascii="Times New Roman" w:hAnsi="Times New Roman"/>
                <w:lang w:val="sk-SK"/>
              </w:rPr>
            </w:pPr>
            <w:r w:rsidRPr="00DA5B8F">
              <w:rPr>
                <w:rFonts w:ascii="Times New Roman" w:hAnsi="Times New Roman"/>
                <w:lang w:val="sk-SK"/>
              </w:rPr>
              <w:t>1</w:t>
            </w:r>
            <w:r w:rsidRPr="00DA5B8F" w:rsidR="00A767BB">
              <w:rPr>
                <w:rFonts w:ascii="Times New Roman" w:hAnsi="Times New Roman"/>
                <w:lang w:val="sk-SK"/>
              </w:rPr>
              <w:t>86</w:t>
            </w:r>
            <w:r w:rsidRPr="00DA5B8F" w:rsidR="0061482D">
              <w:rPr>
                <w:rFonts w:ascii="Times New Roman" w:hAnsi="Times New Roman"/>
                <w:lang w:val="sk-SK"/>
              </w:rPr>
              <w:t> </w:t>
            </w:r>
            <w:r w:rsidRPr="00DA5B8F" w:rsidR="00A767BB">
              <w:rPr>
                <w:rFonts w:ascii="Times New Roman" w:hAnsi="Times New Roman"/>
                <w:lang w:val="sk-SK"/>
              </w:rPr>
              <w:t>315</w:t>
            </w:r>
            <w:r w:rsidRPr="00DA5B8F" w:rsidR="0061482D">
              <w:rPr>
                <w:rFonts w:ascii="Times New Roman" w:hAnsi="Times New Roman"/>
                <w:lang w:val="sk-SK"/>
              </w:rPr>
              <w:t> </w:t>
            </w:r>
            <w:r w:rsidRPr="00DA5B8F" w:rsidR="00A767BB">
              <w:rPr>
                <w:rFonts w:ascii="Times New Roman" w:hAnsi="Times New Roman"/>
                <w:lang w:val="sk-SK"/>
              </w:rPr>
              <w:t>6</w:t>
            </w:r>
            <w:r w:rsidRPr="00DA5B8F" w:rsidR="0061482D">
              <w:rPr>
                <w:rFonts w:ascii="Times New Roman" w:hAnsi="Times New Roman"/>
                <w:lang w:val="sk-SK"/>
              </w:rPr>
              <w:t>15,79</w:t>
            </w:r>
          </w:p>
        </w:tc>
      </w:tr>
    </w:tbl>
    <w:p w:rsidR="002C3B67" w:rsidRPr="00DA5B8F">
      <w:pPr>
        <w:bidi w:val="0"/>
        <w:rPr>
          <w:rFonts w:ascii="Times New Roman" w:hAnsi="Times New Roman"/>
          <w:lang w:val="sk-SK"/>
        </w:rPr>
      </w:pPr>
    </w:p>
    <w:tbl>
      <w:tblPr>
        <w:tblStyle w:val="TableNormal"/>
        <w:tblW w:w="9540" w:type="dxa"/>
        <w:tblInd w:w="70" w:type="dxa"/>
        <w:tblBorders>
          <w:top w:val="single" w:sz="4" w:space="0" w:color="C0C0C0"/>
          <w:bottom w:val="single" w:sz="4" w:space="0" w:color="C0C0C0"/>
          <w:insideH w:val="single" w:sz="4" w:space="0" w:color="C0C0C0"/>
        </w:tblBorders>
        <w:tblCellMar>
          <w:left w:w="70" w:type="dxa"/>
          <w:right w:w="70" w:type="dxa"/>
        </w:tblCellMar>
      </w:tblPr>
      <w:tblGrid>
        <w:gridCol w:w="7020"/>
        <w:gridCol w:w="2520"/>
      </w:tblGrid>
      <w:tr>
        <w:tblPrEx>
          <w:tblW w:w="9540" w:type="dxa"/>
          <w:tblInd w:w="70" w:type="dxa"/>
          <w:tblBorders>
            <w:top w:val="single" w:sz="4" w:space="0" w:color="C0C0C0"/>
            <w:bottom w:val="single" w:sz="4" w:space="0" w:color="C0C0C0"/>
            <w:insideH w:val="single" w:sz="4" w:space="0" w:color="C0C0C0"/>
          </w:tblBorders>
          <w:tblCellMar>
            <w:left w:w="70" w:type="dxa"/>
            <w:right w:w="70" w:type="dxa"/>
          </w:tblCellMar>
        </w:tblPrEx>
        <w:trPr>
          <w:trHeight w:hRule="exact" w:val="340"/>
        </w:trPr>
        <w:tc>
          <w:tcPr>
            <w:tcW w:w="7020" w:type="dxa"/>
            <w:tcBorders>
              <w:top w:val="single" w:sz="4" w:space="0" w:color="C0C0C0"/>
              <w:left w:val="nil"/>
              <w:bottom w:val="double" w:sz="6" w:space="0" w:color="999999"/>
              <w:right w:val="nil"/>
            </w:tcBorders>
            <w:shd w:val="clear" w:color="auto" w:fill="CCCCFF"/>
            <w:textDirection w:val="lrTb"/>
            <w:vAlign w:val="top"/>
          </w:tcPr>
          <w:p w:rsidR="002C3B67" w:rsidRPr="00DA5B8F" w:rsidP="00A767BB">
            <w:pPr>
              <w:bidi w:val="0"/>
              <w:ind w:firstLine="110"/>
              <w:rPr>
                <w:rFonts w:ascii="Times New Roman" w:hAnsi="Times New Roman"/>
                <w:b/>
                <w:bCs/>
                <w:lang w:val="sk-SK"/>
              </w:rPr>
            </w:pPr>
            <w:r w:rsidRPr="00DA5B8F">
              <w:rPr>
                <w:rFonts w:ascii="Times New Roman" w:hAnsi="Times New Roman"/>
                <w:b/>
                <w:bCs/>
                <w:lang w:val="sk-SK"/>
              </w:rPr>
              <w:t>Schválené VZ v roku 201</w:t>
            </w:r>
            <w:r w:rsidRPr="00DA5B8F" w:rsidR="00A767BB">
              <w:rPr>
                <w:rFonts w:ascii="Times New Roman" w:hAnsi="Times New Roman"/>
                <w:b/>
                <w:bCs/>
                <w:lang w:val="sk-SK"/>
              </w:rPr>
              <w:t>4</w:t>
            </w:r>
            <w:r w:rsidRPr="00DA5B8F">
              <w:rPr>
                <w:rFonts w:ascii="Times New Roman" w:hAnsi="Times New Roman"/>
                <w:b/>
                <w:bCs/>
                <w:lang w:val="sk-SK"/>
              </w:rPr>
              <w:t xml:space="preserve"> vyplatené v roku 201</w:t>
            </w:r>
            <w:r w:rsidRPr="00DA5B8F" w:rsidR="00A767BB">
              <w:rPr>
                <w:rFonts w:ascii="Times New Roman" w:hAnsi="Times New Roman"/>
                <w:b/>
                <w:bCs/>
                <w:lang w:val="sk-SK"/>
              </w:rPr>
              <w:t>4</w:t>
            </w:r>
          </w:p>
        </w:tc>
        <w:tc>
          <w:tcPr>
            <w:tcW w:w="2520" w:type="dxa"/>
            <w:tcBorders>
              <w:top w:val="single" w:sz="4" w:space="0" w:color="C0C0C0"/>
              <w:left w:val="nil"/>
              <w:bottom w:val="double" w:sz="6" w:space="0" w:color="999999"/>
              <w:right w:val="nil"/>
            </w:tcBorders>
            <w:shd w:val="clear" w:color="auto" w:fill="CCCCFF"/>
            <w:textDirection w:val="lrTb"/>
            <w:vAlign w:val="top"/>
          </w:tcPr>
          <w:p w:rsidR="002C3B67" w:rsidRPr="00DA5B8F" w:rsidP="0061482D">
            <w:pPr>
              <w:bidi w:val="0"/>
              <w:ind w:firstLine="110"/>
              <w:jc w:val="right"/>
              <w:rPr>
                <w:rFonts w:ascii="Times New Roman" w:hAnsi="Times New Roman"/>
                <w:b/>
                <w:bCs/>
                <w:lang w:val="sk-SK"/>
              </w:rPr>
            </w:pPr>
            <w:r w:rsidRPr="00DA5B8F">
              <w:rPr>
                <w:rFonts w:ascii="Times New Roman" w:hAnsi="Times New Roman"/>
                <w:b/>
                <w:bCs/>
                <w:lang w:val="sk-SK"/>
              </w:rPr>
              <w:t>(v Eur)</w:t>
            </w:r>
          </w:p>
        </w:tc>
      </w:tr>
      <w:tr>
        <w:tblPrEx>
          <w:tblW w:w="9540" w:type="dxa"/>
          <w:tblInd w:w="70" w:type="dxa"/>
          <w:tblCellMar>
            <w:left w:w="70" w:type="dxa"/>
            <w:right w:w="70" w:type="dxa"/>
          </w:tblCellMar>
        </w:tblPrEx>
        <w:trPr>
          <w:trHeight w:hRule="exact" w:val="340"/>
        </w:trPr>
        <w:tc>
          <w:tcPr>
            <w:tcW w:w="7020" w:type="dxa"/>
            <w:tcBorders>
              <w:top w:val="double" w:sz="6" w:space="0" w:color="999999"/>
              <w:left w:val="nil"/>
              <w:bottom w:val="single" w:sz="4" w:space="0" w:color="C0C0C0"/>
              <w:right w:val="nil"/>
            </w:tcBorders>
            <w:textDirection w:val="lrTb"/>
            <w:vAlign w:val="top"/>
          </w:tcPr>
          <w:p w:rsidR="002C3B67" w:rsidRPr="00DA5B8F" w:rsidP="00A767BB">
            <w:pPr>
              <w:bidi w:val="0"/>
              <w:ind w:firstLine="567"/>
              <w:rPr>
                <w:rFonts w:ascii="Times New Roman" w:hAnsi="Times New Roman"/>
                <w:lang w:val="sk-SK"/>
              </w:rPr>
            </w:pPr>
            <w:r w:rsidRPr="00DA5B8F" w:rsidR="00A767BB">
              <w:rPr>
                <w:rFonts w:ascii="Times New Roman" w:hAnsi="Times New Roman"/>
                <w:lang w:val="sk-SK"/>
              </w:rPr>
              <w:t>Dlhopis, o.</w:t>
            </w:r>
            <w:r w:rsidR="00CD1D21">
              <w:rPr>
                <w:rFonts w:ascii="Times New Roman" w:hAnsi="Times New Roman"/>
                <w:lang w:val="sk-SK"/>
              </w:rPr>
              <w:t> </w:t>
            </w:r>
            <w:r w:rsidRPr="00DA5B8F" w:rsidR="00A767BB">
              <w:rPr>
                <w:rFonts w:ascii="Times New Roman" w:hAnsi="Times New Roman"/>
                <w:lang w:val="sk-SK"/>
              </w:rPr>
              <w:t>c.</w:t>
            </w:r>
            <w:r w:rsidR="00CD1D21">
              <w:rPr>
                <w:rFonts w:ascii="Times New Roman" w:hAnsi="Times New Roman"/>
                <w:lang w:val="sk-SK"/>
              </w:rPr>
              <w:t> </w:t>
            </w:r>
            <w:r w:rsidRPr="00DA5B8F" w:rsidR="00A767BB">
              <w:rPr>
                <w:rFonts w:ascii="Times New Roman" w:hAnsi="Times New Roman"/>
                <w:lang w:val="sk-SK"/>
              </w:rPr>
              <w:t>p., a.</w:t>
            </w:r>
            <w:r w:rsidR="00CD1D21">
              <w:rPr>
                <w:rFonts w:ascii="Times New Roman" w:hAnsi="Times New Roman"/>
                <w:lang w:val="sk-SK"/>
              </w:rPr>
              <w:t> </w:t>
            </w:r>
            <w:r w:rsidRPr="00DA5B8F" w:rsidR="00A767BB">
              <w:rPr>
                <w:rFonts w:ascii="Times New Roman" w:hAnsi="Times New Roman"/>
                <w:lang w:val="sk-SK"/>
              </w:rPr>
              <w:t>s.</w:t>
            </w:r>
          </w:p>
        </w:tc>
        <w:tc>
          <w:tcPr>
            <w:tcW w:w="2520" w:type="dxa"/>
            <w:tcBorders>
              <w:top w:val="double" w:sz="6" w:space="0" w:color="999999"/>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8451AF">
              <w:rPr>
                <w:rFonts w:ascii="Times New Roman" w:hAnsi="Times New Roman"/>
                <w:lang w:val="sk-SK"/>
              </w:rPr>
              <w:t>39</w:t>
            </w:r>
            <w:r w:rsidRPr="00DA5B8F" w:rsidR="0061482D">
              <w:rPr>
                <w:rFonts w:ascii="Times New Roman" w:hAnsi="Times New Roman"/>
                <w:lang w:val="sk-SK"/>
              </w:rPr>
              <w:t> 371,54</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8451AF" w:rsidRPr="00DA5B8F" w:rsidP="008451AF">
            <w:pPr>
              <w:bidi w:val="0"/>
              <w:ind w:firstLine="567"/>
              <w:rPr>
                <w:rFonts w:ascii="Times New Roman" w:hAnsi="Times New Roman"/>
                <w:lang w:val="sk-SK"/>
              </w:rPr>
            </w:pPr>
            <w:r w:rsidRPr="00DA5B8F">
              <w:rPr>
                <w:rFonts w:ascii="Times New Roman" w:hAnsi="Times New Roman"/>
                <w:lang w:val="sk-SK"/>
              </w:rPr>
              <w:t>SAD Dunajská Streda, a. s.</w:t>
            </w:r>
          </w:p>
        </w:tc>
        <w:tc>
          <w:tcPr>
            <w:tcW w:w="2520" w:type="dxa"/>
            <w:tcBorders>
              <w:top w:val="single" w:sz="4" w:space="0" w:color="C0C0C0"/>
              <w:left w:val="nil"/>
              <w:bottom w:val="single" w:sz="4" w:space="0" w:color="C0C0C0"/>
              <w:right w:val="nil"/>
            </w:tcBorders>
            <w:textDirection w:val="lrTb"/>
            <w:vAlign w:val="top"/>
          </w:tcPr>
          <w:p w:rsidR="008451AF" w:rsidRPr="00DA5B8F" w:rsidP="0061482D">
            <w:pPr>
              <w:bidi w:val="0"/>
              <w:ind w:firstLine="567"/>
              <w:jc w:val="right"/>
              <w:rPr>
                <w:rFonts w:ascii="Times New Roman" w:hAnsi="Times New Roman"/>
                <w:lang w:val="sk-SK"/>
              </w:rPr>
            </w:pPr>
            <w:r w:rsidRPr="00DA5B8F">
              <w:rPr>
                <w:rFonts w:ascii="Times New Roman" w:hAnsi="Times New Roman"/>
                <w:lang w:val="sk-SK"/>
              </w:rPr>
              <w:t>17</w:t>
            </w:r>
            <w:r w:rsidRPr="00DA5B8F" w:rsidR="0061482D">
              <w:rPr>
                <w:rFonts w:ascii="Times New Roman" w:hAnsi="Times New Roman"/>
                <w:lang w:val="sk-SK"/>
              </w:rPr>
              <w:t> </w:t>
            </w:r>
            <w:r w:rsidRPr="00DA5B8F">
              <w:rPr>
                <w:rFonts w:ascii="Times New Roman" w:hAnsi="Times New Roman"/>
                <w:lang w:val="sk-SK"/>
              </w:rPr>
              <w:t>01</w:t>
            </w:r>
            <w:r w:rsidRPr="00DA5B8F" w:rsidR="0061482D">
              <w:rPr>
                <w:rFonts w:ascii="Times New Roman" w:hAnsi="Times New Roman"/>
                <w:lang w:val="sk-SK"/>
              </w:rPr>
              <w:t>3,24</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2C3B67" w:rsidRPr="00DA5B8F" w:rsidP="008451AF">
            <w:pPr>
              <w:bidi w:val="0"/>
              <w:ind w:firstLine="567"/>
              <w:rPr>
                <w:rFonts w:ascii="Times New Roman" w:hAnsi="Times New Roman"/>
                <w:lang w:val="sk-SK"/>
              </w:rPr>
            </w:pPr>
            <w:r w:rsidRPr="00DA5B8F">
              <w:rPr>
                <w:rFonts w:ascii="Times New Roman" w:hAnsi="Times New Roman"/>
                <w:lang w:val="sk-SK"/>
              </w:rPr>
              <w:t xml:space="preserve">SAD </w:t>
            </w:r>
            <w:r w:rsidRPr="00DA5B8F" w:rsidR="008451AF">
              <w:rPr>
                <w:rFonts w:ascii="Times New Roman" w:hAnsi="Times New Roman"/>
                <w:lang w:val="sk-SK"/>
              </w:rPr>
              <w:t>LIORBUS</w:t>
            </w:r>
            <w:r w:rsidRPr="00DA5B8F">
              <w:rPr>
                <w:rFonts w:ascii="Times New Roman" w:hAnsi="Times New Roman"/>
                <w:lang w:val="sk-SK"/>
              </w:rPr>
              <w:t>, a. s.</w:t>
            </w:r>
          </w:p>
        </w:tc>
        <w:tc>
          <w:tcPr>
            <w:tcW w:w="2520" w:type="dxa"/>
            <w:tcBorders>
              <w:top w:val="single" w:sz="4" w:space="0" w:color="C0C0C0"/>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8451AF">
              <w:rPr>
                <w:rFonts w:ascii="Times New Roman" w:hAnsi="Times New Roman"/>
                <w:lang w:val="sk-SK"/>
              </w:rPr>
              <w:t>65</w:t>
            </w:r>
            <w:r w:rsidRPr="00DA5B8F" w:rsidR="0061482D">
              <w:rPr>
                <w:rFonts w:ascii="Times New Roman" w:hAnsi="Times New Roman"/>
                <w:lang w:val="sk-SK"/>
              </w:rPr>
              <w:t> </w:t>
            </w:r>
            <w:r w:rsidRPr="00DA5B8F" w:rsidR="008451AF">
              <w:rPr>
                <w:rFonts w:ascii="Times New Roman" w:hAnsi="Times New Roman"/>
                <w:lang w:val="sk-SK"/>
              </w:rPr>
              <w:t>99</w:t>
            </w:r>
            <w:r w:rsidRPr="00DA5B8F" w:rsidR="0061482D">
              <w:rPr>
                <w:rFonts w:ascii="Times New Roman" w:hAnsi="Times New Roman"/>
                <w:lang w:val="sk-SK"/>
              </w:rPr>
              <w:t>2,00</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8451AF" w:rsidRPr="00DA5B8F" w:rsidP="00CD1D21">
            <w:pPr>
              <w:bidi w:val="0"/>
              <w:ind w:firstLine="567"/>
              <w:rPr>
                <w:rFonts w:ascii="Times New Roman" w:hAnsi="Times New Roman"/>
                <w:lang w:val="sk-SK"/>
              </w:rPr>
            </w:pPr>
            <w:r w:rsidR="00CD1D21">
              <w:rPr>
                <w:rFonts w:ascii="Times New Roman" w:hAnsi="Times New Roman"/>
                <w:lang w:val="sk-SK"/>
              </w:rPr>
              <w:t>ARRIVA Michalovce, a. s. (</w:t>
            </w:r>
            <w:r w:rsidRPr="00DA5B8F">
              <w:rPr>
                <w:rFonts w:ascii="Times New Roman" w:hAnsi="Times New Roman"/>
                <w:lang w:val="sk-SK"/>
              </w:rPr>
              <w:t>SAD Michalovce, a. s.</w:t>
            </w:r>
            <w:r w:rsidR="00CD1D21">
              <w:rPr>
                <w:rFonts w:ascii="Times New Roman" w:hAnsi="Times New Roman"/>
                <w:lang w:val="sk-SK"/>
              </w:rPr>
              <w:t>)</w:t>
            </w:r>
          </w:p>
        </w:tc>
        <w:tc>
          <w:tcPr>
            <w:tcW w:w="2520" w:type="dxa"/>
            <w:tcBorders>
              <w:top w:val="single" w:sz="4" w:space="0" w:color="C0C0C0"/>
              <w:left w:val="nil"/>
              <w:bottom w:val="single" w:sz="4" w:space="0" w:color="C0C0C0"/>
              <w:right w:val="nil"/>
            </w:tcBorders>
            <w:textDirection w:val="lrTb"/>
            <w:vAlign w:val="top"/>
          </w:tcPr>
          <w:p w:rsidR="008451AF" w:rsidRPr="00DA5B8F" w:rsidP="0061482D">
            <w:pPr>
              <w:bidi w:val="0"/>
              <w:ind w:firstLine="567"/>
              <w:jc w:val="right"/>
              <w:rPr>
                <w:rFonts w:ascii="Times New Roman" w:hAnsi="Times New Roman"/>
                <w:lang w:val="sk-SK"/>
              </w:rPr>
            </w:pPr>
            <w:r w:rsidRPr="00DA5B8F">
              <w:rPr>
                <w:rFonts w:ascii="Times New Roman" w:hAnsi="Times New Roman"/>
                <w:lang w:val="sk-SK"/>
              </w:rPr>
              <w:t>80</w:t>
            </w:r>
            <w:r w:rsidRPr="00DA5B8F" w:rsidR="0061482D">
              <w:rPr>
                <w:rFonts w:ascii="Times New Roman" w:hAnsi="Times New Roman"/>
                <w:lang w:val="sk-SK"/>
              </w:rPr>
              <w:t> 153,57</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8451AF" w:rsidRPr="00DA5B8F" w:rsidP="008451AF">
            <w:pPr>
              <w:bidi w:val="0"/>
              <w:ind w:firstLine="567"/>
              <w:rPr>
                <w:rFonts w:ascii="Times New Roman" w:hAnsi="Times New Roman"/>
                <w:lang w:val="sk-SK"/>
              </w:rPr>
            </w:pPr>
            <w:r w:rsidRPr="00DA5B8F">
              <w:rPr>
                <w:rFonts w:ascii="Times New Roman" w:hAnsi="Times New Roman"/>
                <w:lang w:val="sk-SK"/>
              </w:rPr>
              <w:t>SAD Trnava, a. s.</w:t>
            </w:r>
          </w:p>
        </w:tc>
        <w:tc>
          <w:tcPr>
            <w:tcW w:w="2520" w:type="dxa"/>
            <w:tcBorders>
              <w:top w:val="single" w:sz="4" w:space="0" w:color="C0C0C0"/>
              <w:left w:val="nil"/>
              <w:bottom w:val="single" w:sz="4" w:space="0" w:color="C0C0C0"/>
              <w:right w:val="nil"/>
            </w:tcBorders>
            <w:textDirection w:val="lrTb"/>
            <w:vAlign w:val="top"/>
          </w:tcPr>
          <w:p w:rsidR="008451AF" w:rsidRPr="00DA5B8F" w:rsidP="0061482D">
            <w:pPr>
              <w:bidi w:val="0"/>
              <w:ind w:firstLine="567"/>
              <w:jc w:val="right"/>
              <w:rPr>
                <w:rFonts w:ascii="Times New Roman" w:hAnsi="Times New Roman"/>
                <w:lang w:val="sk-SK"/>
              </w:rPr>
            </w:pPr>
            <w:r w:rsidRPr="00DA5B8F">
              <w:rPr>
                <w:rFonts w:ascii="Times New Roman" w:hAnsi="Times New Roman"/>
                <w:lang w:val="sk-SK"/>
              </w:rPr>
              <w:t>3</w:t>
            </w:r>
            <w:r w:rsidRPr="00DA5B8F" w:rsidR="00ED5702">
              <w:rPr>
                <w:rFonts w:ascii="Times New Roman" w:hAnsi="Times New Roman"/>
                <w:lang w:val="sk-SK"/>
              </w:rPr>
              <w:t>9</w:t>
            </w:r>
            <w:r w:rsidRPr="00DA5B8F" w:rsidR="0061482D">
              <w:rPr>
                <w:rFonts w:ascii="Times New Roman" w:hAnsi="Times New Roman"/>
                <w:lang w:val="sk-SK"/>
              </w:rPr>
              <w:t> 595,20</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2C3B67" w:rsidRPr="00DA5B8F" w:rsidP="00CD1D21">
            <w:pPr>
              <w:bidi w:val="0"/>
              <w:ind w:firstLine="567"/>
              <w:rPr>
                <w:rFonts w:ascii="Times New Roman" w:hAnsi="Times New Roman"/>
                <w:lang w:val="sk-SK"/>
              </w:rPr>
            </w:pPr>
            <w:r w:rsidRPr="00DA5B8F">
              <w:rPr>
                <w:rFonts w:ascii="Times New Roman" w:hAnsi="Times New Roman"/>
                <w:lang w:val="sk-SK"/>
              </w:rPr>
              <w:t>S</w:t>
            </w:r>
            <w:r w:rsidR="00CD1D21">
              <w:rPr>
                <w:rFonts w:ascii="Times New Roman" w:hAnsi="Times New Roman"/>
                <w:lang w:val="sk-SK"/>
              </w:rPr>
              <w:t>lovak Telekom, a. s.</w:t>
            </w:r>
          </w:p>
        </w:tc>
        <w:tc>
          <w:tcPr>
            <w:tcW w:w="2520" w:type="dxa"/>
            <w:tcBorders>
              <w:top w:val="single" w:sz="4" w:space="0" w:color="C0C0C0"/>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8451AF">
              <w:rPr>
                <w:rFonts w:ascii="Times New Roman" w:hAnsi="Times New Roman"/>
                <w:lang w:val="sk-SK"/>
              </w:rPr>
              <w:t>2</w:t>
            </w:r>
            <w:r w:rsidRPr="00DA5B8F" w:rsidR="0061482D">
              <w:rPr>
                <w:rFonts w:ascii="Times New Roman" w:hAnsi="Times New Roman"/>
                <w:lang w:val="sk-SK"/>
              </w:rPr>
              <w:t> </w:t>
            </w:r>
            <w:r w:rsidRPr="00DA5B8F" w:rsidR="008451AF">
              <w:rPr>
                <w:rFonts w:ascii="Times New Roman" w:hAnsi="Times New Roman"/>
                <w:lang w:val="sk-SK"/>
              </w:rPr>
              <w:t>460</w:t>
            </w:r>
            <w:r w:rsidRPr="00DA5B8F" w:rsidR="0061482D">
              <w:rPr>
                <w:rFonts w:ascii="Times New Roman" w:hAnsi="Times New Roman"/>
                <w:lang w:val="sk-SK"/>
              </w:rPr>
              <w:t> </w:t>
            </w:r>
            <w:r w:rsidRPr="00DA5B8F" w:rsidR="008451AF">
              <w:rPr>
                <w:rFonts w:ascii="Times New Roman" w:hAnsi="Times New Roman"/>
                <w:lang w:val="sk-SK"/>
              </w:rPr>
              <w:t>0</w:t>
            </w:r>
            <w:r w:rsidRPr="00DA5B8F" w:rsidR="0061482D">
              <w:rPr>
                <w:rFonts w:ascii="Times New Roman" w:hAnsi="Times New Roman"/>
                <w:lang w:val="sk-SK"/>
              </w:rPr>
              <w:t>0</w:t>
            </w:r>
            <w:r w:rsidRPr="00DA5B8F">
              <w:rPr>
                <w:rFonts w:ascii="Times New Roman" w:hAnsi="Times New Roman"/>
                <w:lang w:val="sk-SK"/>
              </w:rPr>
              <w:t>0</w:t>
            </w:r>
            <w:r w:rsidRPr="00DA5B8F" w:rsidR="0061482D">
              <w:rPr>
                <w:rFonts w:ascii="Times New Roman" w:hAnsi="Times New Roman"/>
                <w:lang w:val="sk-SK"/>
              </w:rPr>
              <w:t>,00</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Stredoslovenská energetika, a. s.</w:t>
            </w:r>
          </w:p>
        </w:tc>
        <w:tc>
          <w:tcPr>
            <w:tcW w:w="2520" w:type="dxa"/>
            <w:tcBorders>
              <w:top w:val="single" w:sz="4" w:space="0" w:color="C0C0C0"/>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ED5702">
              <w:rPr>
                <w:rFonts w:ascii="Times New Roman" w:hAnsi="Times New Roman"/>
                <w:lang w:val="sk-SK"/>
              </w:rPr>
              <w:t>26</w:t>
            </w:r>
            <w:r w:rsidRPr="00DA5B8F" w:rsidR="0061482D">
              <w:rPr>
                <w:rFonts w:ascii="Times New Roman" w:hAnsi="Times New Roman"/>
                <w:lang w:val="sk-SK"/>
              </w:rPr>
              <w:t> </w:t>
            </w:r>
            <w:r w:rsidRPr="00DA5B8F" w:rsidR="00ED5702">
              <w:rPr>
                <w:rFonts w:ascii="Times New Roman" w:hAnsi="Times New Roman"/>
                <w:lang w:val="sk-SK"/>
              </w:rPr>
              <w:t>520</w:t>
            </w:r>
            <w:r w:rsidRPr="00DA5B8F" w:rsidR="0061482D">
              <w:rPr>
                <w:rFonts w:ascii="Times New Roman" w:hAnsi="Times New Roman"/>
                <w:lang w:val="sk-SK"/>
              </w:rPr>
              <w:t> </w:t>
            </w:r>
            <w:r w:rsidRPr="00DA5B8F" w:rsidR="00ED5702">
              <w:rPr>
                <w:rFonts w:ascii="Times New Roman" w:hAnsi="Times New Roman"/>
                <w:lang w:val="sk-SK"/>
              </w:rPr>
              <w:t>0</w:t>
            </w:r>
            <w:r w:rsidRPr="00DA5B8F" w:rsidR="0061482D">
              <w:rPr>
                <w:rFonts w:ascii="Times New Roman" w:hAnsi="Times New Roman"/>
                <w:lang w:val="sk-SK"/>
              </w:rPr>
              <w:t>0</w:t>
            </w:r>
            <w:r w:rsidRPr="00DA5B8F" w:rsidR="00ED5702">
              <w:rPr>
                <w:rFonts w:ascii="Times New Roman" w:hAnsi="Times New Roman"/>
                <w:lang w:val="sk-SK"/>
              </w:rPr>
              <w:t>0</w:t>
            </w:r>
            <w:r w:rsidRPr="00DA5B8F" w:rsidR="0061482D">
              <w:rPr>
                <w:rFonts w:ascii="Times New Roman" w:hAnsi="Times New Roman"/>
                <w:lang w:val="sk-SK"/>
              </w:rPr>
              <w:t>,00</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Trnavská teplárenská, a. s.</w:t>
            </w:r>
          </w:p>
        </w:tc>
        <w:tc>
          <w:tcPr>
            <w:tcW w:w="2520" w:type="dxa"/>
            <w:tcBorders>
              <w:top w:val="single" w:sz="4" w:space="0" w:color="C0C0C0"/>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8451AF">
              <w:rPr>
                <w:rFonts w:ascii="Times New Roman" w:hAnsi="Times New Roman"/>
                <w:lang w:val="sk-SK"/>
              </w:rPr>
              <w:t>45</w:t>
            </w:r>
            <w:r w:rsidRPr="00DA5B8F" w:rsidR="0061482D">
              <w:rPr>
                <w:rFonts w:ascii="Times New Roman" w:hAnsi="Times New Roman"/>
                <w:lang w:val="sk-SK"/>
              </w:rPr>
              <w:t> </w:t>
            </w:r>
            <w:r w:rsidRPr="00DA5B8F">
              <w:rPr>
                <w:rFonts w:ascii="Times New Roman" w:hAnsi="Times New Roman"/>
                <w:lang w:val="sk-SK"/>
              </w:rPr>
              <w:t>0</w:t>
            </w:r>
            <w:r w:rsidRPr="00DA5B8F" w:rsidR="0061482D">
              <w:rPr>
                <w:rFonts w:ascii="Times New Roman" w:hAnsi="Times New Roman"/>
                <w:lang w:val="sk-SK"/>
              </w:rPr>
              <w:t>0</w:t>
            </w:r>
            <w:r w:rsidRPr="00DA5B8F">
              <w:rPr>
                <w:rFonts w:ascii="Times New Roman" w:hAnsi="Times New Roman"/>
                <w:lang w:val="sk-SK"/>
              </w:rPr>
              <w:t>0</w:t>
            </w:r>
            <w:r w:rsidRPr="00DA5B8F" w:rsidR="0061482D">
              <w:rPr>
                <w:rFonts w:ascii="Times New Roman" w:hAnsi="Times New Roman"/>
                <w:lang w:val="sk-SK"/>
              </w:rPr>
              <w:t>,00</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Východoslovenská energetika, a. s.</w:t>
            </w:r>
          </w:p>
        </w:tc>
        <w:tc>
          <w:tcPr>
            <w:tcW w:w="2520" w:type="dxa"/>
            <w:tcBorders>
              <w:top w:val="single" w:sz="4" w:space="0" w:color="C0C0C0"/>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8451AF">
              <w:rPr>
                <w:rFonts w:ascii="Times New Roman" w:hAnsi="Times New Roman"/>
                <w:lang w:val="sk-SK"/>
              </w:rPr>
              <w:t>23</w:t>
            </w:r>
            <w:r w:rsidRPr="00DA5B8F" w:rsidR="0061482D">
              <w:rPr>
                <w:rFonts w:ascii="Times New Roman" w:hAnsi="Times New Roman"/>
                <w:lang w:val="sk-SK"/>
              </w:rPr>
              <w:t> </w:t>
            </w:r>
            <w:r w:rsidRPr="00DA5B8F" w:rsidR="008451AF">
              <w:rPr>
                <w:rFonts w:ascii="Times New Roman" w:hAnsi="Times New Roman"/>
                <w:lang w:val="sk-SK"/>
              </w:rPr>
              <w:t>742</w:t>
            </w:r>
            <w:r w:rsidRPr="00DA5B8F" w:rsidR="0061482D">
              <w:rPr>
                <w:rFonts w:ascii="Times New Roman" w:hAnsi="Times New Roman"/>
                <w:lang w:val="sk-SK"/>
              </w:rPr>
              <w:t> </w:t>
            </w:r>
            <w:r w:rsidRPr="00DA5B8F" w:rsidR="008451AF">
              <w:rPr>
                <w:rFonts w:ascii="Times New Roman" w:hAnsi="Times New Roman"/>
                <w:lang w:val="sk-SK"/>
              </w:rPr>
              <w:t>19</w:t>
            </w:r>
            <w:r w:rsidRPr="00DA5B8F" w:rsidR="0061482D">
              <w:rPr>
                <w:rFonts w:ascii="Times New Roman" w:hAnsi="Times New Roman"/>
                <w:lang w:val="sk-SK"/>
              </w:rPr>
              <w:t>0,72</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single" w:sz="4" w:space="0" w:color="C0C0C0"/>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Západoslovenská energetika, a. s.</w:t>
            </w:r>
          </w:p>
        </w:tc>
        <w:tc>
          <w:tcPr>
            <w:tcW w:w="2520" w:type="dxa"/>
            <w:tcBorders>
              <w:top w:val="single" w:sz="4" w:space="0" w:color="C0C0C0"/>
              <w:left w:val="nil"/>
              <w:bottom w:val="single" w:sz="4" w:space="0" w:color="C0C0C0"/>
              <w:right w:val="nil"/>
            </w:tcBorders>
            <w:textDirection w:val="lrTb"/>
            <w:vAlign w:val="top"/>
          </w:tcPr>
          <w:p w:rsidR="002C3B67" w:rsidRPr="00DA5B8F" w:rsidP="0061482D">
            <w:pPr>
              <w:bidi w:val="0"/>
              <w:ind w:firstLine="567"/>
              <w:jc w:val="right"/>
              <w:rPr>
                <w:rFonts w:ascii="Times New Roman" w:hAnsi="Times New Roman"/>
                <w:lang w:val="sk-SK"/>
              </w:rPr>
            </w:pPr>
            <w:r w:rsidRPr="00DA5B8F" w:rsidR="008451AF">
              <w:rPr>
                <w:rFonts w:ascii="Times New Roman" w:hAnsi="Times New Roman"/>
                <w:lang w:val="sk-SK"/>
              </w:rPr>
              <w:t>26</w:t>
            </w:r>
            <w:r w:rsidRPr="00DA5B8F" w:rsidR="0061482D">
              <w:rPr>
                <w:rFonts w:ascii="Times New Roman" w:hAnsi="Times New Roman"/>
                <w:lang w:val="sk-SK"/>
              </w:rPr>
              <w:t> </w:t>
            </w:r>
            <w:r w:rsidRPr="00DA5B8F" w:rsidR="008451AF">
              <w:rPr>
                <w:rFonts w:ascii="Times New Roman" w:hAnsi="Times New Roman"/>
                <w:lang w:val="sk-SK"/>
              </w:rPr>
              <w:t>628</w:t>
            </w:r>
            <w:r w:rsidRPr="00DA5B8F" w:rsidR="0061482D">
              <w:rPr>
                <w:rFonts w:ascii="Times New Roman" w:hAnsi="Times New Roman"/>
                <w:lang w:val="sk-SK"/>
              </w:rPr>
              <w:t> </w:t>
            </w:r>
            <w:r w:rsidRPr="00DA5B8F" w:rsidR="008451AF">
              <w:rPr>
                <w:rFonts w:ascii="Times New Roman" w:hAnsi="Times New Roman"/>
                <w:lang w:val="sk-SK"/>
              </w:rPr>
              <w:t>85</w:t>
            </w:r>
            <w:r w:rsidRPr="00DA5B8F" w:rsidR="0061482D">
              <w:rPr>
                <w:rFonts w:ascii="Times New Roman" w:hAnsi="Times New Roman"/>
                <w:lang w:val="sk-SK"/>
              </w:rPr>
              <w:t>1,85</w:t>
            </w:r>
          </w:p>
        </w:tc>
      </w:tr>
      <w:tr>
        <w:tblPrEx>
          <w:tblW w:w="9540" w:type="dxa"/>
          <w:tblInd w:w="70" w:type="dxa"/>
          <w:tblCellMar>
            <w:left w:w="70" w:type="dxa"/>
            <w:right w:w="70" w:type="dxa"/>
          </w:tblCellMar>
        </w:tblPrEx>
        <w:trPr>
          <w:trHeight w:hRule="exact" w:val="340"/>
        </w:trPr>
        <w:tc>
          <w:tcPr>
            <w:tcW w:w="7020" w:type="dxa"/>
            <w:tcBorders>
              <w:top w:val="single" w:sz="4" w:space="0" w:color="C0C0C0"/>
              <w:left w:val="nil"/>
              <w:bottom w:val="double" w:sz="6" w:space="0" w:color="999999"/>
              <w:right w:val="nil"/>
            </w:tcBorders>
            <w:textDirection w:val="lrTb"/>
            <w:vAlign w:val="top"/>
          </w:tcPr>
          <w:p w:rsidR="002C3B67" w:rsidRPr="00DA5B8F">
            <w:pPr>
              <w:bidi w:val="0"/>
              <w:ind w:firstLine="567"/>
              <w:rPr>
                <w:rFonts w:ascii="Times New Roman" w:hAnsi="Times New Roman"/>
                <w:lang w:val="sk-SK"/>
              </w:rPr>
            </w:pPr>
            <w:r w:rsidRPr="00DA5B8F">
              <w:rPr>
                <w:rFonts w:ascii="Times New Roman" w:hAnsi="Times New Roman"/>
                <w:lang w:val="sk-SK"/>
              </w:rPr>
              <w:t>Akcie spoločností nadobudnuté darovaním od fyzických osôb</w:t>
            </w:r>
          </w:p>
        </w:tc>
        <w:tc>
          <w:tcPr>
            <w:tcW w:w="2520" w:type="dxa"/>
            <w:tcBorders>
              <w:top w:val="single" w:sz="4" w:space="0" w:color="C0C0C0"/>
              <w:left w:val="nil"/>
              <w:bottom w:val="double" w:sz="6" w:space="0" w:color="999999"/>
              <w:right w:val="nil"/>
            </w:tcBorders>
            <w:textDirection w:val="lrTb"/>
            <w:vAlign w:val="top"/>
          </w:tcPr>
          <w:p w:rsidR="002C3B67" w:rsidRPr="00DA5B8F" w:rsidP="00D73D67">
            <w:pPr>
              <w:bidi w:val="0"/>
              <w:ind w:firstLine="567"/>
              <w:jc w:val="right"/>
              <w:rPr>
                <w:rFonts w:ascii="Times New Roman" w:hAnsi="Times New Roman"/>
                <w:lang w:val="sk-SK"/>
              </w:rPr>
            </w:pPr>
            <w:r w:rsidRPr="00DA5B8F">
              <w:rPr>
                <w:rFonts w:ascii="Times New Roman" w:hAnsi="Times New Roman"/>
                <w:lang w:val="sk-SK"/>
              </w:rPr>
              <w:t>7</w:t>
            </w:r>
            <w:r w:rsidRPr="00DA5B8F" w:rsidR="00ED5702">
              <w:rPr>
                <w:rFonts w:ascii="Times New Roman" w:hAnsi="Times New Roman"/>
                <w:lang w:val="sk-SK"/>
              </w:rPr>
              <w:t>7</w:t>
            </w:r>
            <w:r w:rsidRPr="00DA5B8F" w:rsidR="005C303C">
              <w:rPr>
                <w:rFonts w:ascii="Times New Roman" w:hAnsi="Times New Roman"/>
                <w:lang w:val="sk-SK"/>
              </w:rPr>
              <w:t> </w:t>
            </w:r>
            <w:r w:rsidRPr="00DA5B8F" w:rsidR="00D73D67">
              <w:rPr>
                <w:rFonts w:ascii="Times New Roman" w:hAnsi="Times New Roman"/>
                <w:lang w:val="sk-SK"/>
              </w:rPr>
              <w:t>735</w:t>
            </w:r>
            <w:r w:rsidRPr="00DA5B8F" w:rsidR="005C303C">
              <w:rPr>
                <w:rFonts w:ascii="Times New Roman" w:hAnsi="Times New Roman"/>
                <w:lang w:val="sk-SK"/>
              </w:rPr>
              <w:t>,</w:t>
            </w:r>
            <w:r w:rsidRPr="00DA5B8F" w:rsidR="00D73D67">
              <w:rPr>
                <w:rFonts w:ascii="Times New Roman" w:hAnsi="Times New Roman"/>
                <w:lang w:val="sk-SK"/>
              </w:rPr>
              <w:t>92</w:t>
            </w:r>
          </w:p>
        </w:tc>
      </w:tr>
      <w:tr>
        <w:tblPrEx>
          <w:tblW w:w="9540" w:type="dxa"/>
          <w:tblInd w:w="70" w:type="dxa"/>
          <w:tblCellMar>
            <w:left w:w="70" w:type="dxa"/>
            <w:right w:w="70" w:type="dxa"/>
          </w:tblCellMar>
        </w:tblPrEx>
        <w:trPr>
          <w:trHeight w:hRule="exact" w:val="340"/>
        </w:trPr>
        <w:tc>
          <w:tcPr>
            <w:tcW w:w="7020" w:type="dxa"/>
            <w:tcBorders>
              <w:top w:val="double" w:sz="6" w:space="0" w:color="999999"/>
              <w:left w:val="nil"/>
              <w:bottom w:val="single" w:sz="4" w:space="0" w:color="C0C0C0"/>
              <w:right w:val="nil"/>
            </w:tcBorders>
            <w:shd w:val="clear" w:color="auto" w:fill="EFEFFF"/>
            <w:textDirection w:val="lrTb"/>
            <w:vAlign w:val="top"/>
          </w:tcPr>
          <w:p w:rsidR="002C3B67" w:rsidRPr="00DA5B8F">
            <w:pPr>
              <w:bidi w:val="0"/>
              <w:ind w:firstLine="110"/>
              <w:rPr>
                <w:rFonts w:ascii="Times New Roman" w:hAnsi="Times New Roman"/>
                <w:lang w:val="sk-SK"/>
              </w:rPr>
            </w:pPr>
            <w:r w:rsidRPr="00DA5B8F">
              <w:rPr>
                <w:rFonts w:ascii="Times New Roman" w:hAnsi="Times New Roman"/>
                <w:lang w:val="sk-SK"/>
              </w:rPr>
              <w:t>Spolu</w:t>
            </w:r>
          </w:p>
        </w:tc>
        <w:tc>
          <w:tcPr>
            <w:tcW w:w="2520" w:type="dxa"/>
            <w:tcBorders>
              <w:top w:val="double" w:sz="6" w:space="0" w:color="999999"/>
              <w:left w:val="nil"/>
              <w:bottom w:val="single" w:sz="4" w:space="0" w:color="C0C0C0"/>
              <w:right w:val="nil"/>
            </w:tcBorders>
            <w:shd w:val="clear" w:color="auto" w:fill="EFEFFF"/>
            <w:textDirection w:val="lrTb"/>
            <w:vAlign w:val="top"/>
          </w:tcPr>
          <w:p w:rsidR="002C3B67" w:rsidRPr="00DA5B8F" w:rsidP="00882B3D">
            <w:pPr>
              <w:bidi w:val="0"/>
              <w:ind w:firstLine="110"/>
              <w:jc w:val="right"/>
              <w:rPr>
                <w:rFonts w:ascii="Times New Roman" w:hAnsi="Times New Roman"/>
                <w:lang w:val="sk-SK"/>
              </w:rPr>
            </w:pPr>
            <w:r w:rsidRPr="00DA5B8F" w:rsidR="00D73D67">
              <w:rPr>
                <w:rFonts w:ascii="Times New Roman" w:hAnsi="Times New Roman"/>
                <w:lang w:val="sk-SK"/>
              </w:rPr>
              <w:fldChar w:fldCharType="begin"/>
            </w:r>
            <w:r w:rsidRPr="00DA5B8F" w:rsidR="00D73D67">
              <w:rPr>
                <w:rFonts w:ascii="Times New Roman" w:hAnsi="Times New Roman"/>
                <w:lang w:val="sk-SK"/>
              </w:rPr>
              <w:instrText xml:space="preserve"> =SUM(ABOVE) </w:instrText>
            </w:r>
            <w:r w:rsidRPr="00DA5B8F" w:rsidR="00D73D67">
              <w:rPr>
                <w:rFonts w:ascii="Times New Roman" w:hAnsi="Times New Roman"/>
                <w:lang w:val="sk-SK"/>
              </w:rPr>
              <w:fldChar w:fldCharType="separate"/>
            </w:r>
            <w:r w:rsidRPr="00DA5B8F" w:rsidR="00D73D67">
              <w:rPr>
                <w:rFonts w:ascii="Times New Roman" w:hAnsi="Times New Roman"/>
                <w:noProof/>
                <w:lang w:val="sk-SK"/>
              </w:rPr>
              <w:t>79 715 904,04</w:t>
            </w:r>
            <w:r w:rsidRPr="00DA5B8F" w:rsidR="00D73D67">
              <w:rPr>
                <w:rFonts w:ascii="Times New Roman" w:hAnsi="Times New Roman"/>
                <w:lang w:val="sk-SK"/>
              </w:rPr>
              <w:fldChar w:fldCharType="end"/>
            </w:r>
          </w:p>
        </w:tc>
      </w:tr>
    </w:tbl>
    <w:p w:rsidR="002C3B67" w:rsidRPr="00DA5B8F">
      <w:pPr>
        <w:pStyle w:val="Header"/>
        <w:tabs>
          <w:tab w:val="clear" w:pos="4703"/>
          <w:tab w:val="clear" w:pos="9406"/>
        </w:tabs>
        <w:bidi w:val="0"/>
        <w:rPr>
          <w:rFonts w:ascii="Times New Roman" w:hAnsi="Times New Roman"/>
          <w:sz w:val="16"/>
          <w:szCs w:val="16"/>
          <w:lang w:val="sk-SK"/>
        </w:rPr>
      </w:pPr>
    </w:p>
    <w:tbl>
      <w:tblPr>
        <w:tblStyle w:val="TableNormal"/>
        <w:tblW w:w="9540" w:type="dxa"/>
        <w:tblInd w:w="70" w:type="dxa"/>
        <w:tblBorders>
          <w:top w:val="double" w:sz="6" w:space="0" w:color="999999"/>
          <w:bottom w:val="double" w:sz="6" w:space="0" w:color="999999"/>
        </w:tblBorders>
        <w:tblCellMar>
          <w:left w:w="70" w:type="dxa"/>
          <w:right w:w="70" w:type="dxa"/>
        </w:tblCellMar>
      </w:tblPr>
      <w:tblGrid>
        <w:gridCol w:w="7020"/>
        <w:gridCol w:w="2520"/>
      </w:tblGrid>
      <w:tr>
        <w:tblPrEx>
          <w:tblW w:w="9540" w:type="dxa"/>
          <w:tblInd w:w="70" w:type="dxa"/>
          <w:tblBorders>
            <w:top w:val="double" w:sz="6" w:space="0" w:color="999999"/>
            <w:bottom w:val="double" w:sz="6" w:space="0" w:color="999999"/>
          </w:tblBorders>
          <w:tblCellMar>
            <w:left w:w="70" w:type="dxa"/>
            <w:right w:w="70" w:type="dxa"/>
          </w:tblCellMar>
        </w:tblPrEx>
        <w:trPr>
          <w:trHeight w:hRule="exact" w:val="340"/>
        </w:trPr>
        <w:tc>
          <w:tcPr>
            <w:tcW w:w="7020" w:type="dxa"/>
            <w:tcBorders>
              <w:top w:val="double" w:sz="6" w:space="0" w:color="999999"/>
              <w:left w:val="none" w:sz="0" w:space="0" w:color="auto"/>
              <w:bottom w:val="double" w:sz="6" w:space="0" w:color="999999"/>
              <w:right w:val="none" w:sz="0" w:space="0" w:color="auto"/>
            </w:tcBorders>
            <w:shd w:val="clear" w:color="auto" w:fill="CCCCFF"/>
            <w:textDirection w:val="lrTb"/>
            <w:vAlign w:val="top"/>
          </w:tcPr>
          <w:p w:rsidR="002C3B67" w:rsidRPr="00DA5B8F" w:rsidP="00ED5702">
            <w:pPr>
              <w:bidi w:val="0"/>
              <w:ind w:firstLine="110"/>
              <w:rPr>
                <w:rFonts w:ascii="Times New Roman" w:hAnsi="Times New Roman"/>
                <w:b/>
                <w:bCs/>
                <w:lang w:val="sk-SK"/>
              </w:rPr>
            </w:pPr>
            <w:r w:rsidRPr="00DA5B8F">
              <w:rPr>
                <w:rFonts w:ascii="Times New Roman" w:hAnsi="Times New Roman"/>
                <w:b/>
                <w:bCs/>
                <w:lang w:val="sk-SK"/>
              </w:rPr>
              <w:t>Spolu príjmy fondu z dividend vyplatených v roku 201</w:t>
            </w:r>
            <w:r w:rsidRPr="00DA5B8F" w:rsidR="00ED5702">
              <w:rPr>
                <w:rFonts w:ascii="Times New Roman" w:hAnsi="Times New Roman"/>
                <w:b/>
                <w:bCs/>
                <w:lang w:val="sk-SK"/>
              </w:rPr>
              <w:t>4</w:t>
            </w:r>
          </w:p>
        </w:tc>
        <w:tc>
          <w:tcPr>
            <w:tcW w:w="2520" w:type="dxa"/>
            <w:tcBorders>
              <w:top w:val="double" w:sz="6" w:space="0" w:color="999999"/>
              <w:left w:val="none" w:sz="0" w:space="0" w:color="auto"/>
              <w:bottom w:val="double" w:sz="6" w:space="0" w:color="999999"/>
              <w:right w:val="none" w:sz="0" w:space="0" w:color="auto"/>
            </w:tcBorders>
            <w:shd w:val="clear" w:color="auto" w:fill="CCCCFF"/>
            <w:textDirection w:val="lrTb"/>
            <w:vAlign w:val="top"/>
          </w:tcPr>
          <w:p w:rsidR="002C3B67" w:rsidRPr="00DA5B8F" w:rsidP="00D73D67">
            <w:pPr>
              <w:bidi w:val="0"/>
              <w:ind w:firstLine="110"/>
              <w:jc w:val="right"/>
              <w:rPr>
                <w:rFonts w:ascii="Times New Roman" w:hAnsi="Times New Roman"/>
                <w:b/>
                <w:bCs/>
                <w:lang w:val="sk-SK"/>
              </w:rPr>
            </w:pPr>
            <w:r w:rsidRPr="00DA5B8F" w:rsidR="00882B3D">
              <w:rPr>
                <w:rFonts w:ascii="Times New Roman" w:hAnsi="Times New Roman"/>
                <w:b/>
                <w:bCs/>
                <w:lang w:val="sk-SK"/>
              </w:rPr>
              <w:t>266</w:t>
            </w:r>
            <w:r w:rsidRPr="00DA5B8F" w:rsidR="005C303C">
              <w:rPr>
                <w:rFonts w:ascii="Times New Roman" w:hAnsi="Times New Roman"/>
                <w:b/>
                <w:bCs/>
                <w:lang w:val="sk-SK"/>
              </w:rPr>
              <w:t> </w:t>
            </w:r>
            <w:r w:rsidRPr="00DA5B8F" w:rsidR="00882B3D">
              <w:rPr>
                <w:rFonts w:ascii="Times New Roman" w:hAnsi="Times New Roman"/>
                <w:b/>
                <w:bCs/>
                <w:lang w:val="sk-SK"/>
              </w:rPr>
              <w:t>031</w:t>
            </w:r>
            <w:r w:rsidRPr="00DA5B8F" w:rsidR="005C303C">
              <w:rPr>
                <w:rFonts w:ascii="Times New Roman" w:hAnsi="Times New Roman"/>
                <w:b/>
                <w:bCs/>
                <w:lang w:val="sk-SK"/>
              </w:rPr>
              <w:t> </w:t>
            </w:r>
            <w:r w:rsidRPr="00DA5B8F" w:rsidR="00D73D67">
              <w:rPr>
                <w:rFonts w:ascii="Times New Roman" w:hAnsi="Times New Roman"/>
                <w:b/>
                <w:bCs/>
                <w:lang w:val="sk-SK"/>
              </w:rPr>
              <w:t>519</w:t>
            </w:r>
            <w:r w:rsidRPr="00DA5B8F" w:rsidR="005C303C">
              <w:rPr>
                <w:rFonts w:ascii="Times New Roman" w:hAnsi="Times New Roman"/>
                <w:b/>
                <w:bCs/>
                <w:lang w:val="sk-SK"/>
              </w:rPr>
              <w:t>,</w:t>
            </w:r>
            <w:r w:rsidRPr="00DA5B8F" w:rsidR="00D73D67">
              <w:rPr>
                <w:rFonts w:ascii="Times New Roman" w:hAnsi="Times New Roman"/>
                <w:b/>
                <w:bCs/>
                <w:lang w:val="sk-SK"/>
              </w:rPr>
              <w:t>83</w:t>
            </w:r>
          </w:p>
        </w:tc>
      </w:tr>
    </w:tbl>
    <w:p w:rsidR="00B96C1E" w:rsidRPr="00DA5B8F">
      <w:pPr>
        <w:pStyle w:val="BodyTextIndent1"/>
        <w:tabs>
          <w:tab w:val="num" w:pos="0"/>
          <w:tab w:val="clear" w:pos="540"/>
        </w:tabs>
        <w:overflowPunct/>
        <w:autoSpaceDE/>
        <w:autoSpaceDN/>
        <w:bidi w:val="0"/>
        <w:adjustRightInd/>
        <w:spacing w:line="264" w:lineRule="auto"/>
        <w:rPr>
          <w:rFonts w:ascii="Times New Roman" w:hAnsi="Times New Roman"/>
        </w:rPr>
      </w:pPr>
    </w:p>
    <w:p w:rsidR="002C3B67"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Pri výkone akcionárskych práv sa fond sústredil najmä na prípravu a aktívnu účasť na VZ akciových spoločností. Zabezpečil prípravu a účasť na</w:t>
      </w:r>
      <w:r w:rsidRPr="00DA5B8F" w:rsidR="00566F90">
        <w:rPr>
          <w:rFonts w:ascii="Times New Roman" w:hAnsi="Times New Roman"/>
        </w:rPr>
        <w:t xml:space="preserve"> </w:t>
      </w:r>
      <w:r w:rsidRPr="00DA5B8F">
        <w:rPr>
          <w:rFonts w:ascii="Times New Roman" w:hAnsi="Times New Roman"/>
        </w:rPr>
        <w:t>6</w:t>
      </w:r>
      <w:r w:rsidRPr="00DA5B8F" w:rsidR="005E06D1">
        <w:rPr>
          <w:rFonts w:ascii="Times New Roman" w:hAnsi="Times New Roman"/>
        </w:rPr>
        <w:t>6</w:t>
      </w:r>
      <w:r w:rsidRPr="00DA5B8F">
        <w:rPr>
          <w:rFonts w:ascii="Times New Roman" w:hAnsi="Times New Roman"/>
        </w:rPr>
        <w:t xml:space="preserve"> riadnych a </w:t>
      </w:r>
      <w:r w:rsidRPr="00DA5B8F" w:rsidR="005E06D1">
        <w:rPr>
          <w:rFonts w:ascii="Times New Roman" w:hAnsi="Times New Roman"/>
        </w:rPr>
        <w:t>55</w:t>
      </w:r>
      <w:r w:rsidRPr="00DA5B8F">
        <w:rPr>
          <w:rFonts w:ascii="Times New Roman" w:hAnsi="Times New Roman"/>
        </w:rPr>
        <w:t xml:space="preserve"> mimoriadnych VZ akciových spoločností, v ktorých má majetkovú účasť a vykonáva práva a povinnosti akcionára</w:t>
      </w:r>
      <w:r w:rsidRPr="00DA5B8F" w:rsidR="00566F90">
        <w:rPr>
          <w:rFonts w:ascii="Times New Roman" w:hAnsi="Times New Roman"/>
        </w:rPr>
        <w:t xml:space="preserve"> a </w:t>
      </w:r>
      <w:r w:rsidRPr="00DA5B8F" w:rsidR="005E06D1">
        <w:rPr>
          <w:rFonts w:ascii="Times New Roman" w:hAnsi="Times New Roman"/>
        </w:rPr>
        <w:t>37</w:t>
      </w:r>
      <w:r w:rsidRPr="00DA5B8F">
        <w:rPr>
          <w:rFonts w:ascii="Times New Roman" w:hAnsi="Times New Roman"/>
        </w:rPr>
        <w:t xml:space="preserve"> VZ v zmysle § 190 Obchodného zákonníka, t. j. vo forme rozhodnutí jediného akcionára.</w:t>
      </w:r>
    </w:p>
    <w:p w:rsidR="002C3B67"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sidR="00082775">
        <w:rPr>
          <w:rFonts w:ascii="Times New Roman" w:hAnsi="Times New Roman"/>
        </w:rPr>
        <w:t xml:space="preserve">Do 31. 7. 2014 </w:t>
      </w:r>
      <w:r w:rsidRPr="00DA5B8F">
        <w:rPr>
          <w:rFonts w:ascii="Times New Roman" w:hAnsi="Times New Roman"/>
        </w:rPr>
        <w:t>vykonáva</w:t>
      </w:r>
      <w:r w:rsidRPr="00DA5B8F" w:rsidR="005E06D1">
        <w:rPr>
          <w:rFonts w:ascii="Times New Roman" w:hAnsi="Times New Roman"/>
        </w:rPr>
        <w:t>l</w:t>
      </w:r>
      <w:r w:rsidRPr="00DA5B8F">
        <w:rPr>
          <w:rFonts w:ascii="Times New Roman" w:hAnsi="Times New Roman"/>
        </w:rPr>
        <w:t xml:space="preserve"> </w:t>
      </w:r>
      <w:r w:rsidRPr="00DA5B8F" w:rsidR="00082775">
        <w:rPr>
          <w:rFonts w:ascii="Times New Roman" w:hAnsi="Times New Roman"/>
        </w:rPr>
        <w:t xml:space="preserve">fond </w:t>
      </w:r>
      <w:r w:rsidRPr="00DA5B8F">
        <w:rPr>
          <w:rFonts w:ascii="Times New Roman" w:hAnsi="Times New Roman"/>
        </w:rPr>
        <w:t>akcionárske práva</w:t>
      </w:r>
      <w:r w:rsidRPr="00DA5B8F" w:rsidR="00082775">
        <w:rPr>
          <w:rFonts w:ascii="Times New Roman" w:hAnsi="Times New Roman"/>
        </w:rPr>
        <w:t xml:space="preserve"> </w:t>
      </w:r>
      <w:r w:rsidRPr="00DA5B8F">
        <w:rPr>
          <w:rFonts w:ascii="Times New Roman" w:hAnsi="Times New Roman"/>
        </w:rPr>
        <w:t>v 3</w:t>
      </w:r>
      <w:r w:rsidRPr="00DA5B8F" w:rsidR="005E06D1">
        <w:rPr>
          <w:rFonts w:ascii="Times New Roman" w:hAnsi="Times New Roman"/>
        </w:rPr>
        <w:t>1</w:t>
      </w:r>
      <w:r w:rsidRPr="00DA5B8F">
        <w:rPr>
          <w:rFonts w:ascii="Times New Roman" w:hAnsi="Times New Roman"/>
        </w:rPr>
        <w:t xml:space="preserve"> spoločnostiach priamo</w:t>
      </w:r>
      <w:r w:rsidRPr="00DA5B8F" w:rsidR="00221E63">
        <w:rPr>
          <w:rFonts w:ascii="Times New Roman" w:hAnsi="Times New Roman"/>
        </w:rPr>
        <w:t xml:space="preserve"> a v</w:t>
      </w:r>
      <w:r w:rsidRPr="00DA5B8F">
        <w:rPr>
          <w:rFonts w:ascii="Times New Roman" w:hAnsi="Times New Roman"/>
        </w:rPr>
        <w:t> 5 spoločnostiach vykonáva</w:t>
      </w:r>
      <w:r w:rsidRPr="00DA5B8F" w:rsidR="005E06D1">
        <w:rPr>
          <w:rFonts w:ascii="Times New Roman" w:hAnsi="Times New Roman"/>
        </w:rPr>
        <w:t>lo</w:t>
      </w:r>
      <w:r w:rsidRPr="00DA5B8F">
        <w:rPr>
          <w:rFonts w:ascii="Times New Roman" w:hAnsi="Times New Roman"/>
        </w:rPr>
        <w:t xml:space="preserve"> akcionárske práva </w:t>
      </w:r>
      <w:r w:rsidRPr="00DA5B8F" w:rsidR="00175461">
        <w:rPr>
          <w:rFonts w:ascii="Times New Roman" w:hAnsi="Times New Roman"/>
        </w:rPr>
        <w:t xml:space="preserve">za fond </w:t>
      </w:r>
      <w:r w:rsidRPr="00DA5B8F">
        <w:rPr>
          <w:rFonts w:ascii="Times New Roman" w:hAnsi="Times New Roman"/>
        </w:rPr>
        <w:t>MH SR. V súvislosti so spoločnosťami, v ktorých má fond majetkovú účasť, ale práva a povinnosti akcionára vykonáva</w:t>
      </w:r>
      <w:r w:rsidRPr="00DA5B8F" w:rsidR="00175461">
        <w:rPr>
          <w:rFonts w:ascii="Times New Roman" w:hAnsi="Times New Roman"/>
        </w:rPr>
        <w:t>lo</w:t>
      </w:r>
      <w:r w:rsidRPr="00DA5B8F">
        <w:rPr>
          <w:rFonts w:ascii="Times New Roman" w:hAnsi="Times New Roman"/>
        </w:rPr>
        <w:t xml:space="preserve"> podľa § 47d) zákona o</w:t>
      </w:r>
      <w:r w:rsidRPr="00DA5B8F" w:rsidR="00082775">
        <w:rPr>
          <w:rFonts w:ascii="Times New Roman" w:hAnsi="Times New Roman"/>
        </w:rPr>
        <w:t> </w:t>
      </w:r>
      <w:r w:rsidRPr="00DA5B8F">
        <w:rPr>
          <w:rFonts w:ascii="Times New Roman" w:hAnsi="Times New Roman"/>
        </w:rPr>
        <w:t xml:space="preserve">privatizácii MH SR, pripravil a vydal fond </w:t>
      </w:r>
      <w:r w:rsidRPr="00DA5B8F" w:rsidR="00082775">
        <w:rPr>
          <w:rFonts w:ascii="Times New Roman" w:hAnsi="Times New Roman"/>
        </w:rPr>
        <w:t xml:space="preserve">pre MH SR </w:t>
      </w:r>
      <w:r w:rsidRPr="00DA5B8F">
        <w:rPr>
          <w:rFonts w:ascii="Times New Roman" w:hAnsi="Times New Roman"/>
        </w:rPr>
        <w:t xml:space="preserve">celkovo </w:t>
      </w:r>
      <w:r w:rsidRPr="00DA5B8F" w:rsidR="00082775">
        <w:rPr>
          <w:rFonts w:ascii="Times New Roman" w:hAnsi="Times New Roman"/>
        </w:rPr>
        <w:t>15</w:t>
      </w:r>
      <w:r w:rsidRPr="00DA5B8F">
        <w:rPr>
          <w:rFonts w:ascii="Times New Roman" w:hAnsi="Times New Roman"/>
        </w:rPr>
        <w:t xml:space="preserve"> splnomocnení k účasti na valných zhromaždeniach alebo na vydanie rozhodnutia jediného akcionára.</w:t>
      </w:r>
    </w:p>
    <w:p w:rsidR="002C3B67" w:rsidRPr="00DA5B8F">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 xml:space="preserve">MH SR vykonáva akcionárske práva </w:t>
      </w:r>
      <w:r w:rsidRPr="00DA5B8F" w:rsidR="00082775">
        <w:rPr>
          <w:rFonts w:ascii="Times New Roman" w:hAnsi="Times New Roman"/>
        </w:rPr>
        <w:t xml:space="preserve">do 31. 7. 2014 </w:t>
      </w:r>
      <w:r w:rsidRPr="00DA5B8F">
        <w:rPr>
          <w:rFonts w:ascii="Times New Roman" w:hAnsi="Times New Roman"/>
        </w:rPr>
        <w:t>v týchto 5 spoločnostiach</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955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exact" w:val="284"/>
        </w:trPr>
        <w:tc>
          <w:tcPr>
            <w:tcW w:w="9558"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3"/>
              <w:tabs>
                <w:tab w:val="right" w:pos="9360"/>
              </w:tabs>
              <w:overflowPunct/>
              <w:autoSpaceDE/>
              <w:autoSpaceDN/>
              <w:bidi w:val="0"/>
              <w:adjustRightInd/>
              <w:spacing w:before="240" w:after="120"/>
              <w:rPr>
                <w:rFonts w:ascii="Times New Roman" w:hAnsi="Times New Roman"/>
              </w:rPr>
            </w:pPr>
          </w:p>
        </w:tc>
      </w:tr>
      <w:tr>
        <w:tblPrEx>
          <w:tblW w:w="0" w:type="auto"/>
          <w:tblCellMar>
            <w:top w:w="0" w:type="dxa"/>
            <w:left w:w="70" w:type="dxa"/>
            <w:bottom w:w="0" w:type="dxa"/>
            <w:right w:w="70" w:type="dxa"/>
          </w:tblCellMar>
        </w:tblPrEx>
        <w:tc>
          <w:tcPr>
            <w:tcW w:w="9558" w:type="dxa"/>
            <w:tcBorders>
              <w:top w:val="double" w:sz="4" w:space="0" w:color="999999"/>
              <w:left w:val="nil"/>
              <w:bottom w:val="single" w:sz="4" w:space="0" w:color="999999"/>
              <w:right w:val="nil"/>
            </w:tcBorders>
            <w:textDirection w:val="lrTb"/>
            <w:vAlign w:val="top"/>
          </w:tcPr>
          <w:p w:rsidR="002C3B67" w:rsidRPr="00DA5B8F">
            <w:pPr>
              <w:pStyle w:val="Odsek1"/>
              <w:numPr>
                <w:numId w:val="0"/>
              </w:numPr>
              <w:tabs>
                <w:tab w:val="clear" w:pos="720"/>
              </w:tabs>
              <w:bidi w:val="0"/>
              <w:spacing w:before="60"/>
              <w:ind w:left="357" w:firstLine="0"/>
              <w:rPr>
                <w:rFonts w:ascii="Times New Roman" w:hAnsi="Times New Roman"/>
                <w:lang w:val="sk-SK"/>
              </w:rPr>
            </w:pPr>
            <w:r w:rsidRPr="00DA5B8F">
              <w:rPr>
                <w:rFonts w:ascii="Times New Roman" w:hAnsi="Times New Roman"/>
                <w:lang w:val="sk-SK"/>
              </w:rPr>
              <w:t>Slovenský plynárenský priemysel, a. s.</w:t>
            </w:r>
          </w:p>
        </w:tc>
      </w:tr>
      <w:tr>
        <w:tblPrEx>
          <w:tblW w:w="0" w:type="auto"/>
          <w:tblCellMar>
            <w:top w:w="0" w:type="dxa"/>
            <w:left w:w="70" w:type="dxa"/>
            <w:bottom w:w="0" w:type="dxa"/>
            <w:right w:w="70" w:type="dxa"/>
          </w:tblCellMar>
        </w:tblPrEx>
        <w:tc>
          <w:tcPr>
            <w:tcW w:w="9558" w:type="dxa"/>
            <w:tcBorders>
              <w:top w:val="single" w:sz="4" w:space="0" w:color="999999"/>
              <w:left w:val="nil"/>
              <w:bottom w:val="single" w:sz="4" w:space="0" w:color="999999"/>
              <w:right w:val="nil"/>
            </w:tcBorders>
            <w:textDirection w:val="lrTb"/>
            <w:vAlign w:val="top"/>
          </w:tcPr>
          <w:p w:rsidR="002C3B67" w:rsidRPr="00DA5B8F">
            <w:pPr>
              <w:pStyle w:val="Odsek1"/>
              <w:numPr>
                <w:numId w:val="0"/>
              </w:numPr>
              <w:tabs>
                <w:tab w:val="clear" w:pos="720"/>
              </w:tabs>
              <w:bidi w:val="0"/>
              <w:spacing w:before="60"/>
              <w:ind w:left="357" w:firstLine="0"/>
              <w:rPr>
                <w:rFonts w:ascii="Times New Roman" w:hAnsi="Times New Roman"/>
                <w:lang w:val="sk-SK"/>
              </w:rPr>
            </w:pPr>
            <w:r w:rsidRPr="00DA5B8F">
              <w:rPr>
                <w:rFonts w:ascii="Times New Roman" w:hAnsi="Times New Roman"/>
                <w:lang w:val="sk-SK"/>
              </w:rPr>
              <w:t>Slovenské elektrárne, a. s.</w:t>
            </w:r>
          </w:p>
        </w:tc>
      </w:tr>
      <w:tr>
        <w:tblPrEx>
          <w:tblW w:w="0" w:type="auto"/>
          <w:tblCellMar>
            <w:top w:w="0" w:type="dxa"/>
            <w:left w:w="70" w:type="dxa"/>
            <w:bottom w:w="0" w:type="dxa"/>
            <w:right w:w="70" w:type="dxa"/>
          </w:tblCellMar>
        </w:tblPrEx>
        <w:tc>
          <w:tcPr>
            <w:tcW w:w="9558" w:type="dxa"/>
            <w:tcBorders>
              <w:top w:val="single" w:sz="4" w:space="0" w:color="999999"/>
              <w:left w:val="nil"/>
              <w:bottom w:val="single" w:sz="4" w:space="0" w:color="999999"/>
              <w:right w:val="nil"/>
            </w:tcBorders>
            <w:textDirection w:val="lrTb"/>
            <w:vAlign w:val="top"/>
          </w:tcPr>
          <w:p w:rsidR="002C3B67" w:rsidRPr="00DA5B8F">
            <w:pPr>
              <w:pStyle w:val="Odsek1"/>
              <w:numPr>
                <w:numId w:val="0"/>
              </w:numPr>
              <w:tabs>
                <w:tab w:val="clear" w:pos="720"/>
              </w:tabs>
              <w:bidi w:val="0"/>
              <w:spacing w:before="60"/>
              <w:ind w:left="357" w:firstLine="0"/>
              <w:rPr>
                <w:rFonts w:ascii="Times New Roman" w:hAnsi="Times New Roman"/>
                <w:lang w:val="sk-SK"/>
              </w:rPr>
            </w:pPr>
            <w:r w:rsidRPr="00DA5B8F">
              <w:rPr>
                <w:rFonts w:ascii="Times New Roman" w:hAnsi="Times New Roman"/>
                <w:lang w:val="sk-SK"/>
              </w:rPr>
              <w:t>Západoslovenská energetika, a. s.</w:t>
            </w:r>
          </w:p>
        </w:tc>
      </w:tr>
      <w:tr>
        <w:tblPrEx>
          <w:tblW w:w="0" w:type="auto"/>
          <w:tblCellMar>
            <w:top w:w="0" w:type="dxa"/>
            <w:left w:w="70" w:type="dxa"/>
            <w:bottom w:w="0" w:type="dxa"/>
            <w:right w:w="70" w:type="dxa"/>
          </w:tblCellMar>
        </w:tblPrEx>
        <w:tc>
          <w:tcPr>
            <w:tcW w:w="9558" w:type="dxa"/>
            <w:tcBorders>
              <w:top w:val="single" w:sz="4" w:space="0" w:color="999999"/>
              <w:left w:val="nil"/>
              <w:bottom w:val="single" w:sz="4" w:space="0" w:color="999999"/>
              <w:right w:val="nil"/>
            </w:tcBorders>
            <w:textDirection w:val="lrTb"/>
            <w:vAlign w:val="top"/>
          </w:tcPr>
          <w:p w:rsidR="002C3B67" w:rsidRPr="00DA5B8F">
            <w:pPr>
              <w:pStyle w:val="Odsek1"/>
              <w:numPr>
                <w:numId w:val="0"/>
              </w:numPr>
              <w:tabs>
                <w:tab w:val="clear" w:pos="720"/>
              </w:tabs>
              <w:bidi w:val="0"/>
              <w:spacing w:before="60"/>
              <w:ind w:left="357" w:firstLine="0"/>
              <w:rPr>
                <w:rFonts w:ascii="Times New Roman" w:hAnsi="Times New Roman"/>
                <w:lang w:val="sk-SK"/>
              </w:rPr>
            </w:pPr>
            <w:r w:rsidRPr="00DA5B8F">
              <w:rPr>
                <w:rFonts w:ascii="Times New Roman" w:hAnsi="Times New Roman"/>
                <w:lang w:val="sk-SK"/>
              </w:rPr>
              <w:t>Stredoslovenská energetika, a. s.</w:t>
            </w:r>
          </w:p>
        </w:tc>
      </w:tr>
      <w:tr>
        <w:tblPrEx>
          <w:tblW w:w="0" w:type="auto"/>
          <w:tblCellMar>
            <w:top w:w="0" w:type="dxa"/>
            <w:left w:w="70" w:type="dxa"/>
            <w:bottom w:w="0" w:type="dxa"/>
            <w:right w:w="70" w:type="dxa"/>
          </w:tblCellMar>
        </w:tblPrEx>
        <w:tc>
          <w:tcPr>
            <w:tcW w:w="9558" w:type="dxa"/>
            <w:tcBorders>
              <w:top w:val="single" w:sz="4" w:space="0" w:color="999999"/>
              <w:left w:val="nil"/>
              <w:bottom w:val="single" w:sz="4" w:space="0" w:color="999999"/>
              <w:right w:val="nil"/>
            </w:tcBorders>
            <w:textDirection w:val="lrTb"/>
            <w:vAlign w:val="top"/>
          </w:tcPr>
          <w:p w:rsidR="002C3B67" w:rsidRPr="00DA5B8F">
            <w:pPr>
              <w:pStyle w:val="Odsek1"/>
              <w:numPr>
                <w:numId w:val="0"/>
              </w:numPr>
              <w:tabs>
                <w:tab w:val="clear" w:pos="720"/>
              </w:tabs>
              <w:bidi w:val="0"/>
              <w:spacing w:before="60"/>
              <w:ind w:left="357" w:firstLine="0"/>
              <w:rPr>
                <w:rFonts w:ascii="Times New Roman" w:hAnsi="Times New Roman"/>
                <w:lang w:val="sk-SK"/>
              </w:rPr>
            </w:pPr>
            <w:r w:rsidRPr="00DA5B8F">
              <w:rPr>
                <w:rFonts w:ascii="Times New Roman" w:hAnsi="Times New Roman"/>
                <w:lang w:val="sk-SK"/>
              </w:rPr>
              <w:t>Východoslovenská energetika, a. s.</w:t>
            </w:r>
          </w:p>
        </w:tc>
      </w:tr>
    </w:tbl>
    <w:p w:rsidR="002C3B67" w:rsidRPr="00DA5B8F" w:rsidP="00F46C00">
      <w:pPr>
        <w:pStyle w:val="BodyTextIndent1"/>
        <w:tabs>
          <w:tab w:val="num" w:pos="0"/>
          <w:tab w:val="clear" w:pos="540"/>
        </w:tabs>
        <w:overflowPunct/>
        <w:autoSpaceDE/>
        <w:autoSpaceDN/>
        <w:bidi w:val="0"/>
        <w:adjustRightInd/>
        <w:spacing w:before="240" w:line="264" w:lineRule="auto"/>
        <w:rPr>
          <w:rFonts w:ascii="Times New Roman" w:hAnsi="Times New Roman"/>
        </w:rPr>
      </w:pPr>
      <w:r w:rsidRPr="00DA5B8F">
        <w:rPr>
          <w:rFonts w:ascii="Times New Roman" w:hAnsi="Times New Roman"/>
        </w:rPr>
        <w:t>Na riadnych VZ boli prerokované a prijaté uznesenia týkajúce sa:</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schválenia výročnej správy za rok 201</w:t>
      </w:r>
      <w:r w:rsidRPr="00DA5B8F" w:rsidR="000204B9">
        <w:rPr>
          <w:rFonts w:ascii="Times New Roman" w:hAnsi="Times New Roman"/>
          <w:lang w:val="sk-SK"/>
        </w:rPr>
        <w:t>3</w:t>
      </w:r>
      <w:r w:rsidRPr="00DA5B8F">
        <w:rPr>
          <w:rFonts w:ascii="Times New Roman" w:hAnsi="Times New Roman"/>
          <w:lang w:val="sk-SK"/>
        </w:rPr>
        <w:t>,</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schválenia ročnej individuálnej účtovnej závierky a rozdelenia zisku, resp. zúčtovania straty za rok 201</w:t>
      </w:r>
      <w:r w:rsidRPr="00DA5B8F" w:rsidR="000204B9">
        <w:rPr>
          <w:rFonts w:ascii="Times New Roman" w:hAnsi="Times New Roman"/>
          <w:lang w:val="sk-SK"/>
        </w:rPr>
        <w:t>3</w:t>
      </w:r>
      <w:r w:rsidRPr="00DA5B8F">
        <w:rPr>
          <w:rFonts w:ascii="Times New Roman" w:hAnsi="Times New Roman"/>
          <w:lang w:val="sk-SK"/>
        </w:rPr>
        <w:t>,</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personálnych zmien v predstavenstve a dozornej rade a</w:t>
      </w:r>
      <w:r w:rsidRPr="00DA5B8F" w:rsidR="00221E63">
        <w:rPr>
          <w:rFonts w:ascii="Times New Roman" w:hAnsi="Times New Roman"/>
          <w:lang w:val="sk-SK"/>
        </w:rPr>
        <w:t>kciovej spoločnosti</w:t>
      </w:r>
      <w:r w:rsidRPr="00DA5B8F">
        <w:rPr>
          <w:rFonts w:ascii="Times New Roman" w:hAnsi="Times New Roman"/>
          <w:lang w:val="sk-SK"/>
        </w:rPr>
        <w:t>,</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schválenia ostatných návrhov spadajúcich do právomoci valného zhromaždenia.</w:t>
      </w:r>
    </w:p>
    <w:p w:rsidR="002C3B67" w:rsidRPr="00DA5B8F" w:rsidP="00F46C00">
      <w:pPr>
        <w:pStyle w:val="BodyTextIndent1"/>
        <w:tabs>
          <w:tab w:val="num" w:pos="0"/>
          <w:tab w:val="clear" w:pos="540"/>
        </w:tabs>
        <w:overflowPunct/>
        <w:autoSpaceDE/>
        <w:autoSpaceDN/>
        <w:bidi w:val="0"/>
        <w:adjustRightInd/>
        <w:spacing w:before="240" w:line="264" w:lineRule="auto"/>
        <w:rPr>
          <w:rFonts w:ascii="Times New Roman" w:hAnsi="Times New Roman"/>
        </w:rPr>
      </w:pPr>
      <w:r w:rsidRPr="00DA5B8F">
        <w:rPr>
          <w:rFonts w:ascii="Times New Roman" w:hAnsi="Times New Roman"/>
        </w:rPr>
        <w:t xml:space="preserve">Mimoriadne VZ boli zvolávané v súlade s platnými stanovami </w:t>
      </w:r>
      <w:r w:rsidRPr="00DA5B8F" w:rsidR="00221E63">
        <w:rPr>
          <w:rFonts w:ascii="Times New Roman" w:hAnsi="Times New Roman"/>
        </w:rPr>
        <w:t>akciových spoločností</w:t>
      </w:r>
      <w:r w:rsidRPr="00DA5B8F">
        <w:rPr>
          <w:rFonts w:ascii="Times New Roman" w:hAnsi="Times New Roman"/>
        </w:rPr>
        <w:t xml:space="preserve"> predovšetkým za účelom:</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zmeny stanov,</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personálnych zmien v predstavenstvách a dozorných radách,</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udelenia súhlasu na odpredaj hnuteľného i nehnuteľného majetku, schválenia záložného práva,</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schválenia ostatných návrhov spadajúcich do právomoci valného zhromaždenia.</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spoločnostiach, v ktorých bol fond jediným akcionárom, boli mimoriadne VZ spravidla realizované v zmysle § 190 Obchodného zákonníka, t. j. rozhodnutím jediného akcionára.</w:t>
      </w:r>
    </w:p>
    <w:p w:rsidR="002C3B67" w:rsidRPr="00DA5B8F" w:rsidP="00F46C00">
      <w:pPr>
        <w:bidi w:val="0"/>
        <w:spacing w:before="120" w:line="264" w:lineRule="auto"/>
        <w:jc w:val="both"/>
        <w:rPr>
          <w:rFonts w:ascii="Times New Roman" w:hAnsi="Times New Roman"/>
          <w:lang w:val="sk-SK"/>
        </w:rPr>
      </w:pPr>
      <w:r w:rsidRPr="00DA5B8F">
        <w:rPr>
          <w:rFonts w:ascii="Times New Roman" w:hAnsi="Times New Roman"/>
          <w:lang w:val="sk-SK"/>
        </w:rPr>
        <w:t>Všetky materiály súvisiace s prípravou VZ boli predkladané v písomnej forme na prerokovanie Výkonnému výboru FNM SR. Okrem materiálov, ktoré boli predmetom rokovania VZ, boli orgánom fondu predkladané na prerokovanie aj ďalšie materiály súvisiace s výkonom práv akcionára. Išlo najmä o materiály týkajúce sa:</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personálnych zmien v akciových spoločnostiach,</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informácií o plnení uznesení Výkonného výboru FNM SR v súvislosti s činnosťou niektorých spoločností,</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rozšírenia programu VZ,</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predpokladaných príjmov fondu z dividend na roky 201</w:t>
      </w:r>
      <w:r w:rsidRPr="00DA5B8F" w:rsidR="00BD3284">
        <w:rPr>
          <w:rFonts w:ascii="Times New Roman" w:hAnsi="Times New Roman"/>
          <w:lang w:val="sk-SK"/>
        </w:rPr>
        <w:t>4</w:t>
      </w:r>
      <w:r w:rsidRPr="00DA5B8F">
        <w:rPr>
          <w:rFonts w:ascii="Times New Roman" w:hAnsi="Times New Roman"/>
          <w:lang w:val="sk-SK"/>
        </w:rPr>
        <w:t xml:space="preserve"> – 201</w:t>
      </w:r>
      <w:r w:rsidRPr="00DA5B8F" w:rsidR="00BD3284">
        <w:rPr>
          <w:rFonts w:ascii="Times New Roman" w:hAnsi="Times New Roman"/>
          <w:lang w:val="sk-SK"/>
        </w:rPr>
        <w:t>7</w:t>
      </w:r>
      <w:r w:rsidRPr="00DA5B8F">
        <w:rPr>
          <w:rFonts w:ascii="Times New Roman" w:hAnsi="Times New Roman"/>
          <w:lang w:val="sk-SK"/>
        </w:rPr>
        <w:t>,</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stavu akciových spoločností s majetkovou účasťou fondu,</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zástupcov fondu v orgánoch spoločností,</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pracovných zmlúv uzatváraných so štatutármi akciových spoločností, kde má fond viac ako 67 %,</w:t>
      </w:r>
    </w:p>
    <w:p w:rsidR="002C3B67" w:rsidRPr="00DA5B8F" w:rsidP="00F46C00">
      <w:pPr>
        <w:pStyle w:val="Odsek1"/>
        <w:tabs>
          <w:tab w:val="clear" w:pos="720"/>
          <w:tab w:val="num" w:pos="851"/>
        </w:tabs>
        <w:bidi w:val="0"/>
        <w:spacing w:before="20" w:line="264" w:lineRule="auto"/>
        <w:ind w:left="851"/>
        <w:jc w:val="both"/>
        <w:rPr>
          <w:rFonts w:ascii="Times New Roman" w:hAnsi="Times New Roman"/>
          <w:lang w:val="sk-SK"/>
        </w:rPr>
      </w:pPr>
      <w:r w:rsidRPr="00DA5B8F">
        <w:rPr>
          <w:rFonts w:ascii="Times New Roman" w:hAnsi="Times New Roman"/>
          <w:lang w:val="sk-SK"/>
        </w:rPr>
        <w:t>žiadostí príkazníkov fondu, v zmysle príkazných zmlúv k hlasovaniu na rokovaniach dozorných rád.</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Vzhľadom na skutočnosť, že 50 % akciových spoločností, v ktorých má fond majetkovú účasť, bolo v roku 201</w:t>
      </w:r>
      <w:r w:rsidRPr="00DA5B8F" w:rsidR="00BD3284">
        <w:rPr>
          <w:rFonts w:ascii="Times New Roman" w:hAnsi="Times New Roman"/>
        </w:rPr>
        <w:t>4</w:t>
      </w:r>
      <w:r w:rsidRPr="00DA5B8F">
        <w:rPr>
          <w:rFonts w:ascii="Times New Roman" w:hAnsi="Times New Roman"/>
        </w:rPr>
        <w:t xml:space="preserve"> dotknutých konkurzom alebo likvidáciou, fond priebežne sledoval prípadné zmeny týkajúce sa konkurzov a likvidácií v Obchodných vestníkoch.</w:t>
      </w:r>
    </w:p>
    <w:p w:rsidR="002C3B67" w:rsidRPr="00DA5B8F" w:rsidP="005E6276">
      <w:pPr>
        <w:pStyle w:val="Heading3"/>
        <w:overflowPunct/>
        <w:autoSpaceDE/>
        <w:autoSpaceDN/>
        <w:bidi w:val="0"/>
        <w:adjustRightInd/>
        <w:spacing w:before="360" w:line="252" w:lineRule="auto"/>
        <w:jc w:val="both"/>
        <w:rPr>
          <w:rFonts w:ascii="Times New Roman" w:hAnsi="Times New Roman"/>
        </w:rPr>
      </w:pPr>
      <w:r w:rsidRPr="00DA5B8F">
        <w:rPr>
          <w:rFonts w:ascii="Times New Roman" w:hAnsi="Times New Roman"/>
        </w:rPr>
        <w:t>Ďalšie dôležité úlohy a projekty výkonu akcionárskych práv v roku 201</w:t>
      </w:r>
      <w:r w:rsidRPr="00DA5B8F" w:rsidR="006A5019">
        <w:rPr>
          <w:rFonts w:ascii="Times New Roman" w:hAnsi="Times New Roman"/>
        </w:rPr>
        <w:t>4</w:t>
      </w:r>
    </w:p>
    <w:p w:rsidR="006A5019"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príprava významných zmien v spoločnosti S</w:t>
      </w:r>
      <w:r w:rsidRPr="00DA5B8F" w:rsidR="00B229F1">
        <w:rPr>
          <w:rFonts w:ascii="Times New Roman" w:hAnsi="Times New Roman"/>
          <w:lang w:val="sk-SK"/>
        </w:rPr>
        <w:t>PP</w:t>
      </w:r>
      <w:r w:rsidRPr="00DA5B8F">
        <w:rPr>
          <w:rFonts w:ascii="Times New Roman" w:hAnsi="Times New Roman"/>
          <w:lang w:val="sk-SK"/>
        </w:rPr>
        <w:t>, a.</w:t>
      </w:r>
      <w:r w:rsidRPr="00DA5B8F" w:rsidR="00B229F1">
        <w:rPr>
          <w:rFonts w:ascii="Times New Roman" w:hAnsi="Times New Roman"/>
          <w:lang w:val="sk-SK"/>
        </w:rPr>
        <w:t> </w:t>
      </w:r>
      <w:r w:rsidRPr="00DA5B8F">
        <w:rPr>
          <w:rFonts w:ascii="Times New Roman" w:hAnsi="Times New Roman"/>
          <w:lang w:val="sk-SK"/>
        </w:rPr>
        <w:t xml:space="preserve">s. súvisiacich s reorganizáciou skupiny vplyvom pripravovanej zmeny akcionárskej štruktúry v záujme ochrany záujmov </w:t>
      </w:r>
      <w:r w:rsidRPr="00DA5B8F" w:rsidR="00B229F1">
        <w:rPr>
          <w:rFonts w:ascii="Times New Roman" w:hAnsi="Times New Roman"/>
          <w:sz w:val="23"/>
          <w:szCs w:val="23"/>
          <w:lang w:val="sk-SK"/>
        </w:rPr>
        <w:t>Slovenskej republiky</w:t>
      </w:r>
      <w:r w:rsidRPr="00DA5B8F" w:rsidR="00B229F1">
        <w:rPr>
          <w:rFonts w:ascii="Times New Roman" w:hAnsi="Times New Roman"/>
          <w:lang w:val="sk-SK"/>
        </w:rPr>
        <w:t xml:space="preserve"> </w:t>
      </w:r>
      <w:r w:rsidRPr="00DA5B8F">
        <w:rPr>
          <w:rFonts w:ascii="Times New Roman" w:hAnsi="Times New Roman"/>
          <w:lang w:val="sk-SK"/>
        </w:rPr>
        <w:t>v tejto spoločnosti,</w:t>
      </w:r>
    </w:p>
    <w:p w:rsidR="006A5019"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príprava významných zmien v spoločnosti Stredoslovenská energetika, a.</w:t>
      </w:r>
      <w:r w:rsidRPr="00DA5B8F" w:rsidR="00B229F1">
        <w:rPr>
          <w:rFonts w:ascii="Times New Roman" w:hAnsi="Times New Roman"/>
          <w:lang w:val="sk-SK"/>
        </w:rPr>
        <w:t> </w:t>
      </w:r>
      <w:r w:rsidRPr="00DA5B8F">
        <w:rPr>
          <w:rFonts w:ascii="Times New Roman" w:hAnsi="Times New Roman"/>
          <w:lang w:val="sk-SK"/>
        </w:rPr>
        <w:t xml:space="preserve">s. súvisiacich s pripravovanou zmenou investora v záujme ochrany záujmov </w:t>
      </w:r>
      <w:r w:rsidRPr="00DA5B8F" w:rsidR="0084787D">
        <w:rPr>
          <w:rFonts w:ascii="Times New Roman" w:hAnsi="Times New Roman"/>
          <w:sz w:val="23"/>
          <w:szCs w:val="23"/>
          <w:lang w:val="sk-SK"/>
        </w:rPr>
        <w:t>Slovenskej republiky</w:t>
      </w:r>
      <w:r w:rsidRPr="00DA5B8F">
        <w:rPr>
          <w:rFonts w:ascii="Times New Roman" w:hAnsi="Times New Roman"/>
          <w:lang w:val="sk-SK"/>
        </w:rPr>
        <w:t xml:space="preserve"> v tejto spoločnosti,</w:t>
      </w:r>
    </w:p>
    <w:p w:rsidR="00E81492"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získavanie podkladov a účasť na VZ akciových spoločností, ktoré fond získal darovaním,</w:t>
      </w:r>
    </w:p>
    <w:p w:rsidR="00E81492"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zabezpečenie vyplatenia mimoriadnych, resp. neplánovaných dividend v spoločnostiach, kde má fond účasť,</w:t>
      </w:r>
    </w:p>
    <w:p w:rsidR="00E81492"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zabezpečovanie schvaľovania podmienok pracovných zmlúv zamestnancov akciových spoločností, ktorí sú zároveň štatutármi akciových spoločností, podľa § 43 ods. 1 Zákonníka práce,</w:t>
      </w:r>
    </w:p>
    <w:p w:rsidR="00E81492"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zabezpečovanie výberu členov predstavenstiev akciových spoločností, kde fond vykonáva akcionárske práva, na základe výberových konaní, v zmysle schváleného spôsobu výberu fondu. Výzvy na výber člena do predstavenstva dotknutých spoločností sú oznamované na webovej stránke fondu. V súlade s uznesením vlády postupuje fond pri výbere členov do dozorných rád akciových spoločností.</w:t>
      </w:r>
    </w:p>
    <w:p w:rsidR="006A5019" w:rsidRPr="00DA5B8F" w:rsidP="00F46C00">
      <w:pPr>
        <w:pStyle w:val="Odsek1"/>
        <w:tabs>
          <w:tab w:val="num" w:pos="360"/>
          <w:tab w:val="clear" w:pos="720"/>
        </w:tabs>
        <w:bidi w:val="0"/>
        <w:spacing w:before="20" w:line="264" w:lineRule="auto"/>
        <w:ind w:left="426" w:hanging="357"/>
        <w:jc w:val="both"/>
        <w:rPr>
          <w:rStyle w:val="bbtext"/>
          <w:rFonts w:ascii="Times New Roman" w:hAnsi="Times New Roman"/>
          <w:lang w:val="sk-SK"/>
        </w:rPr>
      </w:pPr>
      <w:r w:rsidRPr="00DA5B8F" w:rsidR="006B64C5">
        <w:rPr>
          <w:rFonts w:ascii="Times New Roman" w:hAnsi="Times New Roman"/>
          <w:lang w:val="sk-SK"/>
        </w:rPr>
        <w:t>riešenie problematiky uplatňovania si predkupného práva majoritných vlastníkov akciových spoločností, kde má fond minoritný podiel, v zmysle zákona o cenných papieroch,</w:t>
      </w:r>
      <w:r w:rsidRPr="00DA5B8F" w:rsidR="00425CD3">
        <w:rPr>
          <w:rFonts w:ascii="Times New Roman" w:hAnsi="Times New Roman"/>
          <w:lang w:val="sk-SK"/>
        </w:rPr>
        <w:t xml:space="preserve"> a</w:t>
      </w:r>
      <w:r w:rsidRPr="00DA5B8F" w:rsidR="006B64C5">
        <w:rPr>
          <w:rFonts w:ascii="Times New Roman" w:hAnsi="Times New Roman"/>
          <w:lang w:val="sk-SK"/>
        </w:rPr>
        <w:t xml:space="preserve"> ktorí vyzvali fond na odpredaj svojich akcií za primerané protiplnenie, vrátane konzultácie a zabezpečovania podpisu kúpnych zmlúv na tieto akcie,</w:t>
      </w:r>
      <w:r w:rsidRPr="00DA5B8F" w:rsidR="008011EF">
        <w:rPr>
          <w:rFonts w:ascii="Times New Roman" w:hAnsi="Times New Roman"/>
          <w:lang w:val="sk-SK"/>
        </w:rPr>
        <w:t xml:space="preserve"> (</w:t>
      </w:r>
      <w:r w:rsidRPr="00DA5B8F">
        <w:rPr>
          <w:rFonts w:ascii="Times New Roman" w:hAnsi="Times New Roman"/>
          <w:b/>
          <w:bCs/>
          <w:lang w:val="sk-SK"/>
        </w:rPr>
        <w:t>„</w:t>
      </w:r>
      <w:r w:rsidRPr="00DA5B8F">
        <w:rPr>
          <w:rFonts w:ascii="Times New Roman" w:hAnsi="Times New Roman"/>
          <w:bCs/>
          <w:lang w:val="sk-SK"/>
        </w:rPr>
        <w:t>squeeze-out“</w:t>
      </w:r>
      <w:r w:rsidRPr="00DA5B8F">
        <w:rPr>
          <w:rFonts w:ascii="Times New Roman" w:hAnsi="Times New Roman"/>
          <w:lang w:val="sk-SK"/>
        </w:rPr>
        <w:t xml:space="preserve"> </w:t>
      </w:r>
      <w:r w:rsidRPr="00DA5B8F">
        <w:rPr>
          <w:rFonts w:ascii="Times New Roman" w:hAnsi="Times New Roman"/>
          <w:bCs/>
          <w:lang w:val="sk-SK"/>
        </w:rPr>
        <w:t>tzv. inštitút práva výkupu akcií od minoritných akcionárov</w:t>
      </w:r>
      <w:r w:rsidRPr="00DA5B8F">
        <w:rPr>
          <w:rFonts w:ascii="Times New Roman" w:hAnsi="Times New Roman"/>
          <w:lang w:val="sk-SK"/>
        </w:rPr>
        <w:t xml:space="preserve"> Ú</w:t>
      </w:r>
      <w:r w:rsidRPr="00DA5B8F">
        <w:rPr>
          <w:rStyle w:val="bbtext"/>
          <w:rFonts w:ascii="Times New Roman" w:hAnsi="Times New Roman"/>
          <w:lang w:val="sk-SK"/>
        </w:rPr>
        <w:t>čelom tejto právnej úpravy, ktorá sa v Slovenskej republike premietla do zákona</w:t>
      </w:r>
      <w:r w:rsidRPr="00DA5B8F" w:rsidR="00425CD3">
        <w:rPr>
          <w:rStyle w:val="bbtext"/>
          <w:rFonts w:ascii="Times New Roman" w:hAnsi="Times New Roman"/>
          <w:lang w:val="sk-SK"/>
        </w:rPr>
        <w:t xml:space="preserve"> o cenných papieroch,</w:t>
      </w:r>
      <w:r w:rsidRPr="00DA5B8F">
        <w:rPr>
          <w:rStyle w:val="bbtext"/>
          <w:rFonts w:ascii="Times New Roman" w:hAnsi="Times New Roman"/>
          <w:lang w:val="sk-SK"/>
        </w:rPr>
        <w:t xml:space="preserve"> je možnosť majoritného akcionára požadovať od všetkých zostávajúcich akcionárov určitej akciovej spoločnosti, ktorej akcie boli prijaté na obchodovanie na regulovanom trhu, aby na neho previedli svoje akcie za primerané protiplnenie</w:t>
      </w:r>
      <w:r w:rsidRPr="00DA5B8F" w:rsidR="008011EF">
        <w:rPr>
          <w:rStyle w:val="bbtext"/>
          <w:rFonts w:ascii="Times New Roman" w:hAnsi="Times New Roman"/>
          <w:lang w:val="sk-SK"/>
        </w:rPr>
        <w:t>)</w:t>
      </w:r>
      <w:r w:rsidRPr="00DA5B8F">
        <w:rPr>
          <w:rStyle w:val="bbtext"/>
          <w:rFonts w:ascii="Times New Roman" w:hAnsi="Times New Roman"/>
          <w:lang w:val="sk-SK"/>
        </w:rPr>
        <w:t>.</w:t>
      </w:r>
    </w:p>
    <w:p w:rsidR="006B64C5"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riešenie problematiky uplatňovania si predkupného práva fondu na akcie v spoločnostiach, ktoré v zmysle zákona zverejnili výzvu na odpredaj akcií za primerané protiplnenie, vrátane konzultácie a zabezpečovania podpisu kúpnych zmlúv na tieto akcie,</w:t>
      </w:r>
    </w:p>
    <w:p w:rsidR="006B64C5"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Pr>
          <w:rFonts w:ascii="Times New Roman" w:hAnsi="Times New Roman"/>
          <w:lang w:val="sk-SK"/>
        </w:rPr>
        <w:t>riešenie problematiky zvyšovania základného imania, resp. znižovania základného imania v niektorých akciových spoločnostiach s majoritným vlastníctvom fondu, v záujme riešenia ekonomickej situácie spoločnosti a z dôvodu vyčistenia bilancie spoločnosti, keď je vhodné so zvýšením ZI riešiť súčasne aj jeho zníženie.</w:t>
      </w:r>
    </w:p>
    <w:p w:rsidR="00D94D1C"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sidR="006A5019">
        <w:rPr>
          <w:rFonts w:ascii="Times New Roman" w:hAnsi="Times New Roman"/>
          <w:lang w:val="sk-SK"/>
        </w:rPr>
        <w:t>riešen</w:t>
      </w:r>
      <w:r w:rsidRPr="00DA5B8F">
        <w:rPr>
          <w:rFonts w:ascii="Times New Roman" w:hAnsi="Times New Roman"/>
          <w:lang w:val="sk-SK"/>
        </w:rPr>
        <w:t>ie</w:t>
      </w:r>
      <w:r w:rsidRPr="00DA5B8F" w:rsidR="006A5019">
        <w:rPr>
          <w:rFonts w:ascii="Times New Roman" w:hAnsi="Times New Roman"/>
          <w:lang w:val="sk-SK"/>
        </w:rPr>
        <w:t xml:space="preserve"> niektorých žiadostí v zmysle zákona </w:t>
      </w:r>
      <w:r w:rsidRPr="00DA5B8F">
        <w:rPr>
          <w:rFonts w:ascii="Times New Roman" w:hAnsi="Times New Roman"/>
          <w:lang w:val="sk-SK"/>
        </w:rPr>
        <w:t>o slobode informácii</w:t>
      </w:r>
      <w:r w:rsidRPr="00DA5B8F" w:rsidR="006A5019">
        <w:rPr>
          <w:rFonts w:ascii="Times New Roman" w:hAnsi="Times New Roman"/>
          <w:lang w:val="sk-SK"/>
        </w:rPr>
        <w:t xml:space="preserve"> zaslan</w:t>
      </w:r>
      <w:r w:rsidRPr="00DA5B8F" w:rsidR="008011EF">
        <w:rPr>
          <w:rFonts w:ascii="Times New Roman" w:hAnsi="Times New Roman"/>
          <w:lang w:val="sk-SK"/>
        </w:rPr>
        <w:t>é</w:t>
      </w:r>
      <w:r w:rsidRPr="00DA5B8F" w:rsidR="006A5019">
        <w:rPr>
          <w:rFonts w:ascii="Times New Roman" w:hAnsi="Times New Roman"/>
          <w:lang w:val="sk-SK"/>
        </w:rPr>
        <w:t xml:space="preserve"> právnickým osobám založený</w:t>
      </w:r>
      <w:r w:rsidRPr="00DA5B8F">
        <w:rPr>
          <w:rFonts w:ascii="Times New Roman" w:hAnsi="Times New Roman"/>
          <w:lang w:val="sk-SK"/>
        </w:rPr>
        <w:t>ch</w:t>
      </w:r>
      <w:r w:rsidRPr="00DA5B8F" w:rsidR="006A5019">
        <w:rPr>
          <w:rFonts w:ascii="Times New Roman" w:hAnsi="Times New Roman"/>
          <w:lang w:val="sk-SK"/>
        </w:rPr>
        <w:t xml:space="preserve"> FNM</w:t>
      </w:r>
      <w:r w:rsidRPr="00DA5B8F">
        <w:rPr>
          <w:rFonts w:ascii="Times New Roman" w:hAnsi="Times New Roman"/>
          <w:lang w:val="sk-SK"/>
        </w:rPr>
        <w:t> </w:t>
      </w:r>
      <w:r w:rsidRPr="00DA5B8F" w:rsidR="006A5019">
        <w:rPr>
          <w:rFonts w:ascii="Times New Roman" w:hAnsi="Times New Roman"/>
          <w:lang w:val="sk-SK"/>
        </w:rPr>
        <w:t>SR v prípadoch, keď sa nesprístupňovali informácie v plnom rozsahu resp. v prípadoch čiastočného nesprístupnenia informácií.</w:t>
      </w:r>
      <w:r w:rsidRPr="00DA5B8F">
        <w:rPr>
          <w:rFonts w:ascii="Times New Roman" w:hAnsi="Times New Roman"/>
          <w:lang w:val="sk-SK"/>
        </w:rPr>
        <w:t xml:space="preserve"> (</w:t>
      </w:r>
      <w:r w:rsidRPr="00DA5B8F" w:rsidR="006A5019">
        <w:rPr>
          <w:rFonts w:ascii="Times New Roman" w:hAnsi="Times New Roman"/>
          <w:lang w:val="sk-SK"/>
        </w:rPr>
        <w:t>v zmysle §</w:t>
      </w:r>
      <w:r w:rsidRPr="00DA5B8F">
        <w:rPr>
          <w:rFonts w:ascii="Times New Roman" w:hAnsi="Times New Roman"/>
          <w:lang w:val="sk-SK"/>
        </w:rPr>
        <w:t> </w:t>
      </w:r>
      <w:r w:rsidRPr="00DA5B8F" w:rsidR="006A5019">
        <w:rPr>
          <w:rFonts w:ascii="Times New Roman" w:hAnsi="Times New Roman"/>
          <w:lang w:val="sk-SK"/>
        </w:rPr>
        <w:t>2 ods.</w:t>
      </w:r>
      <w:r w:rsidRPr="00DA5B8F">
        <w:rPr>
          <w:rFonts w:ascii="Times New Roman" w:hAnsi="Times New Roman"/>
          <w:lang w:val="sk-SK"/>
        </w:rPr>
        <w:t> </w:t>
      </w:r>
      <w:r w:rsidRPr="00DA5B8F" w:rsidR="006A5019">
        <w:rPr>
          <w:rFonts w:ascii="Times New Roman" w:hAnsi="Times New Roman"/>
          <w:lang w:val="sk-SK"/>
        </w:rPr>
        <w:t xml:space="preserve">2 </w:t>
      </w:r>
      <w:r w:rsidRPr="00DA5B8F">
        <w:rPr>
          <w:rFonts w:ascii="Times New Roman" w:hAnsi="Times New Roman"/>
          <w:lang w:val="sk-SK"/>
        </w:rPr>
        <w:t>zákona o slobode informácií</w:t>
      </w:r>
      <w:r w:rsidRPr="00DA5B8F" w:rsidR="006A5019">
        <w:rPr>
          <w:rFonts w:ascii="Times New Roman" w:hAnsi="Times New Roman"/>
          <w:lang w:val="sk-SK"/>
        </w:rPr>
        <w:t xml:space="preserve"> </w:t>
      </w:r>
      <w:r w:rsidRPr="00DA5B8F">
        <w:rPr>
          <w:rFonts w:ascii="Times New Roman" w:hAnsi="Times New Roman"/>
          <w:lang w:val="sk-SK"/>
        </w:rPr>
        <w:t xml:space="preserve">je fond </w:t>
      </w:r>
      <w:r w:rsidRPr="00DA5B8F" w:rsidR="006A5019">
        <w:rPr>
          <w:rFonts w:ascii="Times New Roman" w:hAnsi="Times New Roman"/>
          <w:lang w:val="sk-SK"/>
        </w:rPr>
        <w:t>povinnou osobou. Povinnou osobou sú v zmysle §</w:t>
      </w:r>
      <w:r w:rsidRPr="00DA5B8F">
        <w:rPr>
          <w:rFonts w:ascii="Times New Roman" w:hAnsi="Times New Roman"/>
          <w:lang w:val="sk-SK"/>
        </w:rPr>
        <w:t> </w:t>
      </w:r>
      <w:r w:rsidRPr="00DA5B8F" w:rsidR="006A5019">
        <w:rPr>
          <w:rFonts w:ascii="Times New Roman" w:hAnsi="Times New Roman"/>
          <w:lang w:val="sk-SK"/>
        </w:rPr>
        <w:t>2 ods.</w:t>
      </w:r>
      <w:r w:rsidRPr="00DA5B8F">
        <w:rPr>
          <w:rFonts w:ascii="Times New Roman" w:hAnsi="Times New Roman"/>
          <w:lang w:val="sk-SK"/>
        </w:rPr>
        <w:t> </w:t>
      </w:r>
      <w:r w:rsidRPr="00DA5B8F" w:rsidR="006A5019">
        <w:rPr>
          <w:rFonts w:ascii="Times New Roman" w:hAnsi="Times New Roman"/>
          <w:lang w:val="sk-SK"/>
        </w:rPr>
        <w:t xml:space="preserve">3 aj právnické osoby založené </w:t>
      </w:r>
      <w:r w:rsidRPr="00DA5B8F">
        <w:rPr>
          <w:rFonts w:ascii="Times New Roman" w:hAnsi="Times New Roman"/>
          <w:lang w:val="sk-SK"/>
        </w:rPr>
        <w:t>f</w:t>
      </w:r>
      <w:r w:rsidRPr="00DA5B8F" w:rsidR="006A5019">
        <w:rPr>
          <w:rFonts w:ascii="Times New Roman" w:hAnsi="Times New Roman"/>
          <w:lang w:val="sk-SK"/>
        </w:rPr>
        <w:t>ondom</w:t>
      </w:r>
      <w:r w:rsidRPr="00DA5B8F">
        <w:rPr>
          <w:rFonts w:ascii="Times New Roman" w:hAnsi="Times New Roman"/>
          <w:lang w:val="sk-SK"/>
        </w:rPr>
        <w:t>).</w:t>
      </w:r>
    </w:p>
    <w:p w:rsidR="006B64C5" w:rsidRPr="00DA5B8F" w:rsidP="00F46C00">
      <w:pPr>
        <w:pStyle w:val="Odsek1"/>
        <w:tabs>
          <w:tab w:val="num" w:pos="360"/>
          <w:tab w:val="clear" w:pos="720"/>
        </w:tabs>
        <w:bidi w:val="0"/>
        <w:spacing w:before="20" w:line="264" w:lineRule="auto"/>
        <w:ind w:left="357" w:hanging="357"/>
        <w:jc w:val="both"/>
        <w:rPr>
          <w:rFonts w:ascii="Times New Roman" w:hAnsi="Times New Roman"/>
          <w:lang w:val="sk-SK"/>
        </w:rPr>
      </w:pPr>
      <w:r w:rsidRPr="00DA5B8F" w:rsidR="00D94D1C">
        <w:rPr>
          <w:rFonts w:ascii="Times New Roman" w:hAnsi="Times New Roman"/>
          <w:lang w:val="sk-SK"/>
        </w:rPr>
        <w:t>spolupráca pri riešení súdnych sporov, ktorými sú dotknuté záujmy fondu, resp. môže prísť k povinnosti finančnej náhrady zo strany fondu.</w:t>
      </w:r>
    </w:p>
    <w:p w:rsidR="003474EE" w:rsidRPr="00DA5B8F" w:rsidP="003474EE">
      <w:pPr>
        <w:pStyle w:val="Header"/>
        <w:numPr>
          <w:ilvl w:val="1"/>
          <w:numId w:val="11"/>
        </w:numPr>
        <w:shd w:val="clear" w:color="auto" w:fill="E6E6E6"/>
        <w:tabs>
          <w:tab w:val="clear" w:pos="4703"/>
          <w:tab w:val="clear" w:pos="9406"/>
        </w:tabs>
        <w:bidi w:val="0"/>
        <w:spacing w:before="360" w:after="240" w:line="264" w:lineRule="auto"/>
        <w:ind w:left="703" w:hanging="703"/>
        <w:jc w:val="both"/>
        <w:rPr>
          <w:rFonts w:ascii="Times New Roman" w:hAnsi="Times New Roman"/>
          <w:b/>
          <w:bCs/>
          <w:lang w:val="sk-SK"/>
        </w:rPr>
      </w:pPr>
      <w:r w:rsidRPr="00DA5B8F">
        <w:rPr>
          <w:rFonts w:ascii="Times New Roman" w:hAnsi="Times New Roman"/>
          <w:b/>
          <w:bCs/>
          <w:lang w:val="sk-SK"/>
        </w:rPr>
        <w:t>Kapitálový trh a dlhopisy</w:t>
      </w: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bookmarkStart w:id="4" w:name="OLE_LINK17"/>
      <w:r w:rsidRPr="00DA5B8F">
        <w:rPr>
          <w:rFonts w:ascii="Times New Roman" w:hAnsi="Times New Roman"/>
        </w:rPr>
        <w:t>Fond v priebehu roka 2014 zabezpečoval plnenie úloh týkajúcich sa výplaty menovitej hodnoty a výnosu dlhopisu fondu oprávneným osobám, realizácie prevodov cenných papierov v CDCP, plnenia úloh vyplývajúcich zo zákona o privatizácii spojených s bezodplatným prevodom cenných papierov od fyzických osôb na fond.</w:t>
      </w:r>
    </w:p>
    <w:p w:rsidR="003474EE" w:rsidRPr="00DA5B8F" w:rsidP="003474EE">
      <w:pPr>
        <w:pStyle w:val="Heading3"/>
        <w:overflowPunct/>
        <w:autoSpaceDE/>
        <w:autoSpaceDN/>
        <w:bidi w:val="0"/>
        <w:adjustRightInd/>
        <w:spacing w:before="360" w:line="264" w:lineRule="auto"/>
        <w:rPr>
          <w:rFonts w:ascii="Times New Roman" w:hAnsi="Times New Roman"/>
        </w:rPr>
      </w:pPr>
      <w:r w:rsidRPr="00DA5B8F">
        <w:rPr>
          <w:rFonts w:ascii="Times New Roman" w:hAnsi="Times New Roman"/>
        </w:rPr>
        <w:t>Dlhopisy fondu</w:t>
      </w: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Emisiu vo výške 3,3 mil. kusov dlhopisov fondu vydal fond k 1. 1. 1996 a v zmysle zákona ich splatil najmä v roku 2001. Zákon č. 717/2004 Z. z. z 2. 12. 2004 umožnil fondu vyplácať dlhopisy aj po ich premlčaní, a preto fond v realizácii výplat týchto cenných papierov oprávneným osobám pokračoval aj v roku 2014. Prijaté písomné žiadosti o vyplatenie dlhopisov boli vybavované na základe evidencie oprávnených osôb na výplatu menovitej hodnoty a výnosu dlhopisu fondu. Fond vykonával tiež všetky činnosti súvisiace s prvým splatením, resp. s opätovným vyplatením tých dlhopisov fondu, ktoré si oprávnené osoby neprevzali už v roku 2001. V roku 2014 bolo oprávneným osobám vyplatených 298 kusov dlhopisov fondu v sume cca 128 tis. Eur. Ku koncu roka 2014 fond evidoval vyše 200 rozpracovaných žiadostí dedičov, pri ktorých ide najmä o novoobjavené dedičstvá. K 31. 12. 2014 ostalo v evidencii cca 35,7 tis. oprávnených osôb na výplatu dlhopisov fondu v celkovom objeme cca 15 415 tis. Eur. Tento relatívne vysoký počet nevyplatených dlhopisov fondu súvisí najmä s úmrtiami oprávnených majiteľov, s neinformovanosťou dedičov, s dlhotrvajúcimi dedičskými konaniami, so zmenenými identifikačnými údajmi (priezvisko, bydlisko), s dlhodobými pobytmi oprávnených osôb v zahraničí.</w:t>
      </w:r>
    </w:p>
    <w:p w:rsidR="003474EE" w:rsidRPr="00DA5B8F" w:rsidP="003474EE">
      <w:pPr>
        <w:pStyle w:val="Heading3"/>
        <w:overflowPunct/>
        <w:autoSpaceDE/>
        <w:autoSpaceDN/>
        <w:bidi w:val="0"/>
        <w:adjustRightInd/>
        <w:spacing w:before="360" w:line="264" w:lineRule="auto"/>
        <w:rPr>
          <w:rFonts w:ascii="Times New Roman" w:hAnsi="Times New Roman"/>
        </w:rPr>
      </w:pPr>
      <w:r w:rsidRPr="00DA5B8F">
        <w:rPr>
          <w:rFonts w:ascii="Times New Roman" w:hAnsi="Times New Roman"/>
        </w:rPr>
        <w:t>Prevody cenných papierov na CDCP</w:t>
      </w: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Prevody cenných papierov v majetku fondu, ktoré nie sú obchodované na BCPB, zabezpečoval fond v CDCP na základe uzatvorených zmlúv. Služby súvisiace s prevodom cenných papierov boli realizované prostredníctvom elektronického systému CDCP (zadávanie tzv. „polpríkazov“). Takto boli v roku 2014 zrealizované 4 bezodplatné prevody zaknihovaných cenných papierov. Ďalej bolo zrealizovaných 8 prechodov cenných papierov na MH SR, z toho bol jeden prechod listinných cenných papierov. Uvedené prechody boli uskutočnené v zmysle ustanovenia § 47da a ustanovenia § 47i zákona o privatizácii.</w:t>
      </w:r>
    </w:p>
    <w:p w:rsidR="003474EE" w:rsidRPr="00DA5B8F" w:rsidP="003474EE">
      <w:pPr>
        <w:pStyle w:val="Heading3"/>
        <w:tabs>
          <w:tab w:val="right" w:pos="9360"/>
        </w:tabs>
        <w:overflowPunct/>
        <w:autoSpaceDE/>
        <w:autoSpaceDN/>
        <w:bidi w:val="0"/>
        <w:adjustRightInd/>
        <w:spacing w:before="240" w:after="120"/>
      </w:pPr>
      <w:r w:rsidRPr="00DA5B8F">
        <w:rPr>
          <w:rFonts w:ascii="Times New Roman" w:hAnsi="Times New Roman"/>
        </w:rPr>
        <w:t>Prevody a prechody cenných papierov v roku 2014</w:t>
      </w:r>
    </w:p>
    <w:tbl>
      <w:tblPr>
        <w:tblStyle w:val="TableNormal"/>
        <w:tblpPr w:leftFromText="141" w:rightFromText="141" w:vertAnchor="text" w:tblpY="1"/>
        <w:tblOverlap w:val="never"/>
        <w:tblW w:w="9505" w:type="dxa"/>
        <w:tblInd w:w="32" w:type="dxa"/>
        <w:tblLayout w:type="fixed"/>
        <w:tblCellMar>
          <w:left w:w="0" w:type="dxa"/>
          <w:right w:w="0" w:type="dxa"/>
        </w:tblCellMar>
      </w:tblPr>
      <w:tblGrid>
        <w:gridCol w:w="5803"/>
        <w:gridCol w:w="1993"/>
        <w:gridCol w:w="1709"/>
      </w:tblGrid>
      <w:tr>
        <w:tblPrEx>
          <w:tblW w:w="9505" w:type="dxa"/>
          <w:tblInd w:w="32" w:type="dxa"/>
          <w:tblLayout w:type="fixed"/>
          <w:tblCellMar>
            <w:left w:w="0" w:type="dxa"/>
            <w:right w:w="0" w:type="dxa"/>
          </w:tblCellMar>
        </w:tblPrEx>
        <w:trPr>
          <w:trHeight w:val="855"/>
        </w:trPr>
        <w:tc>
          <w:tcPr>
            <w:tcW w:w="5803" w:type="dxa"/>
            <w:tcBorders>
              <w:top w:val="single" w:sz="4" w:space="0" w:color="A6A6A6"/>
              <w:left w:val="none" w:sz="0" w:space="0" w:color="auto"/>
              <w:bottom w:val="double" w:sz="4" w:space="0" w:color="A6A6A6"/>
              <w:right w:val="none" w:sz="0" w:space="0" w:color="auto"/>
            </w:tcBorders>
            <w:shd w:val="clear" w:color="auto" w:fill="CCCCFF"/>
            <w:tcMar>
              <w:top w:w="15" w:type="dxa"/>
              <w:left w:w="15" w:type="dxa"/>
              <w:bottom w:w="0" w:type="dxa"/>
              <w:right w:w="15" w:type="dxa"/>
            </w:tcMar>
            <w:textDirection w:val="lrTb"/>
            <w:vAlign w:val="center"/>
          </w:tcPr>
          <w:p w:rsidR="003474EE" w:rsidRPr="00DA5B8F" w:rsidP="00706AF2">
            <w:pPr>
              <w:bidi w:val="0"/>
              <w:ind w:left="180"/>
              <w:suppressOverlap/>
              <w:jc w:val="both"/>
              <w:rPr>
                <w:rFonts w:ascii="Times New Roman" w:hAnsi="Times New Roman"/>
                <w:b/>
                <w:bCs/>
                <w:lang w:val="sk-SK"/>
              </w:rPr>
            </w:pPr>
            <w:r w:rsidRPr="00DA5B8F">
              <w:rPr>
                <w:rFonts w:ascii="Times New Roman" w:hAnsi="Times New Roman"/>
                <w:b/>
                <w:bCs/>
                <w:lang w:val="sk-SK"/>
              </w:rPr>
              <w:t>Druh prevodu, prechodu</w:t>
            </w:r>
          </w:p>
        </w:tc>
        <w:tc>
          <w:tcPr>
            <w:tcW w:w="1993" w:type="dxa"/>
            <w:tcBorders>
              <w:top w:val="single" w:sz="4" w:space="0" w:color="A6A6A6"/>
              <w:left w:val="none" w:sz="0" w:space="0" w:color="auto"/>
              <w:bottom w:val="double" w:sz="4" w:space="0" w:color="A6A6A6"/>
              <w:right w:val="none" w:sz="0" w:space="0" w:color="auto"/>
            </w:tcBorders>
            <w:shd w:val="clear" w:color="auto" w:fill="CCCCFF"/>
            <w:tcMar>
              <w:top w:w="15" w:type="dxa"/>
              <w:left w:w="15" w:type="dxa"/>
              <w:bottom w:w="0" w:type="dxa"/>
              <w:right w:w="15" w:type="dxa"/>
            </w:tcMar>
            <w:textDirection w:val="lrTb"/>
            <w:vAlign w:val="center"/>
          </w:tcPr>
          <w:p w:rsidR="003474EE" w:rsidRPr="00DA5B8F" w:rsidP="00706AF2">
            <w:pPr>
              <w:bidi w:val="0"/>
              <w:ind w:left="180"/>
              <w:suppressOverlap/>
              <w:jc w:val="center"/>
              <w:rPr>
                <w:rFonts w:ascii="Times New Roman" w:hAnsi="Times New Roman"/>
                <w:b/>
                <w:bCs/>
                <w:lang w:val="sk-SK"/>
              </w:rPr>
            </w:pPr>
            <w:r w:rsidRPr="00DA5B8F">
              <w:rPr>
                <w:rFonts w:ascii="Times New Roman" w:hAnsi="Times New Roman"/>
                <w:b/>
                <w:bCs/>
                <w:lang w:val="sk-SK"/>
              </w:rPr>
              <w:t>Počet prevodov, prechodov</w:t>
            </w:r>
          </w:p>
          <w:p w:rsidR="003474EE" w:rsidRPr="00DA5B8F" w:rsidP="00706AF2">
            <w:pPr>
              <w:bidi w:val="0"/>
              <w:ind w:left="180"/>
              <w:suppressOverlap/>
              <w:jc w:val="center"/>
              <w:rPr>
                <w:rFonts w:ascii="Times New Roman" w:hAnsi="Times New Roman"/>
                <w:b/>
                <w:bCs/>
                <w:lang w:val="sk-SK"/>
              </w:rPr>
            </w:pPr>
            <w:r w:rsidRPr="00DA5B8F">
              <w:rPr>
                <w:rFonts w:ascii="Times New Roman" w:hAnsi="Times New Roman"/>
                <w:b/>
                <w:bCs/>
                <w:lang w:val="sk-SK"/>
              </w:rPr>
              <w:t>(ks)</w:t>
            </w:r>
          </w:p>
        </w:tc>
        <w:tc>
          <w:tcPr>
            <w:tcW w:w="1709" w:type="dxa"/>
            <w:tcBorders>
              <w:top w:val="single" w:sz="4" w:space="0" w:color="A6A6A6"/>
              <w:left w:val="none" w:sz="0" w:space="0" w:color="auto"/>
              <w:bottom w:val="double" w:sz="4" w:space="0" w:color="A6A6A6"/>
              <w:right w:val="none" w:sz="0" w:space="0" w:color="auto"/>
            </w:tcBorders>
            <w:shd w:val="clear" w:color="auto" w:fill="CCCCFF"/>
            <w:tcMar>
              <w:top w:w="15" w:type="dxa"/>
              <w:left w:w="15" w:type="dxa"/>
              <w:bottom w:w="0" w:type="dxa"/>
              <w:right w:w="15" w:type="dxa"/>
            </w:tcMar>
            <w:textDirection w:val="lrTb"/>
            <w:vAlign w:val="center"/>
          </w:tcPr>
          <w:p w:rsidR="003474EE" w:rsidRPr="00DA5B8F" w:rsidP="00706AF2">
            <w:pPr>
              <w:bidi w:val="0"/>
              <w:ind w:left="180"/>
              <w:suppressOverlap/>
              <w:jc w:val="center"/>
              <w:rPr>
                <w:rFonts w:ascii="Times New Roman" w:hAnsi="Times New Roman"/>
                <w:b/>
                <w:bCs/>
                <w:lang w:val="sk-SK"/>
              </w:rPr>
            </w:pPr>
            <w:r w:rsidRPr="00DA5B8F">
              <w:rPr>
                <w:rFonts w:ascii="Times New Roman" w:hAnsi="Times New Roman"/>
                <w:b/>
                <w:bCs/>
                <w:lang w:val="sk-SK"/>
              </w:rPr>
              <w:t>Počet CP</w:t>
            </w:r>
          </w:p>
          <w:p w:rsidR="003474EE" w:rsidRPr="00DA5B8F" w:rsidP="00706AF2">
            <w:pPr>
              <w:bidi w:val="0"/>
              <w:ind w:left="180"/>
              <w:suppressOverlap/>
              <w:jc w:val="center"/>
              <w:rPr>
                <w:rFonts w:ascii="Times New Roman" w:hAnsi="Times New Roman"/>
                <w:b/>
                <w:bCs/>
                <w:lang w:val="sk-SK"/>
              </w:rPr>
            </w:pPr>
            <w:r w:rsidRPr="00DA5B8F">
              <w:rPr>
                <w:rFonts w:ascii="Times New Roman" w:hAnsi="Times New Roman"/>
                <w:b/>
                <w:bCs/>
                <w:lang w:val="sk-SK"/>
              </w:rPr>
              <w:t>(ks)</w:t>
            </w:r>
          </w:p>
        </w:tc>
      </w:tr>
      <w:tr>
        <w:tblPrEx>
          <w:tblW w:w="9505" w:type="dxa"/>
          <w:tblInd w:w="32" w:type="dxa"/>
          <w:tblLayout w:type="fixed"/>
          <w:tblCellMar>
            <w:left w:w="0" w:type="dxa"/>
            <w:right w:w="0" w:type="dxa"/>
          </w:tblCellMar>
        </w:tblPrEx>
        <w:trPr>
          <w:trHeight w:val="454"/>
        </w:trPr>
        <w:tc>
          <w:tcPr>
            <w:tcW w:w="5803" w:type="dxa"/>
            <w:tcBorders>
              <w:top w:val="doub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3474EE" w:rsidRPr="00DA5B8F" w:rsidP="00706AF2">
            <w:pPr>
              <w:bidi w:val="0"/>
              <w:suppressOverlap/>
              <w:rPr>
                <w:rFonts w:ascii="Times New Roman" w:eastAsia="Arial Unicode MS" w:hAnsi="Times New Roman"/>
                <w:lang w:val="sk-SK"/>
              </w:rPr>
            </w:pPr>
            <w:r w:rsidRPr="00DA5B8F">
              <w:rPr>
                <w:rFonts w:ascii="Times New Roman" w:hAnsi="Times New Roman"/>
                <w:lang w:val="sk-SK"/>
              </w:rPr>
              <w:t>Bezodplatné prevody akcií na obce a</w:t>
            </w:r>
            <w:r w:rsidRPr="00DA5B8F" w:rsidR="00356900">
              <w:rPr>
                <w:rFonts w:ascii="Times New Roman" w:hAnsi="Times New Roman"/>
                <w:lang w:val="sk-SK"/>
              </w:rPr>
              <w:t> </w:t>
            </w:r>
            <w:r w:rsidRPr="00DA5B8F">
              <w:rPr>
                <w:rFonts w:ascii="Times New Roman" w:hAnsi="Times New Roman"/>
                <w:lang w:val="sk-SK"/>
              </w:rPr>
              <w:t>mestá</w:t>
            </w:r>
          </w:p>
        </w:tc>
        <w:tc>
          <w:tcPr>
            <w:tcW w:w="1993" w:type="dxa"/>
            <w:tcBorders>
              <w:top w:val="double" w:sz="4" w:space="0" w:color="A6A6A6"/>
              <w:left w:val="none" w:sz="0" w:space="0" w:color="auto"/>
              <w:bottom w:val="single" w:sz="4" w:space="0" w:color="A6A6A6"/>
              <w:right w:val="none" w:sz="0" w:space="0" w:color="auto"/>
            </w:tcBorders>
            <w:noWrap/>
            <w:tcMar>
              <w:top w:w="15" w:type="dxa"/>
              <w:left w:w="15" w:type="dxa"/>
              <w:bottom w:w="0" w:type="dxa"/>
              <w:right w:w="15" w:type="dxa"/>
            </w:tcMar>
            <w:textDirection w:val="lrTb"/>
            <w:vAlign w:val="center"/>
          </w:tcPr>
          <w:p w:rsidR="003474EE" w:rsidRPr="00DA5B8F" w:rsidP="00706AF2">
            <w:pPr>
              <w:bidi w:val="0"/>
              <w:suppressOverlap/>
              <w:jc w:val="center"/>
              <w:rPr>
                <w:rFonts w:ascii="Times New Roman" w:hAnsi="Times New Roman"/>
                <w:lang w:val="sk-SK"/>
              </w:rPr>
            </w:pPr>
            <w:r w:rsidRPr="00DA5B8F">
              <w:rPr>
                <w:rFonts w:ascii="Times New Roman" w:hAnsi="Times New Roman"/>
                <w:lang w:val="sk-SK"/>
              </w:rPr>
              <w:t>2</w:t>
            </w:r>
          </w:p>
        </w:tc>
        <w:tc>
          <w:tcPr>
            <w:tcW w:w="1709" w:type="dxa"/>
            <w:tcBorders>
              <w:top w:val="double" w:sz="4" w:space="0" w:color="A6A6A6"/>
              <w:left w:val="none" w:sz="0" w:space="0" w:color="auto"/>
              <w:bottom w:val="single" w:sz="4" w:space="0" w:color="A6A6A6"/>
              <w:right w:val="none" w:sz="0" w:space="0" w:color="auto"/>
            </w:tcBorders>
            <w:noWrap/>
            <w:tcMar>
              <w:top w:w="15" w:type="dxa"/>
              <w:left w:w="15" w:type="dxa"/>
              <w:bottom w:w="0" w:type="dxa"/>
              <w:right w:w="15" w:type="dxa"/>
            </w:tcMar>
            <w:textDirection w:val="lrTb"/>
            <w:vAlign w:val="center"/>
          </w:tcPr>
          <w:p w:rsidR="003474EE" w:rsidRPr="00DA5B8F" w:rsidP="00706AF2">
            <w:pPr>
              <w:bidi w:val="0"/>
              <w:suppressOverlap/>
              <w:jc w:val="right"/>
              <w:rPr>
                <w:rFonts w:ascii="Times New Roman" w:eastAsia="Arial Unicode MS" w:hAnsi="Times New Roman"/>
                <w:lang w:val="sk-SK"/>
              </w:rPr>
            </w:pPr>
            <w:r w:rsidRPr="00DA5B8F">
              <w:rPr>
                <w:rFonts w:ascii="Times New Roman" w:eastAsia="Arial Unicode MS" w:hAnsi="Times New Roman"/>
                <w:lang w:val="sk-SK"/>
              </w:rPr>
              <w:t>2 283</w:t>
            </w:r>
          </w:p>
        </w:tc>
      </w:tr>
      <w:tr>
        <w:tblPrEx>
          <w:tblW w:w="9505" w:type="dxa"/>
          <w:tblInd w:w="32" w:type="dxa"/>
          <w:tblLayout w:type="fixed"/>
          <w:tblCellMar>
            <w:left w:w="0" w:type="dxa"/>
            <w:right w:w="0" w:type="dxa"/>
          </w:tblCellMar>
        </w:tblPrEx>
        <w:trPr>
          <w:trHeight w:val="330"/>
        </w:trPr>
        <w:tc>
          <w:tcPr>
            <w:tcW w:w="5803"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3474EE" w:rsidRPr="00DA5B8F" w:rsidP="00706AF2">
            <w:pPr>
              <w:bidi w:val="0"/>
              <w:suppressOverlap/>
              <w:rPr>
                <w:rFonts w:ascii="Times New Roman" w:eastAsia="Arial Unicode MS" w:hAnsi="Times New Roman"/>
                <w:lang w:val="sk-SK"/>
              </w:rPr>
            </w:pPr>
            <w:r w:rsidRPr="00DA5B8F">
              <w:rPr>
                <w:rFonts w:ascii="Times New Roman" w:hAnsi="Times New Roman"/>
                <w:lang w:val="sk-SK"/>
              </w:rPr>
              <w:t>Bezodplatné prevody akcií na MDVRR SR</w:t>
            </w:r>
          </w:p>
        </w:tc>
        <w:tc>
          <w:tcPr>
            <w:tcW w:w="1993" w:type="dxa"/>
            <w:tcBorders>
              <w:top w:val="single" w:sz="4" w:space="0" w:color="A6A6A6"/>
              <w:left w:val="none" w:sz="0" w:space="0" w:color="auto"/>
              <w:bottom w:val="single" w:sz="4" w:space="0" w:color="A6A6A6"/>
              <w:right w:val="none" w:sz="0" w:space="0" w:color="auto"/>
            </w:tcBorders>
            <w:noWrap/>
            <w:tcMar>
              <w:top w:w="15" w:type="dxa"/>
              <w:left w:w="15" w:type="dxa"/>
              <w:bottom w:w="0" w:type="dxa"/>
              <w:right w:w="15" w:type="dxa"/>
            </w:tcMar>
            <w:textDirection w:val="lrTb"/>
            <w:vAlign w:val="center"/>
          </w:tcPr>
          <w:p w:rsidR="003474EE" w:rsidRPr="00DA5B8F" w:rsidP="00706AF2">
            <w:pPr>
              <w:bidi w:val="0"/>
              <w:suppressOverlap/>
              <w:jc w:val="center"/>
              <w:rPr>
                <w:rFonts w:ascii="Times New Roman" w:eastAsia="Arial Unicode MS" w:hAnsi="Times New Roman"/>
                <w:lang w:val="sk-SK"/>
              </w:rPr>
            </w:pPr>
            <w:r w:rsidRPr="00DA5B8F">
              <w:rPr>
                <w:rFonts w:ascii="Times New Roman" w:hAnsi="Times New Roman"/>
                <w:lang w:val="sk-SK"/>
              </w:rPr>
              <w:t>2</w:t>
            </w:r>
          </w:p>
        </w:tc>
        <w:tc>
          <w:tcPr>
            <w:tcW w:w="1709" w:type="dxa"/>
            <w:tcBorders>
              <w:top w:val="single" w:sz="4" w:space="0" w:color="A6A6A6"/>
              <w:left w:val="none" w:sz="0" w:space="0" w:color="auto"/>
              <w:bottom w:val="single" w:sz="4" w:space="0" w:color="A6A6A6"/>
              <w:right w:val="none" w:sz="0" w:space="0" w:color="auto"/>
            </w:tcBorders>
            <w:noWrap/>
            <w:tcMar>
              <w:top w:w="15" w:type="dxa"/>
              <w:left w:w="15" w:type="dxa"/>
              <w:bottom w:w="0" w:type="dxa"/>
              <w:right w:w="15" w:type="dxa"/>
            </w:tcMar>
            <w:textDirection w:val="lrTb"/>
            <w:vAlign w:val="center"/>
          </w:tcPr>
          <w:p w:rsidR="003474EE" w:rsidRPr="00DA5B8F" w:rsidP="00706AF2">
            <w:pPr>
              <w:bidi w:val="0"/>
              <w:suppressOverlap/>
              <w:jc w:val="right"/>
              <w:rPr>
                <w:rFonts w:ascii="Times New Roman" w:eastAsia="Arial Unicode MS" w:hAnsi="Times New Roman"/>
                <w:lang w:val="sk-SK"/>
              </w:rPr>
            </w:pPr>
            <w:r w:rsidRPr="00DA5B8F">
              <w:rPr>
                <w:rFonts w:ascii="Times New Roman" w:eastAsia="Arial Unicode MS" w:hAnsi="Times New Roman"/>
                <w:lang w:val="sk-SK"/>
              </w:rPr>
              <w:t>4 793</w:t>
            </w:r>
          </w:p>
        </w:tc>
      </w:tr>
      <w:tr>
        <w:tblPrEx>
          <w:tblW w:w="9505" w:type="dxa"/>
          <w:tblInd w:w="32" w:type="dxa"/>
          <w:tblLayout w:type="fixed"/>
          <w:tblCellMar>
            <w:left w:w="0" w:type="dxa"/>
            <w:right w:w="0" w:type="dxa"/>
          </w:tblCellMar>
        </w:tblPrEx>
        <w:trPr>
          <w:trHeight w:val="454"/>
        </w:trPr>
        <w:tc>
          <w:tcPr>
            <w:tcW w:w="5803" w:type="dxa"/>
            <w:tcBorders>
              <w:top w:val="single" w:sz="4" w:space="0" w:color="A6A6A6"/>
              <w:left w:val="none" w:sz="0" w:space="0" w:color="auto"/>
              <w:bottom w:val="double" w:sz="4" w:space="0" w:color="A6A6A6"/>
              <w:right w:val="none" w:sz="0" w:space="0" w:color="auto"/>
            </w:tcBorders>
            <w:tcMar>
              <w:top w:w="15" w:type="dxa"/>
              <w:left w:w="15" w:type="dxa"/>
              <w:bottom w:w="0" w:type="dxa"/>
              <w:right w:w="15" w:type="dxa"/>
            </w:tcMar>
            <w:textDirection w:val="lrTb"/>
            <w:vAlign w:val="center"/>
          </w:tcPr>
          <w:p w:rsidR="003474EE" w:rsidRPr="00DA5B8F" w:rsidP="00706AF2">
            <w:pPr>
              <w:bidi w:val="0"/>
              <w:suppressOverlap/>
              <w:rPr>
                <w:rFonts w:ascii="Times New Roman" w:eastAsia="Arial Unicode MS" w:hAnsi="Times New Roman"/>
                <w:lang w:val="sk-SK"/>
              </w:rPr>
            </w:pPr>
            <w:r w:rsidRPr="00DA5B8F">
              <w:rPr>
                <w:rFonts w:ascii="Times New Roman" w:hAnsi="Times New Roman"/>
                <w:lang w:val="sk-SK"/>
              </w:rPr>
              <w:t>Zákonné prechody akcií na MH SR</w:t>
            </w:r>
          </w:p>
        </w:tc>
        <w:tc>
          <w:tcPr>
            <w:tcW w:w="1993" w:type="dxa"/>
            <w:tcBorders>
              <w:top w:val="single" w:sz="4" w:space="0" w:color="A6A6A6"/>
              <w:left w:val="none" w:sz="0" w:space="0" w:color="auto"/>
              <w:bottom w:val="double" w:sz="4" w:space="0" w:color="A6A6A6"/>
              <w:right w:val="none" w:sz="0" w:space="0" w:color="auto"/>
            </w:tcBorders>
            <w:noWrap/>
            <w:tcMar>
              <w:top w:w="15" w:type="dxa"/>
              <w:left w:w="15" w:type="dxa"/>
              <w:bottom w:w="0" w:type="dxa"/>
              <w:right w:w="15" w:type="dxa"/>
            </w:tcMar>
            <w:textDirection w:val="lrTb"/>
            <w:vAlign w:val="center"/>
          </w:tcPr>
          <w:p w:rsidR="003474EE" w:rsidRPr="00DA5B8F" w:rsidP="00706AF2">
            <w:pPr>
              <w:bidi w:val="0"/>
              <w:suppressOverlap/>
              <w:jc w:val="center"/>
              <w:rPr>
                <w:rFonts w:ascii="Times New Roman" w:eastAsia="Arial Unicode MS" w:hAnsi="Times New Roman"/>
                <w:lang w:val="sk-SK"/>
              </w:rPr>
            </w:pPr>
            <w:r w:rsidRPr="00DA5B8F">
              <w:rPr>
                <w:rFonts w:ascii="Times New Roman" w:hAnsi="Times New Roman"/>
                <w:lang w:val="sk-SK"/>
              </w:rPr>
              <w:t>8</w:t>
            </w:r>
          </w:p>
        </w:tc>
        <w:tc>
          <w:tcPr>
            <w:tcW w:w="1709" w:type="dxa"/>
            <w:tcBorders>
              <w:top w:val="single" w:sz="4" w:space="0" w:color="A6A6A6"/>
              <w:left w:val="none" w:sz="0" w:space="0" w:color="auto"/>
              <w:bottom w:val="double" w:sz="4" w:space="0" w:color="A6A6A6"/>
              <w:right w:val="none" w:sz="0" w:space="0" w:color="auto"/>
            </w:tcBorders>
            <w:noWrap/>
            <w:tcMar>
              <w:top w:w="15" w:type="dxa"/>
              <w:left w:w="15" w:type="dxa"/>
              <w:bottom w:w="0" w:type="dxa"/>
              <w:right w:w="15" w:type="dxa"/>
            </w:tcMar>
            <w:textDirection w:val="lrTb"/>
            <w:vAlign w:val="center"/>
          </w:tcPr>
          <w:p w:rsidR="003474EE" w:rsidRPr="00DA5B8F" w:rsidP="00706AF2">
            <w:pPr>
              <w:bidi w:val="0"/>
              <w:suppressOverlap/>
              <w:jc w:val="right"/>
              <w:rPr>
                <w:rFonts w:ascii="Times New Roman" w:eastAsia="Arial Unicode MS" w:hAnsi="Times New Roman"/>
                <w:lang w:val="sk-SK"/>
              </w:rPr>
            </w:pPr>
            <w:r w:rsidRPr="00DA5B8F">
              <w:rPr>
                <w:rFonts w:ascii="Times New Roman" w:eastAsia="Arial Unicode MS" w:hAnsi="Times New Roman"/>
                <w:lang w:val="sk-SK"/>
              </w:rPr>
              <w:t>33 215 011</w:t>
            </w:r>
          </w:p>
        </w:tc>
      </w:tr>
      <w:tr>
        <w:tblPrEx>
          <w:tblW w:w="9505" w:type="dxa"/>
          <w:tblInd w:w="32" w:type="dxa"/>
          <w:tblLayout w:type="fixed"/>
          <w:tblCellMar>
            <w:left w:w="0" w:type="dxa"/>
            <w:right w:w="0" w:type="dxa"/>
          </w:tblCellMar>
        </w:tblPrEx>
        <w:trPr>
          <w:trHeight w:val="454"/>
        </w:trPr>
        <w:tc>
          <w:tcPr>
            <w:tcW w:w="5803" w:type="dxa"/>
            <w:tcBorders>
              <w:top w:val="double" w:sz="4" w:space="0" w:color="A6A6A6"/>
              <w:left w:val="none" w:sz="0" w:space="0" w:color="auto"/>
              <w:bottom w:val="single" w:sz="4" w:space="0" w:color="A6A6A6"/>
              <w:right w:val="none" w:sz="0" w:space="0" w:color="auto"/>
            </w:tcBorders>
            <w:shd w:val="clear" w:color="auto" w:fill="CCCCFF"/>
            <w:tcMar>
              <w:top w:w="15" w:type="dxa"/>
              <w:left w:w="15" w:type="dxa"/>
              <w:bottom w:w="0" w:type="dxa"/>
              <w:right w:w="15" w:type="dxa"/>
            </w:tcMar>
            <w:textDirection w:val="lrTb"/>
            <w:vAlign w:val="center"/>
          </w:tcPr>
          <w:p w:rsidR="003474EE" w:rsidRPr="00DA5B8F" w:rsidP="00706AF2">
            <w:pPr>
              <w:bidi w:val="0"/>
              <w:ind w:left="180"/>
              <w:suppressOverlap/>
              <w:jc w:val="both"/>
              <w:rPr>
                <w:rFonts w:ascii="Times New Roman" w:hAnsi="Times New Roman"/>
                <w:b/>
                <w:bCs/>
                <w:lang w:val="sk-SK"/>
              </w:rPr>
            </w:pPr>
            <w:r w:rsidRPr="00DA5B8F">
              <w:rPr>
                <w:rFonts w:ascii="Times New Roman" w:hAnsi="Times New Roman"/>
                <w:b/>
                <w:bCs/>
                <w:lang w:val="sk-SK"/>
              </w:rPr>
              <w:t>Spolu</w:t>
            </w:r>
          </w:p>
        </w:tc>
        <w:tc>
          <w:tcPr>
            <w:tcW w:w="1993" w:type="dxa"/>
            <w:tcBorders>
              <w:top w:val="double" w:sz="4" w:space="0" w:color="A6A6A6"/>
              <w:left w:val="none" w:sz="0" w:space="0" w:color="auto"/>
              <w:bottom w:val="single" w:sz="4" w:space="0" w:color="A6A6A6"/>
              <w:right w:val="none" w:sz="0" w:space="0" w:color="auto"/>
            </w:tcBorders>
            <w:shd w:val="clear" w:color="auto" w:fill="CCCCFF"/>
            <w:noWrap/>
            <w:tcMar>
              <w:top w:w="15" w:type="dxa"/>
              <w:left w:w="15" w:type="dxa"/>
              <w:bottom w:w="0" w:type="dxa"/>
              <w:right w:w="15" w:type="dxa"/>
            </w:tcMar>
            <w:textDirection w:val="lrTb"/>
            <w:vAlign w:val="center"/>
          </w:tcPr>
          <w:p w:rsidR="003474EE" w:rsidRPr="00DA5B8F" w:rsidP="00706AF2">
            <w:pPr>
              <w:bidi w:val="0"/>
              <w:ind w:left="180"/>
              <w:suppressOverlap/>
              <w:jc w:val="center"/>
              <w:rPr>
                <w:rFonts w:ascii="Times New Roman" w:hAnsi="Times New Roman"/>
                <w:b/>
                <w:bCs/>
                <w:lang w:val="sk-SK"/>
              </w:rPr>
            </w:pPr>
            <w:r w:rsidRPr="00DA5B8F">
              <w:rPr>
                <w:rFonts w:ascii="Times New Roman" w:hAnsi="Times New Roman"/>
                <w:b/>
                <w:bCs/>
                <w:lang w:val="sk-SK"/>
              </w:rPr>
              <w:t>12</w:t>
            </w:r>
          </w:p>
        </w:tc>
        <w:tc>
          <w:tcPr>
            <w:tcW w:w="1709" w:type="dxa"/>
            <w:tcBorders>
              <w:top w:val="double" w:sz="4" w:space="0" w:color="A6A6A6"/>
              <w:left w:val="none" w:sz="0" w:space="0" w:color="auto"/>
              <w:bottom w:val="single" w:sz="4" w:space="0" w:color="A6A6A6"/>
              <w:right w:val="none" w:sz="0" w:space="0" w:color="auto"/>
            </w:tcBorders>
            <w:shd w:val="clear" w:color="auto" w:fill="CCCCFF"/>
            <w:noWrap/>
            <w:tcMar>
              <w:top w:w="15" w:type="dxa"/>
              <w:left w:w="15" w:type="dxa"/>
              <w:bottom w:w="0" w:type="dxa"/>
              <w:right w:w="15" w:type="dxa"/>
            </w:tcMar>
            <w:textDirection w:val="lrTb"/>
            <w:vAlign w:val="center"/>
          </w:tcPr>
          <w:p w:rsidR="003474EE" w:rsidRPr="00DA5B8F" w:rsidP="00706AF2">
            <w:pPr>
              <w:bidi w:val="0"/>
              <w:ind w:left="180"/>
              <w:suppressOverlap/>
              <w:jc w:val="right"/>
              <w:rPr>
                <w:rFonts w:ascii="Times New Roman" w:hAnsi="Times New Roman"/>
                <w:b/>
                <w:bCs/>
                <w:lang w:val="sk-SK"/>
              </w:rPr>
            </w:pPr>
            <w:r w:rsidRPr="00DA5B8F" w:rsidR="00356900">
              <w:rPr>
                <w:rFonts w:ascii="Times New Roman" w:hAnsi="Times New Roman"/>
                <w:b/>
                <w:bCs/>
                <w:lang w:val="sk-SK"/>
              </w:rPr>
              <w:fldChar w:fldCharType="begin"/>
            </w:r>
            <w:r w:rsidRPr="00DA5B8F" w:rsidR="00356900">
              <w:rPr>
                <w:rFonts w:ascii="Times New Roman" w:hAnsi="Times New Roman"/>
                <w:b/>
                <w:bCs/>
                <w:lang w:val="sk-SK"/>
              </w:rPr>
              <w:instrText xml:space="preserve"> =SUM(ABOVE) </w:instrText>
            </w:r>
            <w:r w:rsidRPr="00DA5B8F" w:rsidR="00356900">
              <w:rPr>
                <w:rFonts w:ascii="Times New Roman" w:hAnsi="Times New Roman"/>
                <w:b/>
                <w:bCs/>
                <w:lang w:val="sk-SK"/>
              </w:rPr>
              <w:fldChar w:fldCharType="separate"/>
            </w:r>
            <w:r w:rsidRPr="00DA5B8F" w:rsidR="00356900">
              <w:rPr>
                <w:rFonts w:ascii="Times New Roman" w:hAnsi="Times New Roman"/>
                <w:b/>
                <w:bCs/>
                <w:noProof/>
                <w:lang w:val="sk-SK"/>
              </w:rPr>
              <w:t>33 222 087</w:t>
            </w:r>
            <w:r w:rsidRPr="00DA5B8F" w:rsidR="00356900">
              <w:rPr>
                <w:rFonts w:ascii="Times New Roman" w:hAnsi="Times New Roman"/>
                <w:b/>
                <w:bCs/>
                <w:lang w:val="sk-SK"/>
              </w:rPr>
              <w:fldChar w:fldCharType="end"/>
            </w:r>
          </w:p>
        </w:tc>
      </w:tr>
    </w:tbl>
    <w:p w:rsidR="003474EE" w:rsidRPr="00DA5B8F" w:rsidP="003474EE">
      <w:pPr>
        <w:pStyle w:val="BodyTextIndent1"/>
        <w:tabs>
          <w:tab w:val="num" w:pos="0"/>
          <w:tab w:val="clear" w:pos="540"/>
        </w:tabs>
        <w:overflowPunct/>
        <w:autoSpaceDE/>
        <w:autoSpaceDN/>
        <w:bidi w:val="0"/>
        <w:adjustRightInd/>
        <w:spacing w:line="264" w:lineRule="auto"/>
        <w:rPr>
          <w:rFonts w:ascii="Times New Roman" w:hAnsi="Times New Roman"/>
        </w:rPr>
      </w:pP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prostredníctvom odboru kapitálového trhu v nadväznosti na uvedené činnosti viedol internú evidenciu cenných papierov, spravoval majetkový účet cenných papierov fondu evidovaných v CDCP a realizoval všetky zmeny v evidencii účtu cenných papierov. Zabezpečoval všetky požiadavky a potreby súvisiace so službami v CDCP, ako napríklad zabezpečovanie výpisov z majetkového účtu cenných papierov pre potreby účasti fondu na VZ v akciových spoločnostiach s majetkovou účasťou fondu, ako aj výpisov z registra záložných práv a podobne.</w:t>
      </w:r>
      <w:r w:rsidRPr="00DA5B8F" w:rsidR="00356900">
        <w:rPr>
          <w:rFonts w:ascii="Times New Roman" w:hAnsi="Times New Roman"/>
        </w:rPr>
        <w:t xml:space="preserve"> Ukončenie evidovania záložného práva na predané akcie fond zabezpečoval fyzicky na priehradke CDCP.</w:t>
      </w:r>
    </w:p>
    <w:p w:rsidR="003474EE" w:rsidRPr="00DA5B8F" w:rsidP="003474EE">
      <w:pPr>
        <w:pStyle w:val="Heading3"/>
        <w:overflowPunct/>
        <w:autoSpaceDE/>
        <w:autoSpaceDN/>
        <w:bidi w:val="0"/>
        <w:adjustRightInd/>
        <w:spacing w:before="360" w:line="264" w:lineRule="auto"/>
        <w:rPr>
          <w:rFonts w:ascii="Times New Roman" w:hAnsi="Times New Roman"/>
        </w:rPr>
      </w:pPr>
      <w:r w:rsidRPr="00DA5B8F">
        <w:rPr>
          <w:rFonts w:ascii="Times New Roman" w:hAnsi="Times New Roman"/>
        </w:rPr>
        <w:t xml:space="preserve">Proces bezodplatných prevodov cenných papierov na fond od fyzických osôb </w:t>
      </w: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Novelami zákona o privatizácii, zákonom č. 160/2009 Z. z. z 15. 4. 2009 a zákonom č. 563/2009 Z. z. z 1. 12. 2009 vznikla fondu povinnosť zabezpečiť činnosti spojené s</w:t>
      </w:r>
      <w:r w:rsidRPr="00DA5B8F" w:rsidR="00257A0B">
        <w:rPr>
          <w:rFonts w:ascii="Times New Roman" w:hAnsi="Times New Roman"/>
        </w:rPr>
        <w:t> </w:t>
      </w:r>
      <w:r w:rsidRPr="00DA5B8F">
        <w:rPr>
          <w:rFonts w:ascii="Times New Roman" w:hAnsi="Times New Roman"/>
        </w:rPr>
        <w:t xml:space="preserve">prevodom zaknihovaných cenných papierov ponúknutých </w:t>
      </w:r>
      <w:r w:rsidRPr="00DA5B8F" w:rsidR="00257A0B">
        <w:rPr>
          <w:rFonts w:ascii="Times New Roman" w:hAnsi="Times New Roman"/>
        </w:rPr>
        <w:t xml:space="preserve">fondu </w:t>
      </w:r>
      <w:r w:rsidRPr="00DA5B8F">
        <w:rPr>
          <w:rFonts w:ascii="Times New Roman" w:hAnsi="Times New Roman"/>
        </w:rPr>
        <w:t>fyzickými osobami. Náklady priamo spojené s prevodom zaknihovaných cenných papierov je povinný hradiť fond</w:t>
      </w:r>
      <w:r w:rsidRPr="00DA5B8F" w:rsidR="00257A0B">
        <w:rPr>
          <w:rFonts w:ascii="Times New Roman" w:hAnsi="Times New Roman"/>
        </w:rPr>
        <w:t xml:space="preserve"> a</w:t>
      </w:r>
      <w:r w:rsidRPr="00DA5B8F">
        <w:rPr>
          <w:rFonts w:ascii="Times New Roman" w:hAnsi="Times New Roman"/>
        </w:rPr>
        <w:t xml:space="preserve"> pre fyzické osoby sú tieto služby poskytované bezodplatne.</w:t>
      </w: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Proces bezodplatných prevodov cenných papierov od fyzických osôb na fond prebiehal v roku 2014 v spolupráci s CDCP, spoločnosťou DLHOPIS a tiež niektorými spolupracujúcimi členmi CDCP (obchodníci s cennými papiermi). Bezodplatné prevody cenných papierov boli zabezpečované spoločnosťou DLHOPIS prostredníctvom 185 vybraných pracovísk Slovenskej pošty, a. s.</w:t>
      </w:r>
      <w:r w:rsidRPr="00DA5B8F" w:rsidR="007E2563">
        <w:rPr>
          <w:rFonts w:ascii="Times New Roman" w:hAnsi="Times New Roman"/>
        </w:rPr>
        <w:t xml:space="preserve"> </w:t>
      </w:r>
      <w:r w:rsidRPr="00DA5B8F">
        <w:rPr>
          <w:rFonts w:ascii="Times New Roman" w:hAnsi="Times New Roman"/>
        </w:rPr>
        <w:t xml:space="preserve">Na procese bezodplatného nadobúdania cenných papierov od fyzických osôb sa v roku 2014 podieľalo </w:t>
      </w:r>
      <w:r w:rsidRPr="00DA5B8F" w:rsidR="007E2563">
        <w:rPr>
          <w:rFonts w:ascii="Times New Roman" w:hAnsi="Times New Roman"/>
        </w:rPr>
        <w:t xml:space="preserve">aj </w:t>
      </w:r>
      <w:r w:rsidRPr="00DA5B8F">
        <w:rPr>
          <w:rFonts w:ascii="Times New Roman" w:hAnsi="Times New Roman"/>
        </w:rPr>
        <w:t>11 spolupracujúcich členov CDCP, ktorí zabezpečovali služby pre veľkú skupinu fyzických osôb, ktoré majú majetkové účty vedené u člena, a tiež pre veľkú skupinu dedičov vo vzťahu k majetkovým účtom zomrelých.</w:t>
      </w:r>
    </w:p>
    <w:p w:rsidR="003474EE"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Od 1.8.2014 umožnila novela zákona o cenných papieroch, podľa ktorej mali dedičia cenných papierov možnosť previesť cenné papiere, ktoré sú zahrnuté v osvedčení o dedičstve priamo z účtu zomrelého na fond, pričom dedičia nemuseli mať otvorený majetkový účet. Dedičom, ktorí nemali cenné papiere zahrnuté v osvedčení o dedičstve a zároveň nemali otvorený majetkový účet bol taktiež umožnený prevod cenných papierov z majetkového účtu poručiteľa na majetkový účet fondu aj bez ich uvedenia v osvedčení o dedičstve. Týmito zmenami odpadli dedičom povinnosti otvárať dedičské konanie a aj majetkový účet, čím sa vytvoril väčší priestor na realizáciu bezodplatných prevodov cenných papierov na fondu. Počas roka 2014 zotrval záujem občanov o proces bezodplatného prevodu cenných papierov na fond, o čom svedčí aj nasledujúci štatistický prehľad.</w:t>
      </w:r>
    </w:p>
    <w:p w:rsidR="003474EE" w:rsidRPr="00DA5B8F" w:rsidP="003474EE">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Štatistický prehľad o poskytnutých službách v rokoch 2009 - 2014</w:t>
      </w:r>
    </w:p>
    <w:tbl>
      <w:tblPr>
        <w:tblStyle w:val="TableNormal"/>
        <w:tblW w:w="9484" w:type="dxa"/>
        <w:tblInd w:w="112" w:type="dxa"/>
        <w:tblBorders>
          <w:top w:val="single" w:sz="4" w:space="0" w:color="999999"/>
          <w:bottom w:val="single" w:sz="4" w:space="0" w:color="999999"/>
          <w:insideH w:val="single" w:sz="4" w:space="0" w:color="999999"/>
        </w:tblBorders>
        <w:tblLayout w:type="fixed"/>
        <w:tblCellMar>
          <w:left w:w="0" w:type="dxa"/>
          <w:right w:w="0" w:type="dxa"/>
        </w:tblCellMar>
      </w:tblPr>
      <w:tblGrid>
        <w:gridCol w:w="3446"/>
        <w:gridCol w:w="1006"/>
        <w:gridCol w:w="1007"/>
        <w:gridCol w:w="1006"/>
        <w:gridCol w:w="1006"/>
        <w:gridCol w:w="1006"/>
        <w:gridCol w:w="1007"/>
      </w:tblGrid>
      <w:tr>
        <w:tblPrEx>
          <w:tblW w:w="9484" w:type="dxa"/>
          <w:tblInd w:w="112" w:type="dxa"/>
          <w:tblBorders>
            <w:top w:val="single" w:sz="4" w:space="0" w:color="999999"/>
            <w:bottom w:val="single" w:sz="4" w:space="0" w:color="999999"/>
            <w:insideH w:val="single" w:sz="4" w:space="0" w:color="999999"/>
          </w:tblBorders>
          <w:tblLayout w:type="fixed"/>
          <w:tblCellMar>
            <w:left w:w="0" w:type="dxa"/>
            <w:right w:w="0" w:type="dxa"/>
          </w:tblCellMar>
        </w:tblPrEx>
        <w:trPr>
          <w:cantSplit/>
          <w:trHeight w:val="471"/>
        </w:trPr>
        <w:tc>
          <w:tcPr>
            <w:tcW w:w="3446" w:type="dxa"/>
            <w:vMerge w:val="restart"/>
            <w:tcBorders>
              <w:top w:val="single" w:sz="4" w:space="0" w:color="999999"/>
              <w:left w:val="nil"/>
              <w:bottom w:val="double" w:sz="6" w:space="0" w:color="999999"/>
              <w:right w:val="nil"/>
            </w:tcBorders>
            <w:shd w:val="clear" w:color="auto" w:fill="CCCCFF"/>
            <w:tcMar>
              <w:top w:w="14" w:type="dxa"/>
              <w:left w:w="14" w:type="dxa"/>
              <w:bottom w:w="0" w:type="dxa"/>
              <w:right w:w="14" w:type="dxa"/>
            </w:tcMar>
            <w:textDirection w:val="lrTb"/>
            <w:vAlign w:val="bottom"/>
          </w:tcPr>
          <w:p w:rsidR="003474EE" w:rsidRPr="00DA5B8F" w:rsidP="00706AF2">
            <w:pPr>
              <w:bidi w:val="0"/>
              <w:rPr>
                <w:rFonts w:ascii="Times New Roman" w:eastAsia="Arial Unicode MS" w:hAnsi="Times New Roman"/>
                <w:b/>
                <w:bCs/>
                <w:lang w:val="sk-SK"/>
              </w:rPr>
            </w:pPr>
            <w:r w:rsidRPr="00DA5B8F">
              <w:rPr>
                <w:rFonts w:ascii="Times New Roman" w:hAnsi="Times New Roman"/>
                <w:b/>
                <w:bCs/>
                <w:lang w:val="sk-SK"/>
              </w:rPr>
              <w:t>Názov služby</w:t>
            </w:r>
          </w:p>
        </w:tc>
        <w:tc>
          <w:tcPr>
            <w:tcW w:w="6038" w:type="dxa"/>
            <w:gridSpan w:val="6"/>
            <w:tcBorders>
              <w:top w:val="single" w:sz="4" w:space="0" w:color="999999"/>
              <w:left w:val="nil"/>
              <w:bottom w:val="single" w:sz="4" w:space="0" w:color="999999"/>
              <w:right w:val="nil"/>
            </w:tcBorders>
            <w:shd w:val="clear" w:color="auto" w:fill="9999FF"/>
            <w:noWrap/>
            <w:tcMar>
              <w:top w:w="14" w:type="dxa"/>
              <w:left w:w="14" w:type="dxa"/>
              <w:bottom w:w="0" w:type="dxa"/>
              <w:right w:w="14" w:type="dxa"/>
            </w:tcMar>
            <w:textDirection w:val="lrTb"/>
            <w:vAlign w:val="center"/>
          </w:tcPr>
          <w:p w:rsidR="003474EE" w:rsidRPr="00DA5B8F" w:rsidP="00706AF2">
            <w:pPr>
              <w:bidi w:val="0"/>
              <w:jc w:val="center"/>
              <w:rPr>
                <w:rFonts w:ascii="Times New Roman" w:hAnsi="Times New Roman"/>
                <w:b/>
                <w:bCs/>
                <w:lang w:val="sk-SK"/>
              </w:rPr>
            </w:pPr>
            <w:r w:rsidRPr="00DA5B8F">
              <w:rPr>
                <w:rFonts w:ascii="Times New Roman" w:hAnsi="Times New Roman"/>
                <w:b/>
                <w:bCs/>
                <w:lang w:val="sk-SK"/>
              </w:rPr>
              <w:t>Rok / počet fyzických osôb</w:t>
            </w:r>
          </w:p>
        </w:tc>
      </w:tr>
      <w:tr>
        <w:tblPrEx>
          <w:tblW w:w="9484" w:type="dxa"/>
          <w:tblInd w:w="112" w:type="dxa"/>
          <w:tblLayout w:type="fixed"/>
          <w:tblCellMar>
            <w:left w:w="0" w:type="dxa"/>
            <w:right w:w="0" w:type="dxa"/>
          </w:tblCellMar>
        </w:tblPrEx>
        <w:trPr>
          <w:cantSplit/>
          <w:trHeight w:val="486"/>
        </w:trPr>
        <w:tc>
          <w:tcPr>
            <w:tcW w:w="3446" w:type="dxa"/>
            <w:vMerge/>
            <w:tcBorders>
              <w:top w:val="double" w:sz="6" w:space="0" w:color="999999"/>
              <w:left w:val="nil"/>
              <w:bottom w:val="single" w:sz="4" w:space="0" w:color="999999"/>
              <w:right w:val="nil"/>
            </w:tcBorders>
            <w:textDirection w:val="lrTb"/>
            <w:vAlign w:val="center"/>
          </w:tcPr>
          <w:p w:rsidR="003474EE" w:rsidRPr="00DA5B8F" w:rsidP="00706AF2">
            <w:pPr>
              <w:bidi w:val="0"/>
              <w:rPr>
                <w:rFonts w:ascii="Times New Roman" w:eastAsia="Arial Unicode MS" w:hAnsi="Times New Roman"/>
                <w:b/>
                <w:bCs/>
                <w:lang w:val="sk-SK"/>
              </w:rPr>
            </w:pPr>
          </w:p>
        </w:tc>
        <w:tc>
          <w:tcPr>
            <w:tcW w:w="1006" w:type="dxa"/>
            <w:tcBorders>
              <w:top w:val="single" w:sz="4" w:space="0" w:color="999999"/>
              <w:left w:val="nil"/>
              <w:bottom w:val="single" w:sz="4" w:space="0" w:color="999999"/>
              <w:right w:val="nil"/>
            </w:tcBorders>
            <w:shd w:val="clear" w:color="auto" w:fill="CCCCFF"/>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b/>
                <w:bCs/>
                <w:lang w:val="sk-SK"/>
              </w:rPr>
            </w:pPr>
            <w:r w:rsidRPr="00DA5B8F">
              <w:rPr>
                <w:rFonts w:ascii="Times New Roman" w:hAnsi="Times New Roman"/>
                <w:b/>
                <w:bCs/>
                <w:lang w:val="sk-SK"/>
              </w:rPr>
              <w:t>2009*</w:t>
            </w:r>
          </w:p>
        </w:tc>
        <w:tc>
          <w:tcPr>
            <w:tcW w:w="1007" w:type="dxa"/>
            <w:tcBorders>
              <w:top w:val="single" w:sz="4" w:space="0" w:color="999999"/>
              <w:left w:val="nil"/>
              <w:bottom w:val="single" w:sz="4" w:space="0" w:color="999999"/>
              <w:right w:val="nil"/>
            </w:tcBorders>
            <w:shd w:val="clear" w:color="auto" w:fill="CCCCFF"/>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b/>
                <w:bCs/>
                <w:lang w:val="sk-SK"/>
              </w:rPr>
            </w:pPr>
            <w:r w:rsidRPr="00DA5B8F">
              <w:rPr>
                <w:rFonts w:ascii="Times New Roman" w:hAnsi="Times New Roman"/>
                <w:b/>
                <w:bCs/>
                <w:lang w:val="sk-SK"/>
              </w:rPr>
              <w:t>2010</w:t>
            </w:r>
          </w:p>
        </w:tc>
        <w:tc>
          <w:tcPr>
            <w:tcW w:w="1006" w:type="dxa"/>
            <w:tcBorders>
              <w:top w:val="single" w:sz="4" w:space="0" w:color="999999"/>
              <w:left w:val="nil"/>
              <w:bottom w:val="single" w:sz="4" w:space="0" w:color="999999"/>
              <w:right w:val="nil"/>
            </w:tcBorders>
            <w:shd w:val="clear" w:color="auto" w:fill="CCCCFF"/>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b/>
                <w:bCs/>
                <w:lang w:val="sk-SK"/>
              </w:rPr>
            </w:pPr>
            <w:r w:rsidRPr="00DA5B8F">
              <w:rPr>
                <w:rFonts w:ascii="Times New Roman" w:hAnsi="Times New Roman"/>
                <w:b/>
                <w:bCs/>
                <w:lang w:val="sk-SK"/>
              </w:rPr>
              <w:t>2011</w:t>
            </w:r>
          </w:p>
        </w:tc>
        <w:tc>
          <w:tcPr>
            <w:tcW w:w="1006" w:type="dxa"/>
            <w:tcBorders>
              <w:top w:val="single" w:sz="4" w:space="0" w:color="999999"/>
              <w:left w:val="nil"/>
              <w:bottom w:val="single" w:sz="4" w:space="0" w:color="999999"/>
              <w:right w:val="nil"/>
            </w:tcBorders>
            <w:shd w:val="clear" w:color="auto" w:fill="CCCCFF"/>
            <w:textDirection w:val="lrTb"/>
            <w:vAlign w:val="bottom"/>
          </w:tcPr>
          <w:p w:rsidR="003474EE" w:rsidRPr="00DA5B8F" w:rsidP="00706AF2">
            <w:pPr>
              <w:bidi w:val="0"/>
              <w:jc w:val="center"/>
              <w:rPr>
                <w:rFonts w:ascii="Times New Roman" w:eastAsia="Arial Unicode MS" w:hAnsi="Times New Roman"/>
                <w:b/>
                <w:bCs/>
                <w:lang w:val="sk-SK"/>
              </w:rPr>
            </w:pPr>
            <w:r w:rsidRPr="00DA5B8F">
              <w:rPr>
                <w:rFonts w:ascii="Times New Roman" w:hAnsi="Times New Roman"/>
                <w:b/>
                <w:bCs/>
                <w:lang w:val="sk-SK"/>
              </w:rPr>
              <w:t>2012</w:t>
            </w:r>
          </w:p>
        </w:tc>
        <w:tc>
          <w:tcPr>
            <w:tcW w:w="1006" w:type="dxa"/>
            <w:tcBorders>
              <w:top w:val="single" w:sz="4" w:space="0" w:color="999999"/>
              <w:left w:val="nil"/>
              <w:bottom w:val="single" w:sz="4" w:space="0" w:color="999999"/>
              <w:right w:val="nil"/>
            </w:tcBorders>
            <w:shd w:val="clear" w:color="auto" w:fill="CCCCFF"/>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b/>
                <w:bCs/>
                <w:lang w:val="sk-SK"/>
              </w:rPr>
            </w:pPr>
            <w:r w:rsidRPr="00DA5B8F">
              <w:rPr>
                <w:rFonts w:ascii="Times New Roman" w:hAnsi="Times New Roman"/>
                <w:b/>
                <w:bCs/>
                <w:lang w:val="sk-SK"/>
              </w:rPr>
              <w:t>2013</w:t>
            </w:r>
          </w:p>
        </w:tc>
        <w:tc>
          <w:tcPr>
            <w:tcW w:w="1007" w:type="dxa"/>
            <w:tcBorders>
              <w:top w:val="single" w:sz="4" w:space="0" w:color="999999"/>
              <w:left w:val="nil"/>
              <w:bottom w:val="single" w:sz="4" w:space="0" w:color="999999"/>
              <w:right w:val="nil"/>
            </w:tcBorders>
            <w:shd w:val="clear" w:color="auto" w:fill="CCCCFF"/>
            <w:textDirection w:val="lrTb"/>
            <w:vAlign w:val="bottom"/>
          </w:tcPr>
          <w:p w:rsidR="003474EE" w:rsidRPr="00DA5B8F" w:rsidP="00706AF2">
            <w:pPr>
              <w:bidi w:val="0"/>
              <w:jc w:val="center"/>
              <w:rPr>
                <w:rFonts w:ascii="Times New Roman" w:hAnsi="Times New Roman"/>
                <w:b/>
                <w:bCs/>
                <w:lang w:val="sk-SK"/>
              </w:rPr>
            </w:pPr>
            <w:r w:rsidRPr="00DA5B8F">
              <w:rPr>
                <w:rFonts w:ascii="Times New Roman" w:hAnsi="Times New Roman"/>
                <w:b/>
                <w:bCs/>
                <w:lang w:val="sk-SK"/>
              </w:rPr>
              <w:t>2014</w:t>
            </w:r>
          </w:p>
        </w:tc>
      </w:tr>
      <w:tr>
        <w:tblPrEx>
          <w:tblW w:w="9484" w:type="dxa"/>
          <w:tblInd w:w="112" w:type="dxa"/>
          <w:tblLayout w:type="fixed"/>
          <w:tblCellMar>
            <w:left w:w="0" w:type="dxa"/>
            <w:right w:w="0" w:type="dxa"/>
          </w:tblCellMar>
        </w:tblPrEx>
        <w:trPr>
          <w:trHeight w:hRule="exact" w:val="624"/>
        </w:trPr>
        <w:tc>
          <w:tcPr>
            <w:tcW w:w="344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pStyle w:val="Header"/>
              <w:tabs>
                <w:tab w:val="clear" w:pos="4703"/>
                <w:tab w:val="clear" w:pos="9406"/>
              </w:tabs>
              <w:bidi w:val="0"/>
              <w:ind w:hanging="14"/>
              <w:rPr>
                <w:rFonts w:ascii="Times New Roman" w:eastAsia="Arial Unicode MS" w:hAnsi="Times New Roman"/>
                <w:lang w:val="sk-SK"/>
              </w:rPr>
            </w:pPr>
            <w:r w:rsidRPr="00DA5B8F">
              <w:rPr>
                <w:rFonts w:ascii="Times New Roman" w:hAnsi="Times New Roman"/>
                <w:lang w:val="sk-SK"/>
              </w:rPr>
              <w:t>Identifikácia majiteľa cenných papierov</w:t>
            </w:r>
          </w:p>
        </w:tc>
        <w:tc>
          <w:tcPr>
            <w:tcW w:w="100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45 172</w:t>
            </w:r>
          </w:p>
        </w:tc>
        <w:tc>
          <w:tcPr>
            <w:tcW w:w="1007"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129 608</w:t>
            </w:r>
          </w:p>
        </w:tc>
        <w:tc>
          <w:tcPr>
            <w:tcW w:w="100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138 786</w:t>
            </w:r>
          </w:p>
        </w:tc>
        <w:tc>
          <w:tcPr>
            <w:tcW w:w="1006" w:type="dxa"/>
            <w:tcBorders>
              <w:top w:val="single" w:sz="4" w:space="0" w:color="999999"/>
              <w:left w:val="nil"/>
              <w:bottom w:val="single" w:sz="4" w:space="0" w:color="999999"/>
              <w:right w:val="nil"/>
            </w:tcBorders>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190 214</w:t>
            </w:r>
          </w:p>
        </w:tc>
        <w:tc>
          <w:tcPr>
            <w:tcW w:w="100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109 916</w:t>
            </w:r>
          </w:p>
        </w:tc>
        <w:tc>
          <w:tcPr>
            <w:tcW w:w="1007" w:type="dxa"/>
            <w:tcBorders>
              <w:top w:val="single" w:sz="4" w:space="0" w:color="999999"/>
              <w:left w:val="nil"/>
              <w:bottom w:val="single" w:sz="4" w:space="0" w:color="999999"/>
              <w:right w:val="nil"/>
            </w:tcBorders>
            <w:textDirection w:val="lrTb"/>
            <w:vAlign w:val="bottom"/>
          </w:tcPr>
          <w:p w:rsidR="003474EE" w:rsidRPr="00DA5B8F" w:rsidP="00706AF2">
            <w:pPr>
              <w:bidi w:val="0"/>
              <w:jc w:val="right"/>
              <w:rPr>
                <w:rFonts w:ascii="Times New Roman" w:hAnsi="Times New Roman"/>
                <w:lang w:val="sk-SK"/>
              </w:rPr>
            </w:pPr>
            <w:r w:rsidRPr="00DA5B8F">
              <w:rPr>
                <w:rFonts w:ascii="Times New Roman" w:hAnsi="Times New Roman"/>
                <w:lang w:val="sk-SK"/>
              </w:rPr>
              <w:t>110 877</w:t>
            </w:r>
          </w:p>
        </w:tc>
      </w:tr>
      <w:tr>
        <w:tblPrEx>
          <w:tblW w:w="9484" w:type="dxa"/>
          <w:tblInd w:w="112" w:type="dxa"/>
          <w:tblLayout w:type="fixed"/>
          <w:tblCellMar>
            <w:left w:w="0" w:type="dxa"/>
            <w:right w:w="0" w:type="dxa"/>
          </w:tblCellMar>
        </w:tblPrEx>
        <w:trPr>
          <w:trHeight w:hRule="exact" w:val="624"/>
        </w:trPr>
        <w:tc>
          <w:tcPr>
            <w:tcW w:w="344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rPr>
                <w:rFonts w:ascii="Times New Roman" w:eastAsia="Arial Unicode MS" w:hAnsi="Times New Roman"/>
                <w:lang w:val="sk-SK"/>
              </w:rPr>
            </w:pPr>
            <w:r w:rsidRPr="00DA5B8F">
              <w:rPr>
                <w:rFonts w:ascii="Times New Roman" w:hAnsi="Times New Roman"/>
                <w:lang w:val="sk-SK"/>
              </w:rPr>
              <w:t>Registrácia majiteľa cenných papierov /zmena v registrácii</w:t>
            </w:r>
          </w:p>
        </w:tc>
        <w:tc>
          <w:tcPr>
            <w:tcW w:w="100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43 368</w:t>
            </w:r>
          </w:p>
        </w:tc>
        <w:tc>
          <w:tcPr>
            <w:tcW w:w="1007"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114 726</w:t>
            </w:r>
          </w:p>
        </w:tc>
        <w:tc>
          <w:tcPr>
            <w:tcW w:w="100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115 280</w:t>
            </w:r>
          </w:p>
        </w:tc>
        <w:tc>
          <w:tcPr>
            <w:tcW w:w="1006" w:type="dxa"/>
            <w:tcBorders>
              <w:top w:val="single" w:sz="4" w:space="0" w:color="999999"/>
              <w:left w:val="nil"/>
              <w:bottom w:val="single" w:sz="4" w:space="0" w:color="999999"/>
              <w:right w:val="nil"/>
            </w:tcBorders>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166 161</w:t>
            </w:r>
          </w:p>
        </w:tc>
        <w:tc>
          <w:tcPr>
            <w:tcW w:w="100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103 076</w:t>
            </w:r>
          </w:p>
        </w:tc>
        <w:tc>
          <w:tcPr>
            <w:tcW w:w="1007" w:type="dxa"/>
            <w:tcBorders>
              <w:top w:val="single" w:sz="4" w:space="0" w:color="999999"/>
              <w:left w:val="nil"/>
              <w:bottom w:val="single" w:sz="4" w:space="0" w:color="999999"/>
              <w:right w:val="nil"/>
            </w:tcBorders>
            <w:textDirection w:val="lrTb"/>
            <w:vAlign w:val="bottom"/>
          </w:tcPr>
          <w:p w:rsidR="003474EE" w:rsidRPr="00DA5B8F" w:rsidP="00706AF2">
            <w:pPr>
              <w:bidi w:val="0"/>
              <w:jc w:val="right"/>
              <w:rPr>
                <w:rFonts w:ascii="Times New Roman" w:hAnsi="Times New Roman"/>
                <w:lang w:val="sk-SK"/>
              </w:rPr>
            </w:pPr>
            <w:r w:rsidRPr="00DA5B8F">
              <w:rPr>
                <w:rFonts w:ascii="Times New Roman" w:hAnsi="Times New Roman"/>
                <w:lang w:val="sk-SK"/>
              </w:rPr>
              <w:t>110 877</w:t>
            </w:r>
          </w:p>
        </w:tc>
      </w:tr>
      <w:tr>
        <w:tblPrEx>
          <w:tblW w:w="9484" w:type="dxa"/>
          <w:tblInd w:w="112" w:type="dxa"/>
          <w:tblLayout w:type="fixed"/>
          <w:tblCellMar>
            <w:left w:w="0" w:type="dxa"/>
            <w:right w:w="0" w:type="dxa"/>
          </w:tblCellMar>
        </w:tblPrEx>
        <w:trPr>
          <w:trHeight w:hRule="exact" w:val="624"/>
        </w:trPr>
        <w:tc>
          <w:tcPr>
            <w:tcW w:w="344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rPr>
                <w:rFonts w:ascii="Times New Roman" w:eastAsia="Arial Unicode MS" w:hAnsi="Times New Roman"/>
                <w:lang w:val="sk-SK"/>
              </w:rPr>
            </w:pPr>
            <w:r w:rsidRPr="00DA5B8F">
              <w:rPr>
                <w:rFonts w:ascii="Times New Roman" w:hAnsi="Times New Roman"/>
                <w:lang w:val="sk-SK"/>
              </w:rPr>
              <w:t>Uzatvorenie zmluvy o prevode cenných papierov na fond</w:t>
            </w:r>
          </w:p>
        </w:tc>
        <w:tc>
          <w:tcPr>
            <w:tcW w:w="100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26 943</w:t>
            </w:r>
          </w:p>
        </w:tc>
        <w:tc>
          <w:tcPr>
            <w:tcW w:w="1007"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67 997</w:t>
            </w:r>
          </w:p>
        </w:tc>
        <w:tc>
          <w:tcPr>
            <w:tcW w:w="1006" w:type="dxa"/>
            <w:tcBorders>
              <w:top w:val="single" w:sz="4" w:space="0" w:color="999999"/>
              <w:left w:val="nil"/>
              <w:bottom w:val="single" w:sz="4" w:space="0" w:color="999999"/>
              <w:right w:val="nil"/>
            </w:tcBorders>
            <w:tcMar>
              <w:top w:w="15"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72 485</w:t>
            </w:r>
          </w:p>
        </w:tc>
        <w:tc>
          <w:tcPr>
            <w:tcW w:w="1006" w:type="dxa"/>
            <w:tcBorders>
              <w:top w:val="single" w:sz="4" w:space="0" w:color="999999"/>
              <w:left w:val="nil"/>
              <w:bottom w:val="single" w:sz="4" w:space="0" w:color="999999"/>
              <w:right w:val="nil"/>
            </w:tcBorders>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155 350</w:t>
            </w:r>
          </w:p>
        </w:tc>
        <w:tc>
          <w:tcPr>
            <w:tcW w:w="100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95 254</w:t>
            </w:r>
          </w:p>
        </w:tc>
        <w:tc>
          <w:tcPr>
            <w:tcW w:w="1007" w:type="dxa"/>
            <w:tcBorders>
              <w:top w:val="single" w:sz="4" w:space="0" w:color="999999"/>
              <w:left w:val="nil"/>
              <w:bottom w:val="single" w:sz="4" w:space="0" w:color="999999"/>
              <w:right w:val="nil"/>
            </w:tcBorders>
            <w:textDirection w:val="lrTb"/>
            <w:vAlign w:val="bottom"/>
          </w:tcPr>
          <w:p w:rsidR="003474EE" w:rsidRPr="00DA5B8F" w:rsidP="00706AF2">
            <w:pPr>
              <w:bidi w:val="0"/>
              <w:jc w:val="right"/>
              <w:rPr>
                <w:rFonts w:ascii="Times New Roman" w:hAnsi="Times New Roman"/>
                <w:lang w:val="sk-SK"/>
              </w:rPr>
            </w:pPr>
            <w:r w:rsidRPr="00DA5B8F">
              <w:rPr>
                <w:rFonts w:ascii="Times New Roman" w:hAnsi="Times New Roman"/>
                <w:lang w:val="sk-SK"/>
              </w:rPr>
              <w:t>95 250</w:t>
            </w:r>
          </w:p>
        </w:tc>
      </w:tr>
      <w:tr>
        <w:tblPrEx>
          <w:tblW w:w="9484" w:type="dxa"/>
          <w:tblInd w:w="112" w:type="dxa"/>
          <w:tblLayout w:type="fixed"/>
          <w:tblCellMar>
            <w:left w:w="0" w:type="dxa"/>
            <w:right w:w="0" w:type="dxa"/>
          </w:tblCellMar>
        </w:tblPrEx>
        <w:trPr>
          <w:trHeight w:hRule="exact" w:val="624"/>
        </w:trPr>
        <w:tc>
          <w:tcPr>
            <w:tcW w:w="344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rPr>
                <w:rFonts w:ascii="Times New Roman" w:eastAsia="Arial Unicode MS" w:hAnsi="Times New Roman"/>
                <w:lang w:val="sk-SK"/>
              </w:rPr>
            </w:pPr>
            <w:r w:rsidRPr="00DA5B8F">
              <w:rPr>
                <w:rFonts w:ascii="Times New Roman" w:hAnsi="Times New Roman"/>
                <w:lang w:val="sk-SK"/>
              </w:rPr>
              <w:t>Príkazy na zrušenie majetkového účtu FO v</w:t>
            </w:r>
            <w:r w:rsidR="00F46C00">
              <w:rPr>
                <w:rFonts w:ascii="Times New Roman" w:hAnsi="Times New Roman"/>
                <w:lang w:val="sk-SK"/>
              </w:rPr>
              <w:t> </w:t>
            </w:r>
            <w:r w:rsidRPr="00DA5B8F">
              <w:rPr>
                <w:rFonts w:ascii="Times New Roman" w:hAnsi="Times New Roman"/>
                <w:lang w:val="sk-SK"/>
              </w:rPr>
              <w:t>CDCP</w:t>
            </w:r>
          </w:p>
        </w:tc>
        <w:tc>
          <w:tcPr>
            <w:tcW w:w="100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24 888</w:t>
            </w:r>
          </w:p>
        </w:tc>
        <w:tc>
          <w:tcPr>
            <w:tcW w:w="1007"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66 983</w:t>
            </w:r>
          </w:p>
        </w:tc>
        <w:tc>
          <w:tcPr>
            <w:tcW w:w="100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69 911</w:t>
            </w:r>
          </w:p>
        </w:tc>
        <w:tc>
          <w:tcPr>
            <w:tcW w:w="1006" w:type="dxa"/>
            <w:tcBorders>
              <w:top w:val="single" w:sz="4" w:space="0" w:color="999999"/>
              <w:left w:val="nil"/>
              <w:bottom w:val="single" w:sz="4" w:space="0" w:color="999999"/>
              <w:right w:val="nil"/>
            </w:tcBorders>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144 395</w:t>
            </w:r>
          </w:p>
        </w:tc>
        <w:tc>
          <w:tcPr>
            <w:tcW w:w="1006" w:type="dxa"/>
            <w:tcBorders>
              <w:top w:val="single" w:sz="4" w:space="0" w:color="999999"/>
              <w:left w:val="nil"/>
              <w:bottom w:val="single" w:sz="4" w:space="0" w:color="999999"/>
              <w:right w:val="nil"/>
            </w:tcBorders>
            <w:tcMar>
              <w:top w:w="14" w:type="dxa"/>
              <w:left w:w="14" w:type="dxa"/>
              <w:bottom w:w="0" w:type="dxa"/>
              <w:right w:w="14" w:type="dxa"/>
            </w:tcMar>
            <w:textDirection w:val="lrTb"/>
            <w:vAlign w:val="bottom"/>
          </w:tcPr>
          <w:p w:rsidR="003474EE" w:rsidRPr="00DA5B8F" w:rsidP="00706AF2">
            <w:pPr>
              <w:bidi w:val="0"/>
              <w:jc w:val="center"/>
              <w:rPr>
                <w:rFonts w:ascii="Times New Roman" w:eastAsia="Arial Unicode MS" w:hAnsi="Times New Roman"/>
                <w:lang w:val="sk-SK"/>
              </w:rPr>
            </w:pPr>
            <w:r w:rsidRPr="00DA5B8F">
              <w:rPr>
                <w:rFonts w:ascii="Times New Roman" w:hAnsi="Times New Roman"/>
                <w:lang w:val="sk-SK"/>
              </w:rPr>
              <w:t>76 081</w:t>
            </w:r>
          </w:p>
        </w:tc>
        <w:tc>
          <w:tcPr>
            <w:tcW w:w="1007" w:type="dxa"/>
            <w:tcBorders>
              <w:top w:val="single" w:sz="4" w:space="0" w:color="999999"/>
              <w:left w:val="nil"/>
              <w:bottom w:val="single" w:sz="4" w:space="0" w:color="999999"/>
              <w:right w:val="nil"/>
            </w:tcBorders>
            <w:textDirection w:val="lrTb"/>
            <w:vAlign w:val="bottom"/>
          </w:tcPr>
          <w:p w:rsidR="003474EE" w:rsidRPr="00DA5B8F" w:rsidP="00706AF2">
            <w:pPr>
              <w:bidi w:val="0"/>
              <w:jc w:val="right"/>
              <w:rPr>
                <w:rFonts w:ascii="Times New Roman" w:hAnsi="Times New Roman"/>
                <w:lang w:val="sk-SK"/>
              </w:rPr>
            </w:pPr>
            <w:r w:rsidRPr="00DA5B8F">
              <w:rPr>
                <w:rFonts w:ascii="Times New Roman" w:hAnsi="Times New Roman"/>
                <w:lang w:val="sk-SK"/>
              </w:rPr>
              <w:t>65 223</w:t>
            </w:r>
          </w:p>
        </w:tc>
      </w:tr>
      <w:tr>
        <w:tblPrEx>
          <w:tblW w:w="9484" w:type="dxa"/>
          <w:tblInd w:w="112" w:type="dxa"/>
          <w:tblLayout w:type="fixed"/>
          <w:tblCellMar>
            <w:left w:w="0" w:type="dxa"/>
            <w:right w:w="0" w:type="dxa"/>
          </w:tblCellMar>
        </w:tblPrEx>
        <w:trPr>
          <w:trHeight w:val="227"/>
        </w:trPr>
        <w:tc>
          <w:tcPr>
            <w:tcW w:w="9484" w:type="dxa"/>
            <w:gridSpan w:val="7"/>
            <w:tcBorders>
              <w:top w:val="single" w:sz="4" w:space="0" w:color="999999"/>
              <w:left w:val="nil"/>
              <w:bottom w:val="nil"/>
              <w:right w:val="nil"/>
            </w:tcBorders>
            <w:textDirection w:val="lrTb"/>
            <w:vAlign w:val="top"/>
          </w:tcPr>
          <w:p w:rsidR="003474EE" w:rsidRPr="00DA5B8F" w:rsidP="00706AF2">
            <w:pPr>
              <w:bidi w:val="0"/>
              <w:spacing w:before="120"/>
              <w:rPr>
                <w:rFonts w:ascii="Times New Roman" w:hAnsi="Times New Roman"/>
                <w:sz w:val="18"/>
                <w:szCs w:val="18"/>
                <w:lang w:val="sk-SK"/>
              </w:rPr>
            </w:pPr>
            <w:r w:rsidRPr="00DA5B8F">
              <w:rPr>
                <w:rFonts w:ascii="Times New Roman" w:hAnsi="Times New Roman"/>
                <w:i/>
                <w:iCs/>
                <w:sz w:val="20"/>
                <w:szCs w:val="20"/>
                <w:lang w:val="sk-SK"/>
              </w:rPr>
              <w:t>(*) za rok 2009 trvanie projektu 3 mesiace</w:t>
            </w:r>
            <w:r w:rsidRPr="00DA5B8F">
              <w:rPr>
                <w:rFonts w:ascii="Times New Roman" w:hAnsi="Times New Roman"/>
                <w:sz w:val="18"/>
                <w:szCs w:val="18"/>
                <w:lang w:val="sk-SK"/>
              </w:rPr>
              <w:t> </w:t>
            </w:r>
          </w:p>
        </w:tc>
      </w:tr>
    </w:tbl>
    <w:p w:rsidR="003474EE" w:rsidRPr="00DA5B8F" w:rsidP="003474EE">
      <w:pPr>
        <w:pStyle w:val="BodyTextIndent1"/>
        <w:tabs>
          <w:tab w:val="num" w:pos="0"/>
          <w:tab w:val="clear" w:pos="540"/>
        </w:tabs>
        <w:overflowPunct/>
        <w:autoSpaceDE/>
        <w:autoSpaceDN/>
        <w:bidi w:val="0"/>
        <w:adjustRightInd/>
        <w:rPr>
          <w:rFonts w:ascii="Times New Roman" w:hAnsi="Times New Roman"/>
        </w:rPr>
      </w:pPr>
    </w:p>
    <w:p w:rsidR="003474EE" w:rsidRPr="00DA5B8F" w:rsidP="00F46C00">
      <w:pPr>
        <w:bidi w:val="0"/>
        <w:spacing w:before="120" w:after="120" w:line="264" w:lineRule="auto"/>
        <w:jc w:val="both"/>
        <w:rPr>
          <w:rFonts w:ascii="Times New Roman" w:hAnsi="Times New Roman"/>
          <w:lang w:val="sk-SK"/>
        </w:rPr>
      </w:pPr>
      <w:r w:rsidRPr="00DA5B8F">
        <w:rPr>
          <w:rFonts w:ascii="Times New Roman" w:hAnsi="Times New Roman"/>
          <w:lang w:val="sk-SK"/>
        </w:rPr>
        <w:t>Úlohy a činnosti súvisiace s informačnými službami; sumarizovaním, kontrolou, overením a archiváciou dokladov; preplácaním poplatkov súvisiacich s prevodmi, oceňovaním cenných papierov a pod. zabezpečoval, tak ako po minulé roky, odbor kapitálového trhu. O náročnosti procesu bezodplatného prevodu cenných papierov svedčia aj výdavky fondu spojené s týmto procesom, ktoré v roku 2014 predstavovali sumu cca 8 604 tis. Eur.</w:t>
      </w:r>
    </w:p>
    <w:p w:rsidR="003474EE" w:rsidRPr="00DA5B8F" w:rsidP="00F46C00">
      <w:pPr>
        <w:bidi w:val="0"/>
        <w:spacing w:before="120" w:after="120" w:line="264" w:lineRule="auto"/>
        <w:jc w:val="both"/>
        <w:rPr>
          <w:rFonts w:ascii="Times New Roman" w:hAnsi="Times New Roman"/>
          <w:lang w:val="sk-SK"/>
        </w:rPr>
      </w:pPr>
      <w:r w:rsidRPr="00DA5B8F">
        <w:rPr>
          <w:rFonts w:ascii="Times New Roman" w:hAnsi="Times New Roman"/>
          <w:lang w:val="sk-SK"/>
        </w:rPr>
        <w:t>Portfólio cenných papierov, ktoré fond nadobudol v procese bezodplatného prevodu cenných papierov na fond od fyzických osôb obsahuje rôzne druhy cenných papierov (napr. akcie, dlhopisy, družstevné podielnické listy, podielové listy a iné). Toto portfólio bolo k 31. 12. 2014 ocenené na sumu približne 6 181 tis.</w:t>
      </w:r>
      <w:r w:rsidRPr="00DA5B8F" w:rsidR="00772F18">
        <w:rPr>
          <w:rFonts w:ascii="Times New Roman" w:hAnsi="Times New Roman"/>
          <w:lang w:val="sk-SK"/>
        </w:rPr>
        <w:t> Eur</w:t>
      </w:r>
      <w:r w:rsidRPr="00DA5B8F">
        <w:rPr>
          <w:rFonts w:ascii="Times New Roman" w:hAnsi="Times New Roman"/>
          <w:lang w:val="sk-SK"/>
        </w:rPr>
        <w:t xml:space="preserve"> a jeho štruktúru znázorňuje nasledujúci prehľad.</w:t>
      </w:r>
    </w:p>
    <w:p w:rsidR="003474EE" w:rsidRPr="00DA5B8F" w:rsidP="003474EE">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Prehľad štruktúry cenných papierov k 31. 12. 2014</w:t>
      </w:r>
    </w:p>
    <w:tbl>
      <w:tblPr>
        <w:tblStyle w:val="TableNormal"/>
        <w:tblW w:w="0" w:type="auto"/>
        <w:tblBorders>
          <w:top w:val="single" w:sz="4" w:space="0" w:color="999999"/>
          <w:left w:val="single" w:sz="4" w:space="0" w:color="999999"/>
          <w:bottom w:val="single" w:sz="4" w:space="0" w:color="999999"/>
          <w:right w:val="single" w:sz="4" w:space="0" w:color="999999"/>
        </w:tblBorders>
        <w:tblLayout w:type="fixed"/>
        <w:tblCellMar>
          <w:left w:w="0" w:type="dxa"/>
          <w:right w:w="0" w:type="dxa"/>
        </w:tblCellMar>
      </w:tblPr>
      <w:tblGrid>
        <w:gridCol w:w="5955"/>
        <w:gridCol w:w="3515"/>
      </w:tblGrid>
      <w:tr>
        <w:tblPrEx>
          <w:tblW w:w="0" w:type="auto"/>
          <w:tblBorders>
            <w:top w:val="single" w:sz="4" w:space="0" w:color="999999"/>
            <w:left w:val="single" w:sz="4" w:space="0" w:color="999999"/>
            <w:bottom w:val="single" w:sz="4" w:space="0" w:color="999999"/>
            <w:right w:val="single" w:sz="4" w:space="0" w:color="999999"/>
          </w:tblBorders>
          <w:tblLayout w:type="fixed"/>
          <w:tblCellMar>
            <w:left w:w="0" w:type="dxa"/>
            <w:right w:w="0" w:type="dxa"/>
          </w:tblCellMar>
        </w:tblPrEx>
        <w:trPr>
          <w:trHeight w:hRule="exact" w:val="510"/>
        </w:trPr>
        <w:tc>
          <w:tcPr>
            <w:tcW w:w="5955" w:type="dxa"/>
            <w:tcBorders>
              <w:top w:val="single" w:sz="4" w:space="0" w:color="999999"/>
              <w:left w:val="nil"/>
              <w:bottom w:val="double" w:sz="6" w:space="0" w:color="999999"/>
              <w:right w:val="nil"/>
            </w:tcBorders>
            <w:shd w:val="clear" w:color="auto" w:fill="CCCCFF"/>
            <w:tcMar>
              <w:top w:w="15" w:type="dxa"/>
              <w:left w:w="15" w:type="dxa"/>
              <w:bottom w:w="0" w:type="dxa"/>
              <w:right w:w="15" w:type="dxa"/>
            </w:tcMar>
            <w:textDirection w:val="lrTb"/>
            <w:vAlign w:val="center"/>
          </w:tcPr>
          <w:p w:rsidR="003474EE" w:rsidRPr="00DA5B8F" w:rsidP="00BF69E7">
            <w:pPr>
              <w:bidi w:val="0"/>
              <w:ind w:left="180"/>
              <w:jc w:val="both"/>
              <w:rPr>
                <w:rFonts w:ascii="Times New Roman" w:hAnsi="Times New Roman"/>
                <w:b/>
                <w:bCs/>
                <w:lang w:val="sk-SK"/>
              </w:rPr>
            </w:pPr>
            <w:r w:rsidRPr="00DA5B8F">
              <w:rPr>
                <w:rFonts w:ascii="Times New Roman" w:hAnsi="Times New Roman"/>
                <w:b/>
                <w:bCs/>
                <w:lang w:val="sk-SK"/>
              </w:rPr>
              <w:t>Podoba cenných papierov</w:t>
            </w:r>
          </w:p>
        </w:tc>
        <w:tc>
          <w:tcPr>
            <w:tcW w:w="3515" w:type="dxa"/>
            <w:tcBorders>
              <w:top w:val="single" w:sz="4" w:space="0" w:color="999999"/>
              <w:left w:val="nil"/>
              <w:bottom w:val="double" w:sz="6" w:space="0" w:color="999999"/>
              <w:right w:val="nil"/>
            </w:tcBorders>
            <w:shd w:val="clear" w:color="auto" w:fill="CCCCFF"/>
            <w:noWrap/>
            <w:tcMar>
              <w:top w:w="15" w:type="dxa"/>
              <w:left w:w="15" w:type="dxa"/>
              <w:bottom w:w="0" w:type="dxa"/>
              <w:right w:w="15" w:type="dxa"/>
            </w:tcMar>
            <w:textDirection w:val="lrTb"/>
            <w:vAlign w:val="center"/>
          </w:tcPr>
          <w:p w:rsidR="003474EE" w:rsidRPr="00DA5B8F" w:rsidP="00BF69E7">
            <w:pPr>
              <w:bidi w:val="0"/>
              <w:ind w:left="165"/>
              <w:rPr>
                <w:rFonts w:ascii="Times New Roman" w:hAnsi="Times New Roman"/>
                <w:b/>
                <w:bCs/>
                <w:lang w:val="sk-SK"/>
              </w:rPr>
            </w:pPr>
            <w:r w:rsidRPr="00DA5B8F">
              <w:rPr>
                <w:rFonts w:ascii="Times New Roman" w:hAnsi="Times New Roman"/>
                <w:b/>
                <w:bCs/>
                <w:lang w:val="sk-SK"/>
              </w:rPr>
              <w:t>Počet emisií</w:t>
            </w:r>
          </w:p>
        </w:tc>
      </w:tr>
      <w:tr>
        <w:tblPrEx>
          <w:tblW w:w="0" w:type="auto"/>
          <w:tblLayout w:type="fixed"/>
          <w:tblCellMar>
            <w:left w:w="0" w:type="dxa"/>
            <w:right w:w="0" w:type="dxa"/>
          </w:tblCellMar>
        </w:tblPrEx>
        <w:trPr>
          <w:trHeight w:hRule="exact" w:val="510"/>
        </w:trPr>
        <w:tc>
          <w:tcPr>
            <w:tcW w:w="5955" w:type="dxa"/>
            <w:tcBorders>
              <w:top w:val="double" w:sz="6" w:space="0" w:color="999999"/>
              <w:left w:val="nil"/>
              <w:bottom w:val="single" w:sz="4" w:space="0" w:color="999999"/>
              <w:right w:val="nil"/>
            </w:tcBorders>
            <w:shd w:val="clear" w:color="auto" w:fill="FFFFFF"/>
            <w:tcMar>
              <w:top w:w="15" w:type="dxa"/>
              <w:left w:w="15" w:type="dxa"/>
              <w:bottom w:w="0" w:type="dxa"/>
              <w:right w:w="15" w:type="dxa"/>
            </w:tcMar>
            <w:textDirection w:val="lrTb"/>
            <w:vAlign w:val="center"/>
          </w:tcPr>
          <w:p w:rsidR="003474EE" w:rsidRPr="00DA5B8F" w:rsidP="00BF69E7">
            <w:pPr>
              <w:bidi w:val="0"/>
              <w:ind w:left="180"/>
              <w:jc w:val="both"/>
              <w:rPr>
                <w:rFonts w:ascii="Times New Roman" w:eastAsia="Arial Unicode MS" w:hAnsi="Times New Roman"/>
                <w:lang w:val="sk-SK"/>
              </w:rPr>
            </w:pPr>
            <w:r w:rsidRPr="00DA5B8F">
              <w:rPr>
                <w:rFonts w:ascii="Times New Roman" w:hAnsi="Times New Roman"/>
                <w:lang w:val="sk-SK"/>
              </w:rPr>
              <w:t>Zaknihované cenné papiere</w:t>
            </w:r>
          </w:p>
        </w:tc>
        <w:tc>
          <w:tcPr>
            <w:tcW w:w="3515" w:type="dxa"/>
            <w:tcBorders>
              <w:top w:val="double" w:sz="6" w:space="0" w:color="999999"/>
              <w:left w:val="nil"/>
              <w:bottom w:val="single" w:sz="4" w:space="0" w:color="999999"/>
              <w:right w:val="nil"/>
            </w:tcBorders>
            <w:noWrap/>
            <w:tcMar>
              <w:top w:w="15" w:type="dxa"/>
              <w:left w:w="15" w:type="dxa"/>
              <w:bottom w:w="0" w:type="dxa"/>
              <w:right w:w="15" w:type="dxa"/>
            </w:tcMar>
            <w:textDirection w:val="lrTb"/>
            <w:vAlign w:val="center"/>
          </w:tcPr>
          <w:p w:rsidR="003474EE" w:rsidRPr="00DA5B8F" w:rsidP="00BF69E7">
            <w:pPr>
              <w:bidi w:val="0"/>
              <w:ind w:left="165"/>
              <w:rPr>
                <w:rFonts w:ascii="Times New Roman" w:eastAsia="Arial Unicode MS" w:hAnsi="Times New Roman"/>
                <w:lang w:val="sk-SK"/>
              </w:rPr>
            </w:pPr>
            <w:r w:rsidRPr="00DA5B8F">
              <w:rPr>
                <w:rFonts w:ascii="Times New Roman" w:hAnsi="Times New Roman"/>
                <w:lang w:val="sk-SK"/>
              </w:rPr>
              <w:t>516</w:t>
            </w:r>
          </w:p>
        </w:tc>
      </w:tr>
      <w:tr>
        <w:tblPrEx>
          <w:tblW w:w="0" w:type="auto"/>
          <w:tblLayout w:type="fixed"/>
          <w:tblCellMar>
            <w:left w:w="0" w:type="dxa"/>
            <w:right w:w="0" w:type="dxa"/>
          </w:tblCellMar>
        </w:tblPrEx>
        <w:trPr>
          <w:trHeight w:hRule="exact" w:val="510"/>
        </w:trPr>
        <w:tc>
          <w:tcPr>
            <w:tcW w:w="5955" w:type="dxa"/>
            <w:tcBorders>
              <w:top w:val="single" w:sz="4" w:space="0" w:color="999999"/>
              <w:left w:val="nil"/>
              <w:bottom w:val="double" w:sz="6" w:space="0" w:color="999999"/>
              <w:right w:val="nil"/>
            </w:tcBorders>
            <w:shd w:val="clear" w:color="auto" w:fill="FFFFFF"/>
            <w:noWrap/>
            <w:tcMar>
              <w:top w:w="15" w:type="dxa"/>
              <w:left w:w="15" w:type="dxa"/>
              <w:bottom w:w="0" w:type="dxa"/>
              <w:right w:w="15" w:type="dxa"/>
            </w:tcMar>
            <w:textDirection w:val="lrTb"/>
            <w:vAlign w:val="center"/>
          </w:tcPr>
          <w:p w:rsidR="003474EE" w:rsidRPr="00DA5B8F" w:rsidP="00BF69E7">
            <w:pPr>
              <w:pStyle w:val="Heading5"/>
              <w:autoSpaceDE/>
              <w:autoSpaceDN/>
              <w:bidi w:val="0"/>
              <w:adjustRightInd/>
              <w:spacing w:before="0"/>
              <w:ind w:left="180"/>
              <w:rPr>
                <w:rFonts w:ascii="Times New Roman" w:hAnsi="Times New Roman"/>
                <w:b w:val="0"/>
                <w:bCs w:val="0"/>
                <w:lang w:val="sk-SK"/>
              </w:rPr>
            </w:pPr>
            <w:r w:rsidRPr="00DA5B8F">
              <w:rPr>
                <w:rFonts w:ascii="Times New Roman" w:hAnsi="Times New Roman"/>
                <w:b w:val="0"/>
                <w:bCs w:val="0"/>
                <w:lang w:val="sk-SK"/>
              </w:rPr>
              <w:t>Listinné cenné papiere (*)</w:t>
            </w:r>
          </w:p>
        </w:tc>
        <w:tc>
          <w:tcPr>
            <w:tcW w:w="3515" w:type="dxa"/>
            <w:tcBorders>
              <w:top w:val="single" w:sz="4" w:space="0" w:color="999999"/>
              <w:left w:val="nil"/>
              <w:bottom w:val="double" w:sz="6" w:space="0" w:color="999999"/>
              <w:right w:val="nil"/>
            </w:tcBorders>
            <w:noWrap/>
            <w:tcMar>
              <w:top w:w="15" w:type="dxa"/>
              <w:left w:w="15" w:type="dxa"/>
              <w:bottom w:w="0" w:type="dxa"/>
              <w:right w:w="15" w:type="dxa"/>
            </w:tcMar>
            <w:textDirection w:val="lrTb"/>
            <w:vAlign w:val="center"/>
          </w:tcPr>
          <w:p w:rsidR="003474EE" w:rsidRPr="00DA5B8F" w:rsidP="00BF69E7">
            <w:pPr>
              <w:bidi w:val="0"/>
              <w:ind w:left="165"/>
              <w:rPr>
                <w:rFonts w:ascii="Times New Roman" w:hAnsi="Times New Roman"/>
                <w:lang w:val="sk-SK"/>
              </w:rPr>
            </w:pPr>
            <w:r w:rsidRPr="00DA5B8F">
              <w:rPr>
                <w:rFonts w:ascii="Times New Roman" w:hAnsi="Times New Roman"/>
                <w:lang w:val="sk-SK"/>
              </w:rPr>
              <w:t>231</w:t>
            </w:r>
          </w:p>
        </w:tc>
      </w:tr>
      <w:tr>
        <w:tblPrEx>
          <w:tblW w:w="0" w:type="auto"/>
          <w:tblLayout w:type="fixed"/>
          <w:tblCellMar>
            <w:left w:w="0" w:type="dxa"/>
            <w:right w:w="0" w:type="dxa"/>
          </w:tblCellMar>
        </w:tblPrEx>
        <w:trPr>
          <w:trHeight w:hRule="exact" w:val="510"/>
        </w:trPr>
        <w:tc>
          <w:tcPr>
            <w:tcW w:w="5955" w:type="dxa"/>
            <w:tcBorders>
              <w:top w:val="double" w:sz="6" w:space="0" w:color="999999"/>
              <w:left w:val="nil"/>
              <w:bottom w:val="single" w:sz="4" w:space="0" w:color="999999"/>
              <w:right w:val="nil"/>
            </w:tcBorders>
            <w:shd w:val="clear" w:color="auto" w:fill="CCCCFF"/>
            <w:noWrap/>
            <w:tcMar>
              <w:top w:w="15" w:type="dxa"/>
              <w:left w:w="15" w:type="dxa"/>
              <w:bottom w:w="0" w:type="dxa"/>
              <w:right w:w="15" w:type="dxa"/>
            </w:tcMar>
            <w:textDirection w:val="lrTb"/>
            <w:vAlign w:val="center"/>
          </w:tcPr>
          <w:p w:rsidR="003474EE" w:rsidRPr="00DA5B8F" w:rsidP="00BF69E7">
            <w:pPr>
              <w:pStyle w:val="Heading5"/>
              <w:autoSpaceDE/>
              <w:autoSpaceDN/>
              <w:bidi w:val="0"/>
              <w:adjustRightInd/>
              <w:spacing w:before="0"/>
              <w:ind w:left="180"/>
              <w:rPr>
                <w:rFonts w:ascii="Times New Roman" w:eastAsia="Arial Unicode MS" w:hAnsi="Times New Roman"/>
                <w:lang w:val="sk-SK"/>
              </w:rPr>
            </w:pPr>
            <w:r w:rsidRPr="00DA5B8F">
              <w:rPr>
                <w:rFonts w:ascii="Times New Roman" w:hAnsi="Times New Roman"/>
                <w:lang w:val="sk-SK"/>
              </w:rPr>
              <w:t>Spolu</w:t>
            </w:r>
          </w:p>
        </w:tc>
        <w:tc>
          <w:tcPr>
            <w:tcW w:w="3515" w:type="dxa"/>
            <w:tcBorders>
              <w:top w:val="double" w:sz="6" w:space="0" w:color="999999"/>
              <w:left w:val="nil"/>
              <w:bottom w:val="single" w:sz="4" w:space="0" w:color="999999"/>
              <w:right w:val="nil"/>
            </w:tcBorders>
            <w:shd w:val="clear" w:color="auto" w:fill="CCCCFF"/>
            <w:noWrap/>
            <w:tcMar>
              <w:top w:w="15" w:type="dxa"/>
              <w:left w:w="15" w:type="dxa"/>
              <w:bottom w:w="0" w:type="dxa"/>
              <w:right w:w="15" w:type="dxa"/>
            </w:tcMar>
            <w:textDirection w:val="lrTb"/>
            <w:vAlign w:val="center"/>
          </w:tcPr>
          <w:p w:rsidR="003474EE" w:rsidRPr="00DA5B8F" w:rsidP="00BF69E7">
            <w:pPr>
              <w:bidi w:val="0"/>
              <w:ind w:left="165"/>
              <w:rPr>
                <w:rFonts w:ascii="Times New Roman" w:eastAsia="Arial Unicode MS" w:hAnsi="Times New Roman"/>
                <w:b/>
                <w:bCs/>
                <w:lang w:val="sk-SK"/>
              </w:rPr>
            </w:pPr>
            <w:r w:rsidRPr="00DA5B8F">
              <w:rPr>
                <w:rFonts w:ascii="Times New Roman" w:hAnsi="Times New Roman"/>
                <w:b/>
                <w:bCs/>
                <w:lang w:val="sk-SK"/>
              </w:rPr>
              <w:t>747</w:t>
            </w:r>
          </w:p>
        </w:tc>
      </w:tr>
    </w:tbl>
    <w:p w:rsidR="003474EE" w:rsidRPr="00DA5B8F" w:rsidP="003474EE">
      <w:pPr>
        <w:pStyle w:val="BodyTextIndent"/>
        <w:bidi w:val="0"/>
        <w:rPr>
          <w:rFonts w:ascii="Times New Roman" w:hAnsi="Times New Roman"/>
          <w:i/>
          <w:iCs/>
        </w:rPr>
      </w:pPr>
      <w:r w:rsidRPr="00DA5B8F">
        <w:rPr>
          <w:rFonts w:ascii="Times New Roman" w:hAnsi="Times New Roman"/>
          <w:i/>
          <w:iCs/>
        </w:rPr>
        <w:t>(*) Cenné papiere, ktoré počas trvania procesu zmenili podobu zo zaknihovanej na listinnú.</w:t>
      </w:r>
    </w:p>
    <w:p w:rsidR="003474EE" w:rsidRPr="00DA5B8F" w:rsidP="003474EE">
      <w:pPr>
        <w:pStyle w:val="BodyTextIndent"/>
        <w:bidi w:val="0"/>
        <w:rPr>
          <w:rFonts w:ascii="Arial Narrow" w:hAnsi="Arial Narrow"/>
        </w:rPr>
      </w:pPr>
      <w:r w:rsidRPr="00DA5B8F">
        <w:rPr>
          <w:rFonts w:ascii="Times New Roman" w:hAnsi="Times New Roman"/>
          <w:i/>
          <w:iCs/>
        </w:rPr>
        <w:t>(*) Vplyvom rušenia spoločnosti poklesol počas roka 2014 počet emisií cenných papierov.</w:t>
      </w:r>
    </w:p>
    <w:p w:rsidR="00772F18" w:rsidRPr="00DA5B8F" w:rsidP="003474EE">
      <w:pPr>
        <w:bidi w:val="0"/>
        <w:spacing w:before="120" w:after="120"/>
        <w:jc w:val="both"/>
        <w:rPr>
          <w:rFonts w:ascii="Times New Roman" w:hAnsi="Times New Roman"/>
          <w:lang w:val="sk-SK"/>
        </w:rPr>
      </w:pPr>
      <w:r w:rsidRPr="00DA5B8F" w:rsidR="003474EE">
        <w:rPr>
          <w:rFonts w:ascii="Times New Roman" w:hAnsi="Times New Roman"/>
          <w:lang w:val="sk-SK"/>
        </w:rPr>
        <w:t>Možnosť bezodplatného prevodu cenných papierov na fond sa podľa zákona o privatizácii v znení neskorších predpisov skončila dňa 31. 12. 2014.</w:t>
      </w:r>
    </w:p>
    <w:p w:rsidR="00CD3A41" w:rsidRPr="00DA5B8F" w:rsidP="00CD3A41">
      <w:pPr>
        <w:pStyle w:val="Header"/>
        <w:numPr>
          <w:ilvl w:val="1"/>
          <w:numId w:val="11"/>
        </w:numPr>
        <w:shd w:val="clear" w:color="auto" w:fill="E6E6E6"/>
        <w:tabs>
          <w:tab w:val="clear" w:pos="4703"/>
          <w:tab w:val="clear" w:pos="9406"/>
        </w:tabs>
        <w:bidi w:val="0"/>
        <w:spacing w:before="360" w:after="240" w:line="264" w:lineRule="auto"/>
        <w:ind w:left="703" w:hanging="703"/>
        <w:jc w:val="both"/>
        <w:rPr>
          <w:rFonts w:ascii="Times New Roman" w:hAnsi="Times New Roman"/>
          <w:b/>
          <w:bCs/>
          <w:lang w:val="sk-SK"/>
        </w:rPr>
      </w:pPr>
      <w:bookmarkEnd w:id="4"/>
      <w:r w:rsidRPr="00DA5B8F">
        <w:rPr>
          <w:rFonts w:ascii="Times New Roman" w:hAnsi="Times New Roman"/>
          <w:b/>
          <w:bCs/>
          <w:lang w:val="sk-SK"/>
        </w:rPr>
        <w:t>Reštitúcie a bezodplatné prevody</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zabezpečuje, okrem iného, aj činnosti, ktoré svojou povahou súvisia s realizáciou rozhodnutí o privatizácii schválených privatizačných výstupov, najmä bezodplatných prevodov. Vykonáva vyporiadania reštitučných nárokov oprávnených osôb a taktiež spracováva majetkovo-právne posudzovanie majetku k žiadostiam fyzických a právnických osôb, rieši neštandardne nadobudnuté vlastníctvo k majetku fondu zapísaného v katastri nehnuteľností nie v súlade so zákonom o privatizácii a zabezpečuje spôsob naloženia s majetkom fondu.</w:t>
      </w:r>
    </w:p>
    <w:p w:rsidR="00CD3A41" w:rsidRPr="00DA5B8F" w:rsidP="00CD3A41">
      <w:pPr>
        <w:pStyle w:val="Heading3"/>
        <w:overflowPunct/>
        <w:autoSpaceDE/>
        <w:autoSpaceDN/>
        <w:bidi w:val="0"/>
        <w:adjustRightInd/>
        <w:spacing w:before="360" w:line="252" w:lineRule="auto"/>
        <w:rPr>
          <w:rFonts w:ascii="Times New Roman" w:hAnsi="Times New Roman"/>
        </w:rPr>
      </w:pPr>
      <w:r w:rsidRPr="00DA5B8F">
        <w:rPr>
          <w:rFonts w:ascii="Times New Roman" w:hAnsi="Times New Roman"/>
        </w:rPr>
        <w:t>Uspokojovanie reštitučných nárokov oprávnených osôb</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roku 2014 fond nemohol realizovať finančnú náhradu voči oprávneným osobám, ktorých nárok vyplýva z § 13 ods. 6 zákona č. 87/1991 Zb. o mimosúdnych rehabilitáciách v znení neskorších predpisov, z § 2 ods. 3 zákona č. 87/1991 Zb. vydaním cenných papierov, ktoré nemajú povahu štátneho dlhopisu – zmenky, nakoľko MH SR ani MF SR nevydali rozhodnutie o priznaných finančných náhradách oprávneným osobám na základe ktorých fond vypláca finančnú náhradu oprávneným osobám.</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 xml:space="preserve">V súlade s rozhodnutím MH SR evidoval fond v priebehu roku 2014 nevyporiadané reštitučné nároky oprávnených osôb, ktorých nároky vyplývajú zo zákona č. 87/1991 Zb. o mimosúdnych rehabilitáciách v znení neskorších predpisov v celkovej výške 27,58 tis. Eur. </w:t>
      </w:r>
      <w:bookmarkStart w:id="5" w:name="OLE_LINK23"/>
      <w:r w:rsidRPr="00DA5B8F">
        <w:rPr>
          <w:rFonts w:ascii="Times New Roman" w:hAnsi="Times New Roman"/>
        </w:rPr>
        <w:t>Tieto nároky budú priebežne realizované v ďalšom období, ak pominú dôvody, ktoré bránia ich uspokojeniu, nakoľko sú predmetom súdnych sporov alebo sú zaťažené inými právnymi prekážkami.</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bookmarkEnd w:id="5"/>
      <w:r w:rsidRPr="00DA5B8F">
        <w:rPr>
          <w:rFonts w:ascii="Times New Roman" w:hAnsi="Times New Roman"/>
        </w:rPr>
        <w:t>Fondu prislúcha povinnosť realizovať v súlade s platnou legislatívou aj tie nároky, o ktorých bude MF SR rozhodovať v súlade so zákonom o mimosúdnych rehabilitáciách. Podľa informácií, ktoré m</w:t>
      </w:r>
      <w:r w:rsidRPr="00DA5B8F" w:rsidR="003D5936">
        <w:rPr>
          <w:rFonts w:ascii="Times New Roman" w:hAnsi="Times New Roman"/>
        </w:rPr>
        <w:t>á</w:t>
      </w:r>
      <w:r w:rsidRPr="00DA5B8F">
        <w:rPr>
          <w:rFonts w:ascii="Times New Roman" w:hAnsi="Times New Roman"/>
        </w:rPr>
        <w:t xml:space="preserve"> fond k dispozícii, v roku 2014 evidovalo MF SR takmer 49 doposiaľ nevybavených žiadostí o finančnú náhradu. Na okresných a krajských súdoch prebieha 15 aktívnych súdnych sporov, pričom sumy finančných náhrad nie sú navrhovateľmi konkretizované v každom súdnom spore. Vzhľadom k tomu, že na MF SR sú priebežne doručované nové žiadosti, z MH SR a od oprávnených osôb, ktoré si požiadavku o finančnú náhradu môžu podať do jedného roka odo dňa právoplatnosti rozsudku súdu, ktorým bol zamietnutý návrh na vydanie veci, počet budúcich žiadateľov–reštituentov a objem finančnej náhrady podľa zákona o mimosúdnych rehabilitáciách môže narastať. Uvedené skutočnosti neumožňujú určiť presný počet a hodnotu nevybavených reštitučných nárokov, zároveň môžu ovplyvniť skutočný počet priznaných finančných náhrad a ich výšku. Je potrebné, aby fond s týmito skutočnosťami aj naďalej počítal a pri zabezpečovaní svojej činnosti v oblasti mimosúdnych rehabilitácií vyhradil finančné prostriedky v odhadovanej sume 500 tis. Eur až 700 tis. Eur. V pôsobnosti MH SR je evidovaných 10 reštitučných nárokov podľa § 47 zákona o privatizácii a 5 prípadov je v dlhodobom riešení.</w:t>
      </w:r>
    </w:p>
    <w:p w:rsidR="00CD3A41" w:rsidRPr="00DA5B8F" w:rsidP="00CD3A41">
      <w:pPr>
        <w:pStyle w:val="Heading3"/>
        <w:overflowPunct/>
        <w:autoSpaceDE/>
        <w:autoSpaceDN/>
        <w:bidi w:val="0"/>
        <w:adjustRightInd/>
        <w:spacing w:before="360" w:line="252" w:lineRule="auto"/>
        <w:rPr>
          <w:rFonts w:ascii="Times New Roman" w:hAnsi="Times New Roman"/>
        </w:rPr>
      </w:pPr>
      <w:r w:rsidRPr="00DA5B8F">
        <w:rPr>
          <w:rFonts w:ascii="Times New Roman" w:hAnsi="Times New Roman"/>
        </w:rPr>
        <w:t>Bezodplatné prevody</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 xml:space="preserve">V súlade s § 12 ods. 2 písm. d) zákona o privatizácii pokračoval fond aj v roku 2014 v zabezpečovaní úloh, ktoré mu vyplývali z rozhodnutí MSPNM SR, týkajúcich sa realizácií bezodplatných prevodov akcií emitovaných vodárenskými spoločnosťami na mestá a obce. Počas tohto obdobia fond realizoval bezodplatný prevod 1 470 ks akcií Východoslovenskej vodárenskej spoločnosti, a. s. Košice v nominálnej hodnote 33,19 Eur / akcia, na jednu obec, v celkovej účtovnej hodnote privatizovaného majetku 48,79 tis. Eur a taktiež </w:t>
      </w:r>
      <w:r w:rsidRPr="00DA5B8F" w:rsidR="000F4904">
        <w:rPr>
          <w:rFonts w:ascii="Times New Roman" w:hAnsi="Times New Roman"/>
        </w:rPr>
        <w:t xml:space="preserve">vykonal </w:t>
      </w:r>
      <w:r w:rsidRPr="00DA5B8F">
        <w:rPr>
          <w:rFonts w:ascii="Times New Roman" w:hAnsi="Times New Roman"/>
        </w:rPr>
        <w:t>bezodplatný prevod 813 ks akcií Podtatranskej vodárenskej spoločnosti, a. s. Poprad v nominálnej hodnote 33,19</w:t>
      </w:r>
      <w:r w:rsidRPr="00DA5B8F" w:rsidR="000F4904">
        <w:rPr>
          <w:rFonts w:ascii="Times New Roman" w:hAnsi="Times New Roman"/>
        </w:rPr>
        <w:t> </w:t>
      </w:r>
      <w:r w:rsidRPr="00DA5B8F">
        <w:rPr>
          <w:rFonts w:ascii="Times New Roman" w:hAnsi="Times New Roman"/>
        </w:rPr>
        <w:t>€/akcia, na jednu obec, v celkovej účtovnej hodnote privatizovaného majetku 26,98 tis. Eur.</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Na základe § 28 ods. 8 zákona o privatizácii riešil fond spôsob nakladania s majetkovou účasťou fondu na podnikaní vodárenských spoločností, nakladanie s privatizovaným majetkom realizovaným formou bezodplatných prevodov na mestá a obce.</w:t>
      </w:r>
    </w:p>
    <w:p w:rsidR="00CD3A41" w:rsidRPr="00DA5B8F" w:rsidP="00CD3A41">
      <w:pPr>
        <w:pStyle w:val="Heading3"/>
        <w:overflowPunct/>
        <w:autoSpaceDE/>
        <w:autoSpaceDN/>
        <w:bidi w:val="0"/>
        <w:adjustRightInd/>
        <w:spacing w:before="360" w:line="252" w:lineRule="auto"/>
        <w:rPr>
          <w:rFonts w:ascii="Times New Roman" w:hAnsi="Times New Roman"/>
        </w:rPr>
      </w:pPr>
      <w:r w:rsidRPr="00DA5B8F">
        <w:rPr>
          <w:rFonts w:ascii="Times New Roman" w:hAnsi="Times New Roman"/>
        </w:rPr>
        <w:t>Riešenie majetkovo-právnych problémov privatizovaného majetku</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Riešenie majetkovo-právnych problémov vyplývajúcich z postupnej realizácie privatizačných rozhodnutí, najmä v oblasti nakladania s nehnuteľným majetkom, je významnou agendou fondu z dôvodu napĺňania jeho strategických zámerov pri zabezpečovaní privatizácie štátneho majetku. V súlade s vývojom privatizácie boli vykonávané právne analýzy a stanoviská za účelom objektivizácie postupov</w:t>
      </w:r>
      <w:r w:rsidRPr="00DA5B8F">
        <w:rPr>
          <w:rFonts w:ascii="Times New Roman" w:hAnsi="Times New Roman"/>
          <w:sz w:val="16"/>
          <w:szCs w:val="16"/>
        </w:rPr>
        <w:t xml:space="preserve"> </w:t>
      </w:r>
      <w:r w:rsidRPr="00DA5B8F">
        <w:rPr>
          <w:rFonts w:ascii="Times New Roman" w:hAnsi="Times New Roman"/>
        </w:rPr>
        <w:t>fondu v prípadoch, keď sa privatizovaný majetok stal predmetom súdnych sporov alebo sporných reštitučných náhrad.</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hodnotenom období boli riešené žiadosti fyzických a právnických osôb, ktorých predmetom bol majetok,</w:t>
      </w:r>
      <w:r w:rsidRPr="00DA5B8F">
        <w:rPr>
          <w:rFonts w:ascii="Times New Roman" w:hAnsi="Times New Roman"/>
          <w:sz w:val="16"/>
          <w:szCs w:val="16"/>
        </w:rPr>
        <w:t xml:space="preserve"> </w:t>
      </w:r>
      <w:r w:rsidRPr="00DA5B8F">
        <w:rPr>
          <w:rFonts w:ascii="Times New Roman" w:hAnsi="Times New Roman"/>
        </w:rPr>
        <w:t>vo</w:t>
      </w:r>
      <w:r w:rsidRPr="00DA5B8F">
        <w:rPr>
          <w:rFonts w:ascii="Times New Roman" w:hAnsi="Times New Roman"/>
          <w:sz w:val="16"/>
          <w:szCs w:val="16"/>
        </w:rPr>
        <w:t xml:space="preserve"> </w:t>
      </w:r>
      <w:r w:rsidRPr="00DA5B8F">
        <w:rPr>
          <w:rFonts w:ascii="Times New Roman" w:hAnsi="Times New Roman"/>
        </w:rPr>
        <w:t>väčšine</w:t>
      </w:r>
      <w:r w:rsidRPr="00DA5B8F">
        <w:rPr>
          <w:rFonts w:ascii="Times New Roman" w:hAnsi="Times New Roman"/>
          <w:sz w:val="16"/>
          <w:szCs w:val="16"/>
        </w:rPr>
        <w:t xml:space="preserve"> </w:t>
      </w:r>
      <w:r w:rsidRPr="00DA5B8F">
        <w:rPr>
          <w:rFonts w:ascii="Times New Roman" w:hAnsi="Times New Roman"/>
        </w:rPr>
        <w:t>prípadov nehnuteľnosti. Ďalej fond skúmal a vydával záväzné stanoviská:</w:t>
      </w:r>
    </w:p>
    <w:p w:rsidR="00CD3A41" w:rsidRPr="00DA5B8F" w:rsidP="00F46C00">
      <w:pPr>
        <w:pStyle w:val="BodyTextIndent1"/>
        <w:numPr>
          <w:ilvl w:val="1"/>
          <w:numId w:val="8"/>
        </w:numPr>
        <w:tabs>
          <w:tab w:val="num" w:pos="426"/>
          <w:tab w:val="clear" w:pos="540"/>
          <w:tab w:val="clear" w:pos="1440"/>
        </w:tabs>
        <w:overflowPunct/>
        <w:autoSpaceDE/>
        <w:autoSpaceDN/>
        <w:bidi w:val="0"/>
        <w:adjustRightInd/>
        <w:spacing w:before="20" w:line="264" w:lineRule="auto"/>
        <w:ind w:left="714" w:hanging="357"/>
        <w:rPr>
          <w:rFonts w:ascii="Times New Roman" w:hAnsi="Times New Roman"/>
        </w:rPr>
      </w:pPr>
      <w:r w:rsidRPr="00DA5B8F">
        <w:rPr>
          <w:rFonts w:ascii="Times New Roman" w:hAnsi="Times New Roman"/>
        </w:rPr>
        <w:t>k majetku duplicitného vlastníctva medzi sprivatizovaným štátnym podnikom a fyzickou osobou,</w:t>
      </w:r>
    </w:p>
    <w:p w:rsidR="00CD3A41" w:rsidRPr="00DA5B8F" w:rsidP="00F46C00">
      <w:pPr>
        <w:pStyle w:val="BodyTextIndent1"/>
        <w:numPr>
          <w:ilvl w:val="1"/>
          <w:numId w:val="8"/>
        </w:numPr>
        <w:tabs>
          <w:tab w:val="num" w:pos="426"/>
          <w:tab w:val="clear" w:pos="540"/>
          <w:tab w:val="clear" w:pos="1440"/>
        </w:tabs>
        <w:overflowPunct/>
        <w:autoSpaceDE/>
        <w:autoSpaceDN/>
        <w:bidi w:val="0"/>
        <w:adjustRightInd/>
        <w:spacing w:before="20" w:line="264" w:lineRule="auto"/>
        <w:ind w:left="714" w:hanging="357"/>
        <w:rPr>
          <w:rFonts w:ascii="Times New Roman" w:hAnsi="Times New Roman"/>
        </w:rPr>
      </w:pPr>
      <w:r w:rsidRPr="00DA5B8F">
        <w:rPr>
          <w:rFonts w:ascii="Times New Roman" w:hAnsi="Times New Roman"/>
        </w:rPr>
        <w:t>k sprivatizovanému majetku, ktorý je predmetom súdneho sporu,</w:t>
      </w:r>
    </w:p>
    <w:p w:rsidR="00CD3A41" w:rsidRPr="00DA5B8F" w:rsidP="00F46C00">
      <w:pPr>
        <w:pStyle w:val="BodyTextIndent1"/>
        <w:numPr>
          <w:ilvl w:val="1"/>
          <w:numId w:val="8"/>
        </w:numPr>
        <w:tabs>
          <w:tab w:val="num" w:pos="426"/>
          <w:tab w:val="clear" w:pos="540"/>
          <w:tab w:val="clear" w:pos="1440"/>
        </w:tabs>
        <w:overflowPunct/>
        <w:autoSpaceDE/>
        <w:autoSpaceDN/>
        <w:bidi w:val="0"/>
        <w:adjustRightInd/>
        <w:spacing w:before="20" w:line="264" w:lineRule="auto"/>
        <w:ind w:left="714" w:hanging="357"/>
        <w:rPr>
          <w:rFonts w:ascii="Times New Roman" w:hAnsi="Times New Roman"/>
        </w:rPr>
      </w:pPr>
      <w:r w:rsidRPr="00DA5B8F">
        <w:rPr>
          <w:rFonts w:ascii="Times New Roman" w:hAnsi="Times New Roman"/>
        </w:rPr>
        <w:t>k majetku, ktorý bol v rozpore so zákonom o privatizácii vedený vo vlastníctve fondu,</w:t>
      </w:r>
    </w:p>
    <w:p w:rsidR="00CD3A41" w:rsidRPr="00DA5B8F" w:rsidP="00F46C00">
      <w:pPr>
        <w:pStyle w:val="BodyTextIndent1"/>
        <w:numPr>
          <w:ilvl w:val="1"/>
          <w:numId w:val="8"/>
        </w:numPr>
        <w:tabs>
          <w:tab w:val="num" w:pos="426"/>
          <w:tab w:val="clear" w:pos="540"/>
          <w:tab w:val="clear" w:pos="1440"/>
        </w:tabs>
        <w:overflowPunct/>
        <w:autoSpaceDE/>
        <w:autoSpaceDN/>
        <w:bidi w:val="0"/>
        <w:adjustRightInd/>
        <w:spacing w:before="20" w:line="264" w:lineRule="auto"/>
        <w:ind w:left="714" w:hanging="357"/>
        <w:rPr>
          <w:rFonts w:ascii="Times New Roman" w:hAnsi="Times New Roman"/>
        </w:rPr>
      </w:pPr>
      <w:r w:rsidRPr="00DA5B8F">
        <w:rPr>
          <w:rFonts w:ascii="Times New Roman" w:hAnsi="Times New Roman"/>
        </w:rPr>
        <w:t>k majetku, ktorý bol opomenutý v procese privatizácie,</w:t>
      </w:r>
    </w:p>
    <w:p w:rsidR="00CD3A41" w:rsidRPr="00DA5B8F" w:rsidP="00F46C00">
      <w:pPr>
        <w:pStyle w:val="BodyTextIndent1"/>
        <w:numPr>
          <w:ilvl w:val="1"/>
          <w:numId w:val="8"/>
        </w:numPr>
        <w:tabs>
          <w:tab w:val="num" w:pos="426"/>
          <w:tab w:val="clear" w:pos="540"/>
          <w:tab w:val="clear" w:pos="1440"/>
        </w:tabs>
        <w:overflowPunct/>
        <w:autoSpaceDE/>
        <w:autoSpaceDN/>
        <w:bidi w:val="0"/>
        <w:adjustRightInd/>
        <w:spacing w:before="20" w:line="264" w:lineRule="auto"/>
        <w:ind w:left="714" w:hanging="357"/>
        <w:rPr>
          <w:rFonts w:ascii="Times New Roman" w:hAnsi="Times New Roman"/>
        </w:rPr>
      </w:pPr>
      <w:r w:rsidRPr="00DA5B8F">
        <w:rPr>
          <w:rFonts w:ascii="Times New Roman" w:hAnsi="Times New Roman"/>
        </w:rPr>
        <w:t xml:space="preserve">k majetku, ktorý je predmetom Ústavy Slovenskej republiky (vodné toky, nerastné bohatstvo) a iných platných právnych noriem, </w:t>
      </w:r>
    </w:p>
    <w:p w:rsidR="00CD3A41" w:rsidRPr="00DA5B8F" w:rsidP="00F46C00">
      <w:pPr>
        <w:pStyle w:val="BodyTextIndent1"/>
        <w:numPr>
          <w:ilvl w:val="1"/>
          <w:numId w:val="8"/>
        </w:numPr>
        <w:tabs>
          <w:tab w:val="num" w:pos="426"/>
          <w:tab w:val="clear" w:pos="540"/>
          <w:tab w:val="clear" w:pos="1440"/>
        </w:tabs>
        <w:overflowPunct/>
        <w:autoSpaceDE/>
        <w:autoSpaceDN/>
        <w:bidi w:val="0"/>
        <w:adjustRightInd/>
        <w:spacing w:before="20" w:line="264" w:lineRule="auto"/>
        <w:ind w:left="714" w:hanging="357"/>
        <w:rPr>
          <w:rFonts w:ascii="Times New Roman" w:hAnsi="Times New Roman"/>
        </w:rPr>
      </w:pPr>
      <w:r w:rsidRPr="00DA5B8F">
        <w:rPr>
          <w:rFonts w:ascii="Times New Roman" w:hAnsi="Times New Roman"/>
        </w:rPr>
        <w:t>k majetku, ktorý je vo vlastníctve Slovenského štátu v správe orgánov štátnej správy.</w:t>
      </w:r>
    </w:p>
    <w:p w:rsidR="00CD3A41" w:rsidRPr="00DA5B8F" w:rsidP="00F46C00">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poskytoval podľa zákona č. 173/1993 Z. z. v znení zákona č. 564/2003 Z. z. o náhradách prevodu majetku štátu na iné osoby, výšku náhrady povinnej osobe, ktorá uspokojila reštitučný nárok oprávnenej osoby vydaním majetku. Z právneho a zákonného hľadiska sú posudzované a riešené podané žiadosti povinných osôb, ktoré žiadajú fond o finančnú náhradu za vydaný majetok na základe rozsudku súdu alebo rozhodnutia pozemkového úradu a na základe dohody o vydaní majetku.</w:t>
      </w:r>
    </w:p>
    <w:p w:rsidR="00CD3A41" w:rsidRPr="00DA5B8F" w:rsidP="00CD3A41">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Reštitúcie a bezodplatné prevody v roku 2014</w:t>
      </w:r>
    </w:p>
    <w:tbl>
      <w:tblPr>
        <w:tblStyle w:val="TableNormal"/>
        <w:tblW w:w="949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7127"/>
        <w:gridCol w:w="1192"/>
        <w:gridCol w:w="1176"/>
      </w:tblGrid>
      <w:tr>
        <w:tblPrEx>
          <w:tblW w:w="949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PrEx>
        <w:trPr>
          <w:jc w:val="center"/>
        </w:trPr>
        <w:tc>
          <w:tcPr>
            <w:tcW w:w="7127" w:type="dxa"/>
            <w:tcBorders>
              <w:top w:val="single" w:sz="4" w:space="0" w:color="999999"/>
              <w:left w:val="nil"/>
              <w:bottom w:val="double" w:sz="6" w:space="0" w:color="999999"/>
              <w:right w:val="nil"/>
            </w:tcBorders>
            <w:shd w:val="clear" w:color="auto" w:fill="CCCCFF"/>
            <w:textDirection w:val="lrTb"/>
            <w:vAlign w:val="center"/>
          </w:tcPr>
          <w:p w:rsidR="00CD3A41" w:rsidRPr="00DA5B8F" w:rsidP="00706AF2">
            <w:pPr>
              <w:pStyle w:val="BodyText"/>
              <w:bidi w:val="0"/>
              <w:spacing w:line="240" w:lineRule="auto"/>
              <w:ind w:firstLine="0"/>
              <w:jc w:val="left"/>
              <w:rPr>
                <w:rFonts w:ascii="Times New Roman" w:hAnsi="Times New Roman"/>
                <w:b/>
                <w:bCs/>
                <w:sz w:val="24"/>
                <w:szCs w:val="24"/>
              </w:rPr>
            </w:pPr>
            <w:r w:rsidRPr="00DA5B8F">
              <w:rPr>
                <w:rFonts w:ascii="Times New Roman" w:hAnsi="Times New Roman"/>
                <w:b/>
                <w:bCs/>
                <w:sz w:val="24"/>
                <w:szCs w:val="24"/>
              </w:rPr>
              <w:t>Činnosť</w:t>
            </w:r>
          </w:p>
        </w:tc>
        <w:tc>
          <w:tcPr>
            <w:tcW w:w="1192" w:type="dxa"/>
            <w:tcBorders>
              <w:top w:val="single" w:sz="4" w:space="0" w:color="999999"/>
              <w:left w:val="nil"/>
              <w:bottom w:val="double" w:sz="6" w:space="0" w:color="999999"/>
              <w:right w:val="nil"/>
            </w:tcBorders>
            <w:shd w:val="clear" w:color="auto" w:fill="CCCCFF"/>
            <w:textDirection w:val="lrTb"/>
            <w:vAlign w:val="center"/>
          </w:tcPr>
          <w:p w:rsidR="00CD3A41" w:rsidRPr="00DA5B8F" w:rsidP="00706AF2">
            <w:pPr>
              <w:pStyle w:val="BodyText"/>
              <w:bidi w:val="0"/>
              <w:spacing w:line="240" w:lineRule="auto"/>
              <w:ind w:firstLine="0"/>
              <w:jc w:val="center"/>
              <w:rPr>
                <w:rFonts w:ascii="Times New Roman" w:hAnsi="Times New Roman"/>
                <w:b/>
                <w:bCs/>
                <w:sz w:val="24"/>
                <w:szCs w:val="24"/>
              </w:rPr>
            </w:pPr>
            <w:r w:rsidRPr="00DA5B8F">
              <w:rPr>
                <w:rFonts w:ascii="Times New Roman" w:hAnsi="Times New Roman"/>
                <w:b/>
                <w:bCs/>
                <w:sz w:val="24"/>
                <w:szCs w:val="24"/>
              </w:rPr>
              <w:t>Objem (v Eur)</w:t>
            </w:r>
          </w:p>
        </w:tc>
        <w:tc>
          <w:tcPr>
            <w:tcW w:w="1176" w:type="dxa"/>
            <w:tcBorders>
              <w:top w:val="single" w:sz="4" w:space="0" w:color="999999"/>
              <w:left w:val="nil"/>
              <w:bottom w:val="double" w:sz="6" w:space="0" w:color="999999"/>
              <w:right w:val="nil"/>
            </w:tcBorders>
            <w:shd w:val="clear" w:color="auto" w:fill="CCCCFF"/>
            <w:textDirection w:val="lrTb"/>
            <w:vAlign w:val="center"/>
          </w:tcPr>
          <w:p w:rsidR="00CD3A41" w:rsidRPr="00DA5B8F" w:rsidP="00706AF2">
            <w:pPr>
              <w:pStyle w:val="BodyText"/>
              <w:bidi w:val="0"/>
              <w:spacing w:line="240" w:lineRule="auto"/>
              <w:ind w:firstLine="0"/>
              <w:jc w:val="center"/>
              <w:rPr>
                <w:rFonts w:ascii="Times New Roman" w:hAnsi="Times New Roman"/>
                <w:b/>
                <w:bCs/>
                <w:sz w:val="24"/>
                <w:szCs w:val="24"/>
              </w:rPr>
            </w:pPr>
            <w:r w:rsidRPr="00DA5B8F">
              <w:rPr>
                <w:rFonts w:ascii="Times New Roman" w:hAnsi="Times New Roman"/>
                <w:b/>
                <w:bCs/>
                <w:sz w:val="24"/>
                <w:szCs w:val="24"/>
              </w:rPr>
              <w:t>Počet prípadov</w:t>
            </w:r>
          </w:p>
        </w:tc>
      </w:tr>
      <w:tr>
        <w:tblPrEx>
          <w:tblW w:w="9495" w:type="dxa"/>
          <w:jc w:val="center"/>
          <w:tblCellMar>
            <w:left w:w="70" w:type="dxa"/>
            <w:right w:w="70" w:type="dxa"/>
          </w:tblCellMar>
        </w:tblPrEx>
        <w:trPr>
          <w:trHeight w:hRule="exact" w:val="613"/>
          <w:jc w:val="center"/>
        </w:trPr>
        <w:tc>
          <w:tcPr>
            <w:tcW w:w="7127" w:type="dxa"/>
            <w:tcBorders>
              <w:top w:val="double" w:sz="6" w:space="0" w:color="999999"/>
              <w:left w:val="nil"/>
              <w:bottom w:val="single" w:sz="4" w:space="0" w:color="999999"/>
              <w:right w:val="nil"/>
            </w:tcBorders>
            <w:textDirection w:val="lrTb"/>
            <w:vAlign w:val="center"/>
          </w:tcPr>
          <w:p w:rsidR="00CD3A41" w:rsidRPr="00DA5B8F" w:rsidP="00706AF2">
            <w:pPr>
              <w:pStyle w:val="BodyText"/>
              <w:bidi w:val="0"/>
              <w:spacing w:before="0" w:line="240" w:lineRule="auto"/>
              <w:ind w:firstLine="0"/>
              <w:jc w:val="left"/>
              <w:rPr>
                <w:rFonts w:ascii="Times New Roman" w:hAnsi="Times New Roman"/>
                <w:sz w:val="24"/>
                <w:szCs w:val="24"/>
              </w:rPr>
            </w:pPr>
            <w:r w:rsidRPr="00DA5B8F">
              <w:rPr>
                <w:rFonts w:ascii="Times New Roman" w:hAnsi="Times New Roman"/>
                <w:sz w:val="24"/>
                <w:szCs w:val="24"/>
              </w:rPr>
              <w:t>Reštitúcie § 8 zákon č. 319/91 Zb. (MF SR), finančná náhrada formou zmenky</w:t>
            </w:r>
          </w:p>
        </w:tc>
        <w:tc>
          <w:tcPr>
            <w:tcW w:w="1192" w:type="dxa"/>
            <w:tcBorders>
              <w:top w:val="double" w:sz="6" w:space="0" w:color="999999"/>
              <w:left w:val="nil"/>
              <w:bottom w:val="single" w:sz="4" w:space="0" w:color="999999"/>
              <w:right w:val="nil"/>
            </w:tcBorders>
            <w:textDirection w:val="lrTb"/>
            <w:vAlign w:val="center"/>
          </w:tcPr>
          <w:p w:rsidR="00CD3A41" w:rsidRPr="00DA5B8F" w:rsidP="00706AF2">
            <w:pPr>
              <w:pStyle w:val="BodyText"/>
              <w:bidi w:val="0"/>
              <w:spacing w:before="0" w:line="240" w:lineRule="auto"/>
              <w:ind w:firstLine="0"/>
              <w:jc w:val="right"/>
              <w:rPr>
                <w:rFonts w:ascii="Times New Roman" w:hAnsi="Times New Roman"/>
                <w:sz w:val="24"/>
                <w:szCs w:val="24"/>
              </w:rPr>
            </w:pPr>
            <w:r w:rsidRPr="00DA5B8F">
              <w:rPr>
                <w:rFonts w:ascii="Times New Roman" w:hAnsi="Times New Roman"/>
                <w:sz w:val="24"/>
                <w:szCs w:val="24"/>
              </w:rPr>
              <w:t>0,00</w:t>
            </w:r>
          </w:p>
        </w:tc>
        <w:tc>
          <w:tcPr>
            <w:tcW w:w="1176" w:type="dxa"/>
            <w:tcBorders>
              <w:top w:val="double" w:sz="6" w:space="0" w:color="999999"/>
              <w:left w:val="nil"/>
              <w:bottom w:val="single" w:sz="4" w:space="0" w:color="999999"/>
              <w:right w:val="nil"/>
            </w:tcBorders>
            <w:textDirection w:val="lrTb"/>
            <w:vAlign w:val="center"/>
          </w:tcPr>
          <w:p w:rsidR="00CD3A41" w:rsidRPr="00DA5B8F" w:rsidP="00706AF2">
            <w:pPr>
              <w:pStyle w:val="BodyText"/>
              <w:bidi w:val="0"/>
              <w:spacing w:before="0" w:line="240" w:lineRule="auto"/>
              <w:ind w:firstLine="0"/>
              <w:jc w:val="center"/>
              <w:rPr>
                <w:rFonts w:ascii="Times New Roman" w:hAnsi="Times New Roman"/>
                <w:sz w:val="24"/>
                <w:szCs w:val="24"/>
              </w:rPr>
            </w:pPr>
            <w:r w:rsidRPr="00DA5B8F">
              <w:rPr>
                <w:rFonts w:ascii="Times New Roman" w:hAnsi="Times New Roman"/>
                <w:sz w:val="24"/>
                <w:szCs w:val="24"/>
              </w:rPr>
              <w:t>0</w:t>
            </w:r>
          </w:p>
        </w:tc>
      </w:tr>
      <w:tr>
        <w:tblPrEx>
          <w:tblW w:w="9495" w:type="dxa"/>
          <w:jc w:val="center"/>
          <w:tblCellMar>
            <w:left w:w="70" w:type="dxa"/>
            <w:right w:w="70" w:type="dxa"/>
          </w:tblCellMar>
        </w:tblPrEx>
        <w:trPr>
          <w:trHeight w:hRule="exact" w:val="682"/>
          <w:jc w:val="center"/>
        </w:trPr>
        <w:tc>
          <w:tcPr>
            <w:tcW w:w="7127" w:type="dxa"/>
            <w:tcBorders>
              <w:top w:val="single" w:sz="4" w:space="0" w:color="999999"/>
              <w:left w:val="nil"/>
              <w:bottom w:val="single" w:sz="4" w:space="0" w:color="999999"/>
              <w:right w:val="nil"/>
            </w:tcBorders>
            <w:textDirection w:val="lrTb"/>
            <w:vAlign w:val="center"/>
          </w:tcPr>
          <w:p w:rsidR="00CD3A41" w:rsidRPr="00DA5B8F" w:rsidP="00706AF2">
            <w:pPr>
              <w:pStyle w:val="BodyText"/>
              <w:bidi w:val="0"/>
              <w:spacing w:before="0" w:line="240" w:lineRule="auto"/>
              <w:ind w:firstLine="0"/>
              <w:jc w:val="left"/>
              <w:rPr>
                <w:rFonts w:ascii="Times New Roman" w:hAnsi="Times New Roman"/>
                <w:sz w:val="24"/>
                <w:szCs w:val="24"/>
              </w:rPr>
            </w:pPr>
            <w:r w:rsidRPr="00DA5B8F">
              <w:rPr>
                <w:rFonts w:ascii="Times New Roman" w:hAnsi="Times New Roman"/>
                <w:sz w:val="24"/>
                <w:szCs w:val="24"/>
              </w:rPr>
              <w:t>Peňažná náhrada zákon č. 173/1993 Z. z. v znení zákona č. 564/2003 Z. z.</w:t>
            </w:r>
          </w:p>
        </w:tc>
        <w:tc>
          <w:tcPr>
            <w:tcW w:w="1192" w:type="dxa"/>
            <w:tcBorders>
              <w:top w:val="single" w:sz="4" w:space="0" w:color="999999"/>
              <w:left w:val="nil"/>
              <w:bottom w:val="single" w:sz="4" w:space="0" w:color="999999"/>
              <w:right w:val="nil"/>
            </w:tcBorders>
            <w:textDirection w:val="lrTb"/>
            <w:vAlign w:val="center"/>
          </w:tcPr>
          <w:p w:rsidR="00CD3A41" w:rsidRPr="00DA5B8F" w:rsidP="00706AF2">
            <w:pPr>
              <w:pStyle w:val="BodyText"/>
              <w:bidi w:val="0"/>
              <w:spacing w:before="0" w:line="240" w:lineRule="auto"/>
              <w:ind w:firstLine="0"/>
              <w:jc w:val="right"/>
              <w:rPr>
                <w:rFonts w:ascii="Times New Roman" w:hAnsi="Times New Roman"/>
                <w:sz w:val="24"/>
                <w:szCs w:val="24"/>
              </w:rPr>
            </w:pPr>
            <w:r w:rsidRPr="00DA5B8F">
              <w:rPr>
                <w:rFonts w:ascii="Times New Roman" w:hAnsi="Times New Roman"/>
                <w:sz w:val="24"/>
                <w:szCs w:val="24"/>
              </w:rPr>
              <w:t>0,00</w:t>
            </w:r>
          </w:p>
        </w:tc>
        <w:tc>
          <w:tcPr>
            <w:tcW w:w="1176" w:type="dxa"/>
            <w:tcBorders>
              <w:top w:val="single" w:sz="4" w:space="0" w:color="999999"/>
              <w:left w:val="nil"/>
              <w:bottom w:val="single" w:sz="4" w:space="0" w:color="999999"/>
              <w:right w:val="nil"/>
            </w:tcBorders>
            <w:textDirection w:val="lrTb"/>
            <w:vAlign w:val="center"/>
          </w:tcPr>
          <w:p w:rsidR="00CD3A41" w:rsidRPr="00DA5B8F" w:rsidP="00706AF2">
            <w:pPr>
              <w:pStyle w:val="BodyText"/>
              <w:bidi w:val="0"/>
              <w:spacing w:before="0" w:line="240" w:lineRule="auto"/>
              <w:ind w:firstLine="0"/>
              <w:jc w:val="center"/>
              <w:rPr>
                <w:rFonts w:ascii="Times New Roman" w:hAnsi="Times New Roman"/>
                <w:sz w:val="24"/>
                <w:szCs w:val="24"/>
              </w:rPr>
            </w:pPr>
            <w:r w:rsidRPr="00DA5B8F">
              <w:rPr>
                <w:rFonts w:ascii="Times New Roman" w:hAnsi="Times New Roman"/>
                <w:sz w:val="24"/>
                <w:szCs w:val="24"/>
              </w:rPr>
              <w:t>0</w:t>
            </w:r>
          </w:p>
        </w:tc>
      </w:tr>
      <w:tr>
        <w:tblPrEx>
          <w:tblW w:w="9495" w:type="dxa"/>
          <w:jc w:val="center"/>
          <w:tblCellMar>
            <w:left w:w="70" w:type="dxa"/>
            <w:right w:w="70" w:type="dxa"/>
          </w:tblCellMar>
        </w:tblPrEx>
        <w:trPr>
          <w:trHeight w:hRule="exact" w:val="567"/>
          <w:jc w:val="center"/>
        </w:trPr>
        <w:tc>
          <w:tcPr>
            <w:tcW w:w="7127" w:type="dxa"/>
            <w:tcBorders>
              <w:top w:val="single" w:sz="4" w:space="0" w:color="999999"/>
              <w:left w:val="nil"/>
              <w:bottom w:val="double" w:sz="6" w:space="0" w:color="999999"/>
              <w:right w:val="nil"/>
            </w:tcBorders>
            <w:textDirection w:val="lrTb"/>
            <w:vAlign w:val="center"/>
          </w:tcPr>
          <w:p w:rsidR="00CD3A41" w:rsidRPr="00DA5B8F" w:rsidP="00706AF2">
            <w:pPr>
              <w:pStyle w:val="BodyText"/>
              <w:bidi w:val="0"/>
              <w:spacing w:before="0" w:line="240" w:lineRule="auto"/>
              <w:ind w:firstLine="0"/>
              <w:jc w:val="left"/>
              <w:rPr>
                <w:rFonts w:ascii="Times New Roman" w:hAnsi="Times New Roman"/>
                <w:sz w:val="24"/>
                <w:szCs w:val="24"/>
              </w:rPr>
            </w:pPr>
            <w:r w:rsidRPr="00DA5B8F">
              <w:rPr>
                <w:rFonts w:ascii="Times New Roman" w:hAnsi="Times New Roman"/>
                <w:sz w:val="24"/>
                <w:szCs w:val="24"/>
              </w:rPr>
              <w:t>Zmluvy o bezodplatnom prevode akcií vodárenských spoločností na mestá a</w:t>
            </w:r>
            <w:r w:rsidR="00F46C00">
              <w:rPr>
                <w:rFonts w:ascii="Times New Roman" w:hAnsi="Times New Roman"/>
                <w:sz w:val="24"/>
                <w:szCs w:val="24"/>
              </w:rPr>
              <w:t> </w:t>
            </w:r>
            <w:r w:rsidRPr="00DA5B8F">
              <w:rPr>
                <w:rFonts w:ascii="Times New Roman" w:hAnsi="Times New Roman"/>
                <w:sz w:val="24"/>
                <w:szCs w:val="24"/>
              </w:rPr>
              <w:t>obce</w:t>
            </w:r>
          </w:p>
        </w:tc>
        <w:tc>
          <w:tcPr>
            <w:tcW w:w="1192" w:type="dxa"/>
            <w:tcBorders>
              <w:top w:val="single" w:sz="4" w:space="0" w:color="999999"/>
              <w:left w:val="nil"/>
              <w:bottom w:val="double" w:sz="6" w:space="0" w:color="999999"/>
              <w:right w:val="nil"/>
            </w:tcBorders>
            <w:textDirection w:val="lrTb"/>
            <w:vAlign w:val="center"/>
          </w:tcPr>
          <w:p w:rsidR="00CD3A41" w:rsidRPr="00DA5B8F" w:rsidP="00706AF2">
            <w:pPr>
              <w:pStyle w:val="BodyText"/>
              <w:bidi w:val="0"/>
              <w:spacing w:before="0" w:line="240" w:lineRule="auto"/>
              <w:ind w:firstLine="0"/>
              <w:jc w:val="right"/>
              <w:rPr>
                <w:rFonts w:ascii="Times New Roman" w:hAnsi="Times New Roman"/>
                <w:sz w:val="24"/>
                <w:szCs w:val="24"/>
              </w:rPr>
            </w:pPr>
            <w:r w:rsidRPr="00DA5B8F">
              <w:rPr>
                <w:rFonts w:ascii="Times New Roman" w:hAnsi="Times New Roman"/>
                <w:sz w:val="24"/>
                <w:szCs w:val="24"/>
              </w:rPr>
              <w:t>75 772,77</w:t>
            </w:r>
          </w:p>
        </w:tc>
        <w:tc>
          <w:tcPr>
            <w:tcW w:w="1176" w:type="dxa"/>
            <w:tcBorders>
              <w:top w:val="single" w:sz="4" w:space="0" w:color="999999"/>
              <w:left w:val="nil"/>
              <w:bottom w:val="double" w:sz="6" w:space="0" w:color="999999"/>
              <w:right w:val="nil"/>
            </w:tcBorders>
            <w:textDirection w:val="lrTb"/>
            <w:vAlign w:val="center"/>
          </w:tcPr>
          <w:p w:rsidR="00CD3A41" w:rsidRPr="00DA5B8F" w:rsidP="00706AF2">
            <w:pPr>
              <w:pStyle w:val="BodyText"/>
              <w:bidi w:val="0"/>
              <w:spacing w:before="0" w:line="240" w:lineRule="auto"/>
              <w:ind w:firstLine="0"/>
              <w:jc w:val="center"/>
              <w:rPr>
                <w:rFonts w:ascii="Times New Roman" w:hAnsi="Times New Roman"/>
                <w:sz w:val="24"/>
                <w:szCs w:val="24"/>
              </w:rPr>
            </w:pPr>
            <w:r w:rsidRPr="00DA5B8F">
              <w:rPr>
                <w:rFonts w:ascii="Times New Roman" w:hAnsi="Times New Roman"/>
                <w:sz w:val="24"/>
                <w:szCs w:val="24"/>
              </w:rPr>
              <w:t>2</w:t>
            </w:r>
          </w:p>
        </w:tc>
      </w:tr>
      <w:tr>
        <w:tblPrEx>
          <w:tblW w:w="9495" w:type="dxa"/>
          <w:jc w:val="center"/>
          <w:tblCellMar>
            <w:left w:w="70" w:type="dxa"/>
            <w:right w:w="70" w:type="dxa"/>
          </w:tblCellMar>
        </w:tblPrEx>
        <w:trPr>
          <w:trHeight w:val="447"/>
          <w:jc w:val="center"/>
        </w:trPr>
        <w:tc>
          <w:tcPr>
            <w:tcW w:w="7127" w:type="dxa"/>
            <w:tcBorders>
              <w:top w:val="double" w:sz="6" w:space="0" w:color="999999"/>
              <w:left w:val="nil"/>
              <w:bottom w:val="single" w:sz="4" w:space="0" w:color="999999"/>
              <w:right w:val="nil"/>
            </w:tcBorders>
            <w:shd w:val="clear" w:color="auto" w:fill="CCCCFF"/>
            <w:textDirection w:val="lrTb"/>
            <w:vAlign w:val="center"/>
          </w:tcPr>
          <w:p w:rsidR="00CD3A41" w:rsidRPr="00DA5B8F" w:rsidP="00706AF2">
            <w:pPr>
              <w:pStyle w:val="BodyText"/>
              <w:bidi w:val="0"/>
              <w:spacing w:before="0" w:line="240" w:lineRule="auto"/>
              <w:ind w:firstLine="0"/>
              <w:jc w:val="left"/>
              <w:rPr>
                <w:rFonts w:ascii="Times New Roman" w:hAnsi="Times New Roman"/>
                <w:b/>
                <w:bCs/>
                <w:sz w:val="24"/>
                <w:szCs w:val="24"/>
              </w:rPr>
            </w:pPr>
            <w:r w:rsidRPr="00DA5B8F">
              <w:rPr>
                <w:rFonts w:ascii="Times New Roman" w:hAnsi="Times New Roman"/>
                <w:b/>
                <w:bCs/>
                <w:sz w:val="24"/>
                <w:szCs w:val="24"/>
              </w:rPr>
              <w:t>Spolu:</w:t>
            </w:r>
          </w:p>
        </w:tc>
        <w:tc>
          <w:tcPr>
            <w:tcW w:w="1192" w:type="dxa"/>
            <w:tcBorders>
              <w:top w:val="double" w:sz="6" w:space="0" w:color="999999"/>
              <w:left w:val="nil"/>
              <w:bottom w:val="single" w:sz="4" w:space="0" w:color="999999"/>
              <w:right w:val="nil"/>
            </w:tcBorders>
            <w:shd w:val="clear" w:color="auto" w:fill="CCCCFF"/>
            <w:textDirection w:val="lrTb"/>
            <w:vAlign w:val="center"/>
          </w:tcPr>
          <w:p w:rsidR="00CD3A41" w:rsidRPr="00DA5B8F" w:rsidP="00706AF2">
            <w:pPr>
              <w:pStyle w:val="BodyText"/>
              <w:bidi w:val="0"/>
              <w:spacing w:before="0" w:line="240" w:lineRule="auto"/>
              <w:ind w:firstLine="0"/>
              <w:jc w:val="right"/>
              <w:rPr>
                <w:rFonts w:ascii="Times New Roman" w:hAnsi="Times New Roman"/>
                <w:b/>
                <w:bCs/>
                <w:sz w:val="24"/>
                <w:szCs w:val="24"/>
              </w:rPr>
            </w:pPr>
            <w:r w:rsidRPr="00DA5B8F">
              <w:rPr>
                <w:rFonts w:ascii="Times New Roman" w:hAnsi="Times New Roman"/>
                <w:b/>
                <w:bCs/>
                <w:sz w:val="24"/>
                <w:szCs w:val="24"/>
              </w:rPr>
              <w:t>75 772,77</w:t>
            </w:r>
          </w:p>
        </w:tc>
        <w:tc>
          <w:tcPr>
            <w:tcW w:w="1176" w:type="dxa"/>
            <w:tcBorders>
              <w:top w:val="double" w:sz="6" w:space="0" w:color="999999"/>
              <w:left w:val="nil"/>
              <w:bottom w:val="single" w:sz="4" w:space="0" w:color="999999"/>
              <w:right w:val="nil"/>
            </w:tcBorders>
            <w:shd w:val="clear" w:color="auto" w:fill="CCCCFF"/>
            <w:textDirection w:val="lrTb"/>
            <w:vAlign w:val="center"/>
          </w:tcPr>
          <w:p w:rsidR="00CD3A41" w:rsidRPr="00DA5B8F" w:rsidP="00706AF2">
            <w:pPr>
              <w:pStyle w:val="BodyText"/>
              <w:bidi w:val="0"/>
              <w:spacing w:before="0" w:line="240" w:lineRule="auto"/>
              <w:ind w:firstLine="0"/>
              <w:jc w:val="center"/>
              <w:rPr>
                <w:rFonts w:ascii="Times New Roman" w:hAnsi="Times New Roman"/>
                <w:b/>
                <w:bCs/>
                <w:sz w:val="24"/>
                <w:szCs w:val="24"/>
              </w:rPr>
            </w:pPr>
            <w:r w:rsidRPr="00DA5B8F">
              <w:rPr>
                <w:rFonts w:ascii="Times New Roman" w:hAnsi="Times New Roman"/>
                <w:b/>
                <w:bCs/>
                <w:sz w:val="24"/>
                <w:szCs w:val="24"/>
              </w:rPr>
              <w:t>2</w:t>
            </w:r>
          </w:p>
        </w:tc>
      </w:tr>
    </w:tbl>
    <w:p w:rsidR="00CD3A41" w:rsidRPr="00DA5B8F" w:rsidP="00CD3A41">
      <w:pPr>
        <w:pStyle w:val="Odsek1"/>
        <w:numPr>
          <w:numId w:val="0"/>
        </w:numPr>
        <w:tabs>
          <w:tab w:val="clear" w:pos="720"/>
        </w:tabs>
        <w:bidi w:val="0"/>
        <w:spacing w:before="20" w:line="264" w:lineRule="auto"/>
        <w:ind w:left="357" w:firstLine="0"/>
        <w:jc w:val="both"/>
        <w:rPr>
          <w:rFonts w:ascii="Times New Roman" w:hAnsi="Times New Roman"/>
          <w:lang w:val="sk-SK"/>
        </w:rPr>
      </w:pPr>
    </w:p>
    <w:p w:rsidR="002C3B67" w:rsidRPr="00DA5B8F">
      <w:pPr>
        <w:pStyle w:val="Header"/>
        <w:numPr>
          <w:ilvl w:val="1"/>
          <w:numId w:val="11"/>
        </w:numPr>
        <w:shd w:val="clear" w:color="auto" w:fill="E6E6E6"/>
        <w:tabs>
          <w:tab w:val="clear" w:pos="4703"/>
          <w:tab w:val="clear" w:pos="9406"/>
        </w:tabs>
        <w:bidi w:val="0"/>
        <w:spacing w:before="360" w:after="240"/>
        <w:ind w:left="703" w:hanging="703"/>
        <w:jc w:val="both"/>
        <w:rPr>
          <w:rFonts w:ascii="Times New Roman" w:hAnsi="Times New Roman"/>
          <w:b/>
          <w:bCs/>
          <w:lang w:val="sk-SK"/>
        </w:rPr>
      </w:pPr>
      <w:r w:rsidRPr="00DA5B8F">
        <w:rPr>
          <w:rFonts w:ascii="Times New Roman" w:hAnsi="Times New Roman"/>
          <w:b/>
          <w:bCs/>
          <w:lang w:val="sk-SK"/>
        </w:rPr>
        <w:t>Monitorovanie pohľadávok, likvidácie, exekúcie a konkurzy</w:t>
      </w:r>
    </w:p>
    <w:p w:rsidR="002C3B67" w:rsidRPr="00DA5B8F" w:rsidP="00F46C00">
      <w:pPr>
        <w:bidi w:val="0"/>
        <w:spacing w:before="120" w:line="264" w:lineRule="auto"/>
        <w:jc w:val="both"/>
        <w:rPr>
          <w:rFonts w:ascii="Times New Roman" w:hAnsi="Times New Roman"/>
          <w:lang w:val="sk-SK"/>
        </w:rPr>
      </w:pPr>
      <w:r w:rsidRPr="00DA5B8F">
        <w:rPr>
          <w:rFonts w:ascii="Times New Roman" w:hAnsi="Times New Roman"/>
          <w:lang w:val="sk-SK"/>
        </w:rPr>
        <w:t>Tak ako po minulé roky, aj v roku 201</w:t>
      </w:r>
      <w:r w:rsidRPr="00DA5B8F" w:rsidR="005E1F7F">
        <w:rPr>
          <w:rFonts w:ascii="Times New Roman" w:hAnsi="Times New Roman"/>
          <w:lang w:val="sk-SK"/>
        </w:rPr>
        <w:t>4</w:t>
      </w:r>
      <w:r w:rsidRPr="00DA5B8F">
        <w:rPr>
          <w:rFonts w:ascii="Times New Roman" w:hAnsi="Times New Roman"/>
          <w:lang w:val="sk-SK"/>
        </w:rPr>
        <w:t xml:space="preserve"> fond zabezpečoval činnosti spočívajúce v monitorovaní pohľadávok, záväzkov a povinností vyplývajúcich zo zmlúv o predaji majetku, resp. akcií a nájomných zmlúv</w:t>
      </w:r>
      <w:r w:rsidRPr="00DA5B8F" w:rsidR="00B44E32">
        <w:rPr>
          <w:rFonts w:ascii="Times New Roman" w:hAnsi="Times New Roman"/>
          <w:lang w:val="sk-SK"/>
        </w:rPr>
        <w:t xml:space="preserve">. </w:t>
      </w:r>
      <w:r w:rsidRPr="00DA5B8F">
        <w:rPr>
          <w:rFonts w:ascii="Times New Roman" w:hAnsi="Times New Roman"/>
          <w:lang w:val="sk-SK"/>
        </w:rPr>
        <w:t>V tejto oblasti možno medzi hlavné úlohy radiť:</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sledovanie plnenia podmienok zmlúv kupujúcimi, sledovanie plnenia podmienok nájomných zmlúv po odstúpení od kúpnej zmluvy,</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vypracovanie materiálov ohľadne žiadostí nadobúdateľov privatizovaného majetku podľa § 19a zákona o privatizácii a materiálov ohľadne žiadostí nájomcov v súlade s nájomnými zmluvami – žiadostí o súhlas s nakladaním s majetkom a vydanie súhlasov,</w:t>
      </w:r>
    </w:p>
    <w:p w:rsidR="002C3B67" w:rsidRPr="00DA5B8F" w:rsidP="00F46C00">
      <w:pPr>
        <w:pStyle w:val="Odsek1"/>
        <w:bidi w:val="0"/>
        <w:spacing w:before="20" w:line="264" w:lineRule="auto"/>
        <w:ind w:hanging="540"/>
        <w:jc w:val="both"/>
        <w:rPr>
          <w:rFonts w:ascii="Times New Roman" w:hAnsi="Times New Roman"/>
          <w:b/>
          <w:bCs/>
          <w:lang w:val="sk-SK"/>
        </w:rPr>
      </w:pPr>
      <w:r w:rsidRPr="00DA5B8F">
        <w:rPr>
          <w:rFonts w:ascii="Times New Roman" w:hAnsi="Times New Roman"/>
          <w:lang w:val="sk-SK"/>
        </w:rPr>
        <w:t>vypracovanie materiálov ohľadne žiadostí nadobúdateľov privatizovaného majetku o zmenu podmienok zmluvy,</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kontrola plnenia záväzkov zo záložných zmlúv a uvoľňovanie majetku, resp. akcií zo záložného práva,</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inventarizácia pohľadávok fondu v zmysle zákona o účtovníctve v požadovanom členení a inventarizácia záložného práva v súlade s realizačnými a záložnými zmluvami,</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poskytovanie všetkých potrebných informácií a podkladov - aktuálnej výšky pohľadávok, plnenia zmluvy, stavu a nakladania s privatizovaným majetkom podľa § 19a zákona o privatizácii v prípadoch: neplnenia zmluvných podmienok kupujúcimi, vstupu spoločností do likvidácie, konkurzu, exekúcie, postúpenia pohľadávok, príprave trvalého upustenia od vymáhania pohľadávok a súdnych sporov.</w:t>
      </w:r>
    </w:p>
    <w:p w:rsidR="002C3B67" w:rsidRPr="00DA5B8F" w:rsidP="00F46C00">
      <w:pPr>
        <w:bidi w:val="0"/>
        <w:spacing w:before="120" w:line="264" w:lineRule="auto"/>
        <w:jc w:val="both"/>
        <w:rPr>
          <w:rFonts w:ascii="Times New Roman" w:hAnsi="Times New Roman"/>
          <w:lang w:val="sk-SK"/>
        </w:rPr>
      </w:pPr>
      <w:r w:rsidRPr="00DA5B8F">
        <w:rPr>
          <w:rFonts w:ascii="Times New Roman" w:hAnsi="Times New Roman"/>
          <w:lang w:val="sk-SK"/>
        </w:rPr>
        <w:t>V oblasti vymáhania pohľadávok, odstupovania od zmlúv a konkurzov sa činnosť fondu zameriavala predovšetkým na mimosúdne vymáhanie pohľadávok fondu a na prípravu pri uplatňovaní jeho nárokov na súdoch, ako aj na prípravu na trvalé upustenie od vymáhania pohľadávok. Ťažiskom mimosúdneho vymáhania pohľadávok fondu sú prevažne pohľadávky zo</w:t>
      </w:r>
      <w:r w:rsidRPr="00DA5B8F" w:rsidR="005E1F7F">
        <w:rPr>
          <w:rFonts w:ascii="Times New Roman" w:hAnsi="Times New Roman"/>
          <w:lang w:val="sk-SK"/>
        </w:rPr>
        <w:t> </w:t>
      </w:r>
      <w:r w:rsidRPr="00DA5B8F">
        <w:rPr>
          <w:rFonts w:ascii="Times New Roman" w:hAnsi="Times New Roman"/>
          <w:lang w:val="sk-SK"/>
        </w:rPr>
        <w:t>zmlúv uzavretých v rámci privatizačného procesu. Keďže väčšina kúpnych zmlúv bola po</w:t>
      </w:r>
      <w:r w:rsidRPr="00DA5B8F" w:rsidR="005E1F7F">
        <w:rPr>
          <w:rFonts w:ascii="Times New Roman" w:hAnsi="Times New Roman"/>
          <w:lang w:val="sk-SK"/>
        </w:rPr>
        <w:t> </w:t>
      </w:r>
      <w:r w:rsidRPr="00DA5B8F">
        <w:rPr>
          <w:rFonts w:ascii="Times New Roman" w:hAnsi="Times New Roman"/>
          <w:lang w:val="sk-SK"/>
        </w:rPr>
        <w:t>splnení všetkých zmluvných podmienok ukončená, k zvyšovaniu pohľadávok, čo do ich počtu a výšky, v podstate už nedochádza.</w:t>
      </w:r>
    </w:p>
    <w:p w:rsidR="002C3B67" w:rsidRPr="00DA5B8F" w:rsidP="00F46C00">
      <w:pPr>
        <w:bidi w:val="0"/>
        <w:spacing w:before="120" w:line="264" w:lineRule="auto"/>
        <w:jc w:val="both"/>
        <w:rPr>
          <w:rFonts w:ascii="Times New Roman" w:hAnsi="Times New Roman"/>
          <w:lang w:val="sk-SK"/>
        </w:rPr>
      </w:pPr>
      <w:r w:rsidRPr="00DA5B8F">
        <w:rPr>
          <w:rFonts w:ascii="Times New Roman" w:hAnsi="Times New Roman"/>
          <w:lang w:val="sk-SK"/>
        </w:rPr>
        <w:t>Fond v roku 201</w:t>
      </w:r>
      <w:r w:rsidRPr="00DA5B8F" w:rsidR="005E1F7F">
        <w:rPr>
          <w:rFonts w:ascii="Times New Roman" w:hAnsi="Times New Roman"/>
          <w:lang w:val="sk-SK"/>
        </w:rPr>
        <w:t>4</w:t>
      </w:r>
      <w:r w:rsidRPr="00DA5B8F">
        <w:rPr>
          <w:rFonts w:ascii="Times New Roman" w:hAnsi="Times New Roman"/>
          <w:lang w:val="sk-SK"/>
        </w:rPr>
        <w:t xml:space="preserve"> vo svojom majetku evidoval majetok z odstúpenia, ktorý sa týka 6 prípadov odstúpenia od zmluvy, realizovaných pred rokom 201</w:t>
      </w:r>
      <w:r w:rsidRPr="00DA5B8F" w:rsidR="005E1F7F">
        <w:rPr>
          <w:rFonts w:ascii="Times New Roman" w:hAnsi="Times New Roman"/>
          <w:lang w:val="sk-SK"/>
        </w:rPr>
        <w:t>4</w:t>
      </w:r>
      <w:r w:rsidRPr="00DA5B8F">
        <w:rPr>
          <w:rFonts w:ascii="Times New Roman" w:hAnsi="Times New Roman"/>
          <w:lang w:val="sk-SK"/>
        </w:rPr>
        <w:t>. Celková účtovná hodnota prenajatého majetku k 31. 12. 201</w:t>
      </w:r>
      <w:r w:rsidRPr="00DA5B8F" w:rsidR="005E1F7F">
        <w:rPr>
          <w:rFonts w:ascii="Times New Roman" w:hAnsi="Times New Roman"/>
          <w:lang w:val="sk-SK"/>
        </w:rPr>
        <w:t>4</w:t>
      </w:r>
      <w:r w:rsidRPr="00DA5B8F">
        <w:rPr>
          <w:rFonts w:ascii="Times New Roman" w:hAnsi="Times New Roman"/>
          <w:lang w:val="sk-SK"/>
        </w:rPr>
        <w:t xml:space="preserve"> predstavovala sumu 1 988 tis. Eur.</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mimosúdnom vymáhaní pohľadávok formou konkurzov, exekúcií a likvidácií, v rámci svojej činnosti v roku 201</w:t>
      </w:r>
      <w:r w:rsidRPr="00DA5B8F" w:rsidR="005E1F7F">
        <w:rPr>
          <w:rFonts w:ascii="Times New Roman" w:hAnsi="Times New Roman"/>
        </w:rPr>
        <w:t>4</w:t>
      </w:r>
      <w:r w:rsidRPr="00DA5B8F">
        <w:rPr>
          <w:rFonts w:ascii="Times New Roman" w:hAnsi="Times New Roman"/>
        </w:rPr>
        <w:t>, spravoval fond klasifikované pohľadávky fondu po lehote splatnosti podľa stavu k 31. 12. 201</w:t>
      </w:r>
      <w:r w:rsidRPr="00DA5B8F" w:rsidR="005E1F7F">
        <w:rPr>
          <w:rFonts w:ascii="Times New Roman" w:hAnsi="Times New Roman"/>
        </w:rPr>
        <w:t>4</w:t>
      </w:r>
      <w:r w:rsidRPr="00DA5B8F">
        <w:rPr>
          <w:rFonts w:ascii="Times New Roman" w:hAnsi="Times New Roman"/>
        </w:rPr>
        <w:t xml:space="preserve"> v objeme </w:t>
      </w:r>
      <w:r w:rsidRPr="00DA5B8F" w:rsidR="005E1F7F">
        <w:rPr>
          <w:rFonts w:ascii="Times New Roman" w:hAnsi="Times New Roman"/>
        </w:rPr>
        <w:t>49</w:t>
      </w:r>
      <w:r w:rsidRPr="00DA5B8F">
        <w:rPr>
          <w:rFonts w:ascii="Times New Roman" w:hAnsi="Times New Roman"/>
        </w:rPr>
        <w:t> </w:t>
      </w:r>
      <w:r w:rsidRPr="00DA5B8F" w:rsidR="005E1F7F">
        <w:rPr>
          <w:rFonts w:ascii="Times New Roman" w:hAnsi="Times New Roman"/>
        </w:rPr>
        <w:t>439</w:t>
      </w:r>
      <w:r w:rsidRPr="00DA5B8F">
        <w:rPr>
          <w:rFonts w:ascii="Times New Roman" w:hAnsi="Times New Roman"/>
        </w:rPr>
        <w:t> tis. Eur, z toho:</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pohľadávk</w:t>
      </w:r>
      <w:r w:rsidRPr="00DA5B8F" w:rsidR="005E1F7F">
        <w:rPr>
          <w:rFonts w:ascii="Times New Roman" w:hAnsi="Times New Roman"/>
          <w:lang w:val="sk-SK"/>
        </w:rPr>
        <w:t>y</w:t>
      </w:r>
      <w:r w:rsidRPr="00DA5B8F">
        <w:rPr>
          <w:rFonts w:ascii="Times New Roman" w:hAnsi="Times New Roman"/>
          <w:lang w:val="sk-SK"/>
        </w:rPr>
        <w:t xml:space="preserve"> v konkurzoch, exekúciách a likvidáciách v hodnote </w:t>
      </w:r>
      <w:r w:rsidRPr="00DA5B8F" w:rsidR="005E1F7F">
        <w:rPr>
          <w:rFonts w:ascii="Times New Roman" w:hAnsi="Times New Roman"/>
          <w:lang w:val="sk-SK"/>
        </w:rPr>
        <w:t>36</w:t>
      </w:r>
      <w:r w:rsidRPr="00DA5B8F">
        <w:rPr>
          <w:rFonts w:ascii="Times New Roman" w:hAnsi="Times New Roman"/>
          <w:lang w:val="sk-SK"/>
        </w:rPr>
        <w:t> </w:t>
      </w:r>
      <w:r w:rsidRPr="00DA5B8F" w:rsidR="005E1F7F">
        <w:rPr>
          <w:rFonts w:ascii="Times New Roman" w:hAnsi="Times New Roman"/>
          <w:lang w:val="sk-SK"/>
        </w:rPr>
        <w:t>841</w:t>
      </w:r>
      <w:r w:rsidRPr="00DA5B8F">
        <w:rPr>
          <w:rFonts w:ascii="Times New Roman" w:hAnsi="Times New Roman"/>
          <w:lang w:val="sk-SK"/>
        </w:rPr>
        <w:t> tis. Eur,</w:t>
      </w:r>
    </w:p>
    <w:p w:rsidR="002C3B67" w:rsidRPr="00DA5B8F" w:rsidP="00F46C00">
      <w:pPr>
        <w:pStyle w:val="Odsek1"/>
        <w:bidi w:val="0"/>
        <w:spacing w:before="20" w:line="264" w:lineRule="auto"/>
        <w:ind w:hanging="540"/>
        <w:rPr>
          <w:rFonts w:ascii="Times New Roman" w:hAnsi="Times New Roman"/>
          <w:lang w:val="sk-SK"/>
        </w:rPr>
      </w:pPr>
      <w:r w:rsidRPr="00DA5B8F">
        <w:rPr>
          <w:rFonts w:ascii="Times New Roman" w:hAnsi="Times New Roman"/>
          <w:lang w:val="sk-SK"/>
        </w:rPr>
        <w:t>pohľadávk</w:t>
      </w:r>
      <w:r w:rsidRPr="00DA5B8F" w:rsidR="0088588F">
        <w:rPr>
          <w:rFonts w:ascii="Times New Roman" w:hAnsi="Times New Roman"/>
          <w:lang w:val="sk-SK"/>
        </w:rPr>
        <w:t xml:space="preserve">y </w:t>
      </w:r>
      <w:r w:rsidRPr="00DA5B8F">
        <w:rPr>
          <w:rFonts w:ascii="Times New Roman" w:hAnsi="Times New Roman"/>
          <w:lang w:val="sk-SK"/>
        </w:rPr>
        <w:t xml:space="preserve">v príprave na trvalé upustenie od vymáhania a ich účtovný odpis v hodnote </w:t>
      </w:r>
      <w:r w:rsidRPr="00DA5B8F" w:rsidR="0088588F">
        <w:rPr>
          <w:rFonts w:ascii="Times New Roman" w:hAnsi="Times New Roman"/>
          <w:lang w:val="sk-SK"/>
        </w:rPr>
        <w:t>555</w:t>
      </w:r>
      <w:r w:rsidRPr="00DA5B8F">
        <w:rPr>
          <w:rFonts w:ascii="Times New Roman" w:hAnsi="Times New Roman"/>
          <w:lang w:val="sk-SK"/>
        </w:rPr>
        <w:t> tis. Eur</w:t>
      </w:r>
      <w:r w:rsidRPr="00DA5B8F" w:rsidR="0088588F">
        <w:rPr>
          <w:rFonts w:ascii="Times New Roman" w:hAnsi="Times New Roman"/>
          <w:lang w:val="sk-SK"/>
        </w:rPr>
        <w:t>,</w:t>
      </w:r>
    </w:p>
    <w:p w:rsidR="0088588F" w:rsidRPr="00DA5B8F" w:rsidP="00F46C00">
      <w:pPr>
        <w:pStyle w:val="Odsek1"/>
        <w:bidi w:val="0"/>
        <w:spacing w:before="20" w:line="264" w:lineRule="auto"/>
        <w:ind w:hanging="540"/>
        <w:rPr>
          <w:rFonts w:ascii="Times New Roman" w:hAnsi="Times New Roman"/>
          <w:lang w:val="sk-SK"/>
        </w:rPr>
      </w:pPr>
      <w:r w:rsidRPr="00DA5B8F">
        <w:rPr>
          <w:rFonts w:ascii="Times New Roman" w:hAnsi="Times New Roman"/>
          <w:lang w:val="sk-SK"/>
        </w:rPr>
        <w:t>pohľadávky v súdnych sporoch v objeme 12 042 tis. Eur.</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súvislosti so starostlivosťou o vyššie uvedené pohľadávky sa v roku 201</w:t>
      </w:r>
      <w:r w:rsidRPr="00DA5B8F" w:rsidR="0088588F">
        <w:rPr>
          <w:rFonts w:ascii="Times New Roman" w:hAnsi="Times New Roman"/>
        </w:rPr>
        <w:t>4</w:t>
      </w:r>
      <w:r w:rsidRPr="00DA5B8F">
        <w:rPr>
          <w:rFonts w:ascii="Times New Roman" w:hAnsi="Times New Roman"/>
        </w:rPr>
        <w:t xml:space="preserve"> činnosť fondu v tejto oblasti zamerala najmä na:</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vykonávanie procesno-právnych krokov pri spravovaní pohľadávok uplatnených v už prebiehajúcich konkurzoch,</w:t>
      </w:r>
    </w:p>
    <w:p w:rsidR="0088588F"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uplatňovanie pohľadávok fondu formou podávania návrhov na výkon exekúcie,</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komunikáciu s konkurznými súdmi, správcami konkurznej podstaty a exekútorskými úradmi,</w:t>
      </w:r>
    </w:p>
    <w:p w:rsidR="00C833F3"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 xml:space="preserve">podávaní návrhov na zastavenie exekúcií v zmysle príslušných ustanovení Exekučného poriadku, </w:t>
      </w:r>
    </w:p>
    <w:p w:rsidR="00B1606A"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spoluprácu a zabezpečovanie podkladov od konateľov, resp. likvidátorov spoločností s majetkovou účasťou fondu za účelom výplaty likvidačných zostatkov na účet fondu v zmysle záverov schválených mimoriadnym VZ spoločností v likvidácií,</w:t>
      </w:r>
    </w:p>
    <w:p w:rsidR="00B1606A"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poskytovanie podkladov, informácií, stanovísk a vyjadrení k žiadostiam súdov</w:t>
      </w:r>
      <w:r w:rsidRPr="00DA5B8F" w:rsidR="000C1830">
        <w:rPr>
          <w:rFonts w:ascii="Times New Roman" w:hAnsi="Times New Roman"/>
          <w:lang w:val="sk-SK"/>
        </w:rPr>
        <w:t>, exekútorských úradov</w:t>
      </w:r>
      <w:r w:rsidRPr="00DA5B8F">
        <w:rPr>
          <w:rFonts w:ascii="Times New Roman" w:hAnsi="Times New Roman"/>
          <w:lang w:val="sk-SK"/>
        </w:rPr>
        <w:t xml:space="preserve"> v súvislosti s pohľadávkami uplatnenými v konkurzoch, exekúciách a likvidáciách,</w:t>
      </w:r>
    </w:p>
    <w:p w:rsidR="000C1830"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iCs/>
          <w:lang w:val="sk-SK"/>
        </w:rPr>
        <w:t>poskytovanie podkladov, resp. informácií pre žiadateľov v súvislosti s uplatňovaním zákona č. 211/2000 Z. z. v znení neskorších predpisov o slobode informácií.</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poskytovanie súčinnosti orgánom činným v trestnom konaní v súvislosti s pohľadávkami uplatnenými v konkurze, resp. exekúcii,</w:t>
      </w:r>
    </w:p>
    <w:p w:rsidR="002C3B67" w:rsidRPr="00DA5B8F" w:rsidP="00F46C00">
      <w:pPr>
        <w:pStyle w:val="Odsek1"/>
        <w:bidi w:val="0"/>
        <w:spacing w:before="20" w:line="264" w:lineRule="auto"/>
        <w:ind w:hanging="540"/>
        <w:jc w:val="both"/>
        <w:rPr>
          <w:rFonts w:ascii="Times New Roman" w:hAnsi="Times New Roman"/>
          <w:lang w:val="sk-SK"/>
        </w:rPr>
      </w:pPr>
      <w:r w:rsidRPr="00DA5B8F">
        <w:rPr>
          <w:rFonts w:ascii="Times New Roman" w:hAnsi="Times New Roman"/>
          <w:lang w:val="sk-SK"/>
        </w:rPr>
        <w:t>vybavovanie korešpondencie súvisiacej so správou majetku s orgánmi štátnej správy a samosprávy (napr. miestne dane, poplatky, správy katastra a pod.).</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oblasti monitorovania pohľadávok, likvidácií, exekúcií a konkurzov boli v roku 201</w:t>
      </w:r>
      <w:r w:rsidRPr="00DA5B8F" w:rsidR="000C1830">
        <w:rPr>
          <w:rFonts w:ascii="Times New Roman" w:hAnsi="Times New Roman"/>
        </w:rPr>
        <w:t>4</w:t>
      </w:r>
      <w:r w:rsidRPr="00DA5B8F">
        <w:rPr>
          <w:rFonts w:ascii="Times New Roman" w:hAnsi="Times New Roman"/>
        </w:rPr>
        <w:t xml:space="preserve"> orgánom fondu predložené na prerokovanie a schválenie materiály, predovšetkým:</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žiadosti nadobúdateľov privatizovaného majetku o vydanie súhlasu s nakladaním s privatizovaným majetkom,</w:t>
      </w:r>
    </w:p>
    <w:p w:rsidR="002C3B67"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návrhy o zmenu zmluvných podmienok, resp. o uznaní plnenia zmluvy,</w:t>
      </w:r>
    </w:p>
    <w:p w:rsidR="002C3B67"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informácie o stave konania v súdnych sporoch v gescii odboru monitorovania pohľadávok, likvidácií, exekúcií a konkurzov,</w:t>
      </w:r>
    </w:p>
    <w:p w:rsidR="002C3B67"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informácie o stave, priebehu a vykonaných právnych krokoch v konkurzných konaniach,</w:t>
      </w:r>
    </w:p>
    <w:p w:rsidR="002C3B67"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návrhy postupu pri vymáhaní pohľadávok, informácie o priebehu konkurzného, resp. exekučného konania.</w:t>
      </w:r>
    </w:p>
    <w:p w:rsidR="00317F48"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priebehu roka 2014 fond vysporiadal časť nedobytných pohľadávok, ktoré spĺňali zákonný predpoklad na ich odpis z účtovníctva fondu v zmysle ustanovenia § 19 ods. h) zákona č.</w:t>
      </w:r>
      <w:r w:rsidRPr="00DA5B8F" w:rsidR="00FD3ED5">
        <w:rPr>
          <w:rFonts w:ascii="Times New Roman" w:hAnsi="Times New Roman"/>
        </w:rPr>
        <w:t> </w:t>
      </w:r>
      <w:r w:rsidRPr="00DA5B8F">
        <w:rPr>
          <w:rFonts w:ascii="Times New Roman" w:hAnsi="Times New Roman"/>
        </w:rPr>
        <w:t xml:space="preserve">595/2003 Z. z. o dani z príjmov v znení neskorších predpisov a interných predpisov fondu. </w:t>
      </w:r>
      <w:r w:rsidRPr="00DA5B8F" w:rsidR="00FD3ED5">
        <w:rPr>
          <w:rFonts w:ascii="Times New Roman" w:hAnsi="Times New Roman"/>
        </w:rPr>
        <w:t>Išlo</w:t>
      </w:r>
      <w:r w:rsidRPr="00DA5B8F">
        <w:rPr>
          <w:rFonts w:ascii="Times New Roman" w:hAnsi="Times New Roman"/>
        </w:rPr>
        <w:t xml:space="preserve"> o pohľadávky z privatizačných zmlúv, kde došlo k právoplatnému ukončeniu konkurzného konania a následne, v niektorých prípadoch, aj k</w:t>
      </w:r>
      <w:r w:rsidRPr="00DA5B8F" w:rsidR="00643421">
        <w:rPr>
          <w:rFonts w:ascii="Times New Roman" w:hAnsi="Times New Roman"/>
        </w:rPr>
        <w:t> </w:t>
      </w:r>
      <w:r w:rsidRPr="00DA5B8F">
        <w:rPr>
          <w:rFonts w:ascii="Times New Roman" w:hAnsi="Times New Roman"/>
        </w:rPr>
        <w:t>ex</w:t>
      </w:r>
      <w:r w:rsidRPr="00DA5B8F" w:rsidR="00643421">
        <w:rPr>
          <w:rFonts w:ascii="Times New Roman" w:hAnsi="Times New Roman"/>
        </w:rPr>
        <w:t> </w:t>
      </w:r>
      <w:r w:rsidRPr="00DA5B8F">
        <w:rPr>
          <w:rFonts w:ascii="Times New Roman" w:hAnsi="Times New Roman"/>
        </w:rPr>
        <w:t>offo</w:t>
      </w:r>
      <w:r w:rsidRPr="00DA5B8F" w:rsidR="00643421">
        <w:rPr>
          <w:rFonts w:ascii="Times New Roman" w:hAnsi="Times New Roman"/>
        </w:rPr>
        <w:t xml:space="preserve"> </w:t>
      </w:r>
      <w:r w:rsidRPr="00DA5B8F">
        <w:rPr>
          <w:rFonts w:ascii="Times New Roman" w:hAnsi="Times New Roman"/>
        </w:rPr>
        <w:t>výmazu dlžníka z obchodného registra resp. k</w:t>
      </w:r>
      <w:r w:rsidRPr="00DA5B8F" w:rsidR="00643421">
        <w:rPr>
          <w:rFonts w:ascii="Times New Roman" w:hAnsi="Times New Roman"/>
        </w:rPr>
        <w:t> </w:t>
      </w:r>
      <w:r w:rsidRPr="00DA5B8F">
        <w:rPr>
          <w:rFonts w:ascii="Times New Roman" w:hAnsi="Times New Roman"/>
        </w:rPr>
        <w:t>ex</w:t>
      </w:r>
      <w:r w:rsidRPr="00DA5B8F" w:rsidR="00643421">
        <w:rPr>
          <w:rFonts w:ascii="Times New Roman" w:hAnsi="Times New Roman"/>
        </w:rPr>
        <w:t> </w:t>
      </w:r>
      <w:r w:rsidRPr="00DA5B8F">
        <w:rPr>
          <w:rFonts w:ascii="Times New Roman" w:hAnsi="Times New Roman"/>
        </w:rPr>
        <w:t>offo</w:t>
      </w:r>
      <w:r w:rsidRPr="00DA5B8F" w:rsidR="00643421">
        <w:rPr>
          <w:rFonts w:ascii="Times New Roman" w:hAnsi="Times New Roman"/>
        </w:rPr>
        <w:t xml:space="preserve"> </w:t>
      </w:r>
      <w:r w:rsidRPr="00DA5B8F">
        <w:rPr>
          <w:rFonts w:ascii="Times New Roman" w:hAnsi="Times New Roman"/>
        </w:rPr>
        <w:t>výmazu z obchodného registra z dôvodu právoplatného zrušenia spoločnosti dlžníka bez likvidácie alebo dlžník zomrel a</w:t>
      </w:r>
      <w:r w:rsidRPr="00DA5B8F" w:rsidR="00643421">
        <w:rPr>
          <w:rFonts w:ascii="Times New Roman" w:hAnsi="Times New Roman"/>
        </w:rPr>
        <w:t> </w:t>
      </w:r>
      <w:r w:rsidRPr="00DA5B8F">
        <w:rPr>
          <w:rFonts w:ascii="Times New Roman" w:hAnsi="Times New Roman"/>
        </w:rPr>
        <w:t>pohľadávka nemohla byť uspokojená ani v rámci dedičského konania.</w:t>
      </w:r>
    </w:p>
    <w:p w:rsidR="001D609E" w:rsidRPr="00DA5B8F" w:rsidP="00F46C00">
      <w:pPr>
        <w:pStyle w:val="BodyTextIndent1"/>
        <w:tabs>
          <w:tab w:val="clear" w:pos="540"/>
          <w:tab w:val="num" w:pos="993"/>
        </w:tabs>
        <w:overflowPunct/>
        <w:autoSpaceDE/>
        <w:autoSpaceDN/>
        <w:bidi w:val="0"/>
        <w:adjustRightInd/>
        <w:spacing w:line="264" w:lineRule="auto"/>
        <w:rPr>
          <w:rFonts w:ascii="Times New Roman" w:hAnsi="Times New Roman"/>
        </w:rPr>
      </w:pPr>
      <w:r w:rsidRPr="00DA5B8F" w:rsidR="002C3B67">
        <w:rPr>
          <w:rFonts w:ascii="Times New Roman" w:hAnsi="Times New Roman"/>
        </w:rPr>
        <w:t xml:space="preserve">V oblasti monitorovania pohľadávok, likvidácií, exekúcií a konkurzov </w:t>
      </w:r>
      <w:r w:rsidRPr="00DA5B8F" w:rsidR="00D0755B">
        <w:rPr>
          <w:rFonts w:ascii="Times New Roman" w:hAnsi="Times New Roman"/>
        </w:rPr>
        <w:t>bolo</w:t>
      </w:r>
      <w:r w:rsidRPr="00DA5B8F" w:rsidR="002C3B67">
        <w:rPr>
          <w:rFonts w:ascii="Times New Roman" w:hAnsi="Times New Roman"/>
        </w:rPr>
        <w:t xml:space="preserve"> sledovaných cca 150 zmlúv</w:t>
      </w:r>
      <w:r w:rsidRPr="00DA5B8F">
        <w:rPr>
          <w:rFonts w:ascii="Times New Roman" w:hAnsi="Times New Roman"/>
        </w:rPr>
        <w:t xml:space="preserve"> a to </w:t>
      </w:r>
      <w:r w:rsidRPr="00DA5B8F" w:rsidR="002C3B67">
        <w:rPr>
          <w:rFonts w:ascii="Times New Roman" w:hAnsi="Times New Roman"/>
        </w:rPr>
        <w:t>neukončené zmluvy o predaji majetku, resp. akcií,</w:t>
      </w:r>
      <w:r w:rsidRPr="00DA5B8F">
        <w:rPr>
          <w:rFonts w:ascii="Times New Roman" w:hAnsi="Times New Roman"/>
        </w:rPr>
        <w:t xml:space="preserve"> </w:t>
      </w:r>
      <w:r w:rsidRPr="00DA5B8F" w:rsidR="002C3B67">
        <w:rPr>
          <w:rFonts w:ascii="Times New Roman" w:hAnsi="Times New Roman"/>
        </w:rPr>
        <w:t>nájomné zmluvy na privatizovaný majetok vo vlastníctve fondu po odstúpení</w:t>
      </w:r>
      <w:r w:rsidRPr="00DA5B8F" w:rsidR="00FD3ED5">
        <w:rPr>
          <w:rFonts w:ascii="Times New Roman" w:hAnsi="Times New Roman"/>
        </w:rPr>
        <w:t>,</w:t>
      </w:r>
      <w:r w:rsidRPr="00DA5B8F">
        <w:rPr>
          <w:rFonts w:ascii="Times New Roman" w:hAnsi="Times New Roman"/>
        </w:rPr>
        <w:t xml:space="preserve"> </w:t>
      </w:r>
      <w:r w:rsidRPr="00DA5B8F" w:rsidR="002C3B67">
        <w:rPr>
          <w:rFonts w:ascii="Times New Roman" w:hAnsi="Times New Roman"/>
        </w:rPr>
        <w:t>zmluvy v režime konkurzov, likvidácií a</w:t>
      </w:r>
      <w:r w:rsidRPr="00DA5B8F">
        <w:rPr>
          <w:rFonts w:ascii="Times New Roman" w:hAnsi="Times New Roman"/>
        </w:rPr>
        <w:t> </w:t>
      </w:r>
      <w:r w:rsidRPr="00DA5B8F" w:rsidR="002C3B67">
        <w:rPr>
          <w:rFonts w:ascii="Times New Roman" w:hAnsi="Times New Roman"/>
        </w:rPr>
        <w:t>exekúcií</w:t>
      </w:r>
      <w:r w:rsidRPr="00DA5B8F">
        <w:rPr>
          <w:rFonts w:ascii="Times New Roman" w:hAnsi="Times New Roman"/>
        </w:rPr>
        <w:t xml:space="preserve"> a </w:t>
      </w:r>
      <w:r w:rsidRPr="00DA5B8F" w:rsidR="002C3B67">
        <w:rPr>
          <w:rFonts w:ascii="Times New Roman" w:hAnsi="Times New Roman"/>
        </w:rPr>
        <w:t>zmluvy v príprave na trvalé upustenie od vymáhania pohľadávok a odpis pohľadávok.</w:t>
      </w:r>
    </w:p>
    <w:p w:rsidR="001D609E" w:rsidRPr="00DA5B8F" w:rsidP="00F46C00">
      <w:pPr>
        <w:pStyle w:val="BodyTextIndent1"/>
        <w:tabs>
          <w:tab w:val="clear" w:pos="540"/>
          <w:tab w:val="num" w:pos="993"/>
        </w:tabs>
        <w:overflowPunct/>
        <w:autoSpaceDE/>
        <w:autoSpaceDN/>
        <w:bidi w:val="0"/>
        <w:adjustRightInd/>
        <w:spacing w:line="264" w:lineRule="auto"/>
        <w:rPr>
          <w:rFonts w:ascii="Times New Roman" w:hAnsi="Times New Roman"/>
        </w:rPr>
      </w:pPr>
      <w:r w:rsidRPr="00DA5B8F" w:rsidR="002C3B67">
        <w:rPr>
          <w:rFonts w:ascii="Times New Roman" w:hAnsi="Times New Roman"/>
        </w:rPr>
        <w:t>Zároveň sú sledované aj zmluvy o bezodplatnom prevode privatizovaného majetku, prevažne zdravotníckych zariadení na mestá a obce (v počte cca 1</w:t>
      </w:r>
      <w:r w:rsidRPr="00DA5B8F" w:rsidR="00D0755B">
        <w:rPr>
          <w:rFonts w:ascii="Times New Roman" w:hAnsi="Times New Roman"/>
        </w:rPr>
        <w:t>6</w:t>
      </w:r>
      <w:r w:rsidRPr="00DA5B8F" w:rsidR="002C3B67">
        <w:rPr>
          <w:rFonts w:ascii="Times New Roman" w:hAnsi="Times New Roman"/>
        </w:rPr>
        <w:t>0).</w:t>
      </w:r>
    </w:p>
    <w:p w:rsidR="002C3B67" w:rsidRPr="00DA5B8F">
      <w:pPr>
        <w:pStyle w:val="Header"/>
        <w:numPr>
          <w:ilvl w:val="1"/>
          <w:numId w:val="11"/>
        </w:numPr>
        <w:shd w:val="clear" w:color="auto" w:fill="E6E6E6"/>
        <w:tabs>
          <w:tab w:val="clear" w:pos="4703"/>
          <w:tab w:val="clear" w:pos="9406"/>
        </w:tabs>
        <w:bidi w:val="0"/>
        <w:spacing w:before="360" w:after="240"/>
        <w:ind w:left="703" w:hanging="703"/>
        <w:jc w:val="both"/>
        <w:rPr>
          <w:rFonts w:ascii="Times New Roman" w:hAnsi="Times New Roman"/>
          <w:b/>
          <w:bCs/>
          <w:lang w:val="sk-SK"/>
        </w:rPr>
      </w:pPr>
      <w:r w:rsidRPr="00DA5B8F">
        <w:rPr>
          <w:rFonts w:ascii="Times New Roman" w:hAnsi="Times New Roman"/>
          <w:b/>
          <w:bCs/>
          <w:lang w:val="sk-SK"/>
        </w:rPr>
        <w:t>Kontrola a vybavovanie sťažností</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Kontrolnú činnosť fond realizoval v zmysle „Zásad kontrolnej činnosti FNM SR“. Tie stanovujú základné pravidlá a postupy zamestnancov fondu vykonávajúcich kontrolnú činnosť a upravujú úlohy a pôsobnosť jednotlivých organizačných útvarov fondu pri výkone kontrolnej činnosti, ktorá je rozdelená na vnútornú a vonkajšiu kontrolnú činnosť.</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b/>
          <w:bCs/>
        </w:rPr>
        <w:t>Vnútorná kontrolná činnosť</w:t>
      </w:r>
      <w:r w:rsidRPr="00DA5B8F">
        <w:rPr>
          <w:rFonts w:ascii="Times New Roman" w:hAnsi="Times New Roman"/>
        </w:rPr>
        <w:t xml:space="preserve"> - zameraná hlavne na vybavovanie doručených podaní, ktorých štruktúra bola nasledovná:</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podnety, žiadosti, sťažnosti, petície (</w:t>
      </w:r>
      <w:r w:rsidRPr="00DA5B8F" w:rsidR="00B51143">
        <w:rPr>
          <w:rFonts w:ascii="Times New Roman" w:hAnsi="Times New Roman"/>
          <w:lang w:val="sk-SK"/>
        </w:rPr>
        <w:t>37</w:t>
      </w:r>
      <w:r w:rsidRPr="00DA5B8F">
        <w:rPr>
          <w:rFonts w:ascii="Times New Roman" w:hAnsi="Times New Roman"/>
          <w:lang w:val="sk-SK"/>
        </w:rPr>
        <w:t xml:space="preserve"> prípadov),</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vybavovanie dožiadaní orgánov Policajného zboru SR (</w:t>
      </w:r>
      <w:r w:rsidRPr="00DA5B8F" w:rsidR="009945D3">
        <w:rPr>
          <w:rFonts w:ascii="Times New Roman" w:hAnsi="Times New Roman"/>
          <w:lang w:val="sk-SK"/>
        </w:rPr>
        <w:t>20</w:t>
      </w:r>
      <w:r w:rsidRPr="00DA5B8F">
        <w:rPr>
          <w:rFonts w:ascii="Times New Roman" w:hAnsi="Times New Roman"/>
          <w:lang w:val="sk-SK"/>
        </w:rPr>
        <w:t xml:space="preserve"> prípadov),</w:t>
      </w:r>
    </w:p>
    <w:p w:rsidR="009945D3"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kontrola dokumentov týkajúcich sa pohľadávky zo zmluvy o predaji podniku kupujúcemu po odstúpení, uznesenia policajného zboru (5 prípadov).</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Doručené podania sa po obsahovej stránke týkali najmä:</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podnetov na prešetrenie privatizačného procesu,</w:t>
      </w:r>
    </w:p>
    <w:p w:rsidR="002C3B67"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žiadostí k</w:t>
      </w:r>
      <w:r w:rsidRPr="00DA5B8F" w:rsidR="0095299C">
        <w:rPr>
          <w:rFonts w:ascii="Times New Roman" w:hAnsi="Times New Roman"/>
          <w:lang w:val="sk-SK"/>
        </w:rPr>
        <w:t> </w:t>
      </w:r>
      <w:r w:rsidRPr="00DA5B8F">
        <w:rPr>
          <w:rFonts w:ascii="Times New Roman" w:hAnsi="Times New Roman"/>
          <w:lang w:val="sk-SK"/>
        </w:rPr>
        <w:t>prešetreniu</w:t>
      </w:r>
      <w:r w:rsidRPr="00DA5B8F" w:rsidR="0095299C">
        <w:rPr>
          <w:rFonts w:ascii="Times New Roman" w:hAnsi="Times New Roman"/>
          <w:lang w:val="sk-SK"/>
        </w:rPr>
        <w:t>:</w:t>
      </w:r>
      <w:r w:rsidRPr="00DA5B8F">
        <w:rPr>
          <w:rFonts w:ascii="Times New Roman" w:hAnsi="Times New Roman"/>
          <w:lang w:val="sk-SK"/>
        </w:rPr>
        <w:t xml:space="preserve"> porušovania ustanovení zmluvných záväzkov, nakladania, s privatizovaným majetkom, </w:t>
      </w:r>
      <w:r w:rsidRPr="00DA5B8F" w:rsidR="00DC17B1">
        <w:rPr>
          <w:rFonts w:ascii="Times New Roman" w:hAnsi="Times New Roman"/>
          <w:lang w:val="sk-SK"/>
        </w:rPr>
        <w:t>konani</w:t>
      </w:r>
      <w:r w:rsidRPr="00DA5B8F" w:rsidR="0095299C">
        <w:rPr>
          <w:rFonts w:ascii="Times New Roman" w:hAnsi="Times New Roman"/>
          <w:lang w:val="sk-SK"/>
        </w:rPr>
        <w:t>a</w:t>
      </w:r>
      <w:r w:rsidRPr="00DA5B8F" w:rsidR="00DC17B1">
        <w:rPr>
          <w:rFonts w:ascii="Times New Roman" w:hAnsi="Times New Roman"/>
          <w:lang w:val="sk-SK"/>
        </w:rPr>
        <w:t xml:space="preserve"> kupujúceho v súvislosti s odpredajom bytu</w:t>
      </w:r>
      <w:r w:rsidRPr="00DA5B8F" w:rsidR="0095299C">
        <w:rPr>
          <w:rFonts w:ascii="Times New Roman" w:hAnsi="Times New Roman"/>
          <w:lang w:val="sk-SK"/>
        </w:rPr>
        <w:t xml:space="preserve">, a </w:t>
      </w:r>
      <w:r w:rsidRPr="00DA5B8F">
        <w:rPr>
          <w:rFonts w:ascii="Times New Roman" w:hAnsi="Times New Roman"/>
          <w:lang w:val="sk-SK"/>
        </w:rPr>
        <w:t>poskytnutia finančného daru pre fyzickú osobu na odľahčenie finančnej situácie v ich rodine,</w:t>
      </w:r>
    </w:p>
    <w:p w:rsidR="00B51143"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prešetrení a stanovísk pre Krajský súd a Okresnú prokuratúru, a stanovisko pre Kanceláriu prezidenta Slovenskej republiky,</w:t>
      </w:r>
    </w:p>
    <w:p w:rsidR="00B51143" w:rsidRPr="00DA5B8F" w:rsidP="00F46C00">
      <w:pPr>
        <w:pStyle w:val="Odsek1"/>
        <w:tabs>
          <w:tab w:val="num" w:pos="540"/>
          <w:tab w:val="clear" w:pos="720"/>
        </w:tabs>
        <w:bidi w:val="0"/>
        <w:spacing w:before="20" w:line="264" w:lineRule="auto"/>
        <w:ind w:left="538" w:hanging="357"/>
        <w:jc w:val="both"/>
        <w:rPr>
          <w:rFonts w:ascii="Times New Roman" w:hAnsi="Times New Roman"/>
          <w:lang w:val="sk-SK"/>
        </w:rPr>
      </w:pPr>
      <w:r w:rsidRPr="00DA5B8F">
        <w:rPr>
          <w:rFonts w:ascii="Times New Roman" w:hAnsi="Times New Roman"/>
          <w:lang w:val="sk-SK"/>
        </w:rPr>
        <w:t>poskytnutia informácií podľa zákona</w:t>
      </w:r>
      <w:r w:rsidRPr="00DA5B8F" w:rsidR="00D1335A">
        <w:rPr>
          <w:rFonts w:ascii="Times New Roman" w:hAnsi="Times New Roman"/>
          <w:lang w:val="sk-SK"/>
        </w:rPr>
        <w:t xml:space="preserve"> o slobode informácií,</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sťažností na súčasnú situáciu v akciovej spoločnosti,</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upozornenia na</w:t>
      </w:r>
      <w:r w:rsidRPr="00DA5B8F" w:rsidR="0095299C">
        <w:rPr>
          <w:rFonts w:ascii="Times New Roman" w:hAnsi="Times New Roman"/>
          <w:lang w:val="sk-SK"/>
        </w:rPr>
        <w:t>:</w:t>
      </w:r>
      <w:r w:rsidRPr="00DA5B8F">
        <w:rPr>
          <w:rFonts w:ascii="Times New Roman" w:hAnsi="Times New Roman"/>
          <w:lang w:val="sk-SK"/>
        </w:rPr>
        <w:t xml:space="preserve"> zanedbanie a neplnenie si povinností bývalého štátneho podniku,</w:t>
      </w:r>
      <w:r w:rsidRPr="00DA5B8F" w:rsidR="0095299C">
        <w:rPr>
          <w:rFonts w:ascii="Times New Roman" w:hAnsi="Times New Roman"/>
          <w:lang w:val="sk-SK"/>
        </w:rPr>
        <w:t xml:space="preserve"> </w:t>
      </w:r>
      <w:r w:rsidRPr="00DA5B8F">
        <w:rPr>
          <w:rFonts w:ascii="Times New Roman" w:hAnsi="Times New Roman"/>
          <w:lang w:val="sk-SK"/>
        </w:rPr>
        <w:t>porušeni</w:t>
      </w:r>
      <w:r w:rsidRPr="00DA5B8F" w:rsidR="0095299C">
        <w:rPr>
          <w:rFonts w:ascii="Times New Roman" w:hAnsi="Times New Roman"/>
          <w:lang w:val="sk-SK"/>
        </w:rPr>
        <w:t>e</w:t>
      </w:r>
      <w:r w:rsidRPr="00DA5B8F">
        <w:rPr>
          <w:rFonts w:ascii="Times New Roman" w:hAnsi="Times New Roman"/>
          <w:lang w:val="sk-SK"/>
        </w:rPr>
        <w:t xml:space="preserve"> zákona v rámci privatizácie ako aj informácie o stave konkurzného konania,</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riešenia vysporiadania dlhopisov fondu,</w:t>
      </w:r>
    </w:p>
    <w:p w:rsidR="00BC1F81"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sidR="00DC17B1">
        <w:rPr>
          <w:rFonts w:ascii="Times New Roman" w:hAnsi="Times New Roman"/>
          <w:lang w:val="sk-SK"/>
        </w:rPr>
        <w:t>sťažnosti týkajúcej sa záložného práva na cenné papiere v spoločnosti CDCP,</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nakladania s privatizovaným majetkom podľa ustanovenia § 19a, ods. 1 zákona o privatizácii,</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upozornenia na zanedbanie majetku bývalého štátneho podniku, ako aj na podozrenie z plytvania s verejnými financiami,</w:t>
      </w:r>
    </w:p>
    <w:p w:rsidR="0095299C"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sidR="002C3B67">
        <w:rPr>
          <w:rFonts w:ascii="Times New Roman" w:hAnsi="Times New Roman"/>
          <w:lang w:val="sk-SK"/>
        </w:rPr>
        <w:t>upovedomeni</w:t>
      </w:r>
      <w:r w:rsidRPr="00DA5B8F">
        <w:rPr>
          <w:rFonts w:ascii="Times New Roman" w:hAnsi="Times New Roman"/>
          <w:lang w:val="sk-SK"/>
        </w:rPr>
        <w:t>a</w:t>
      </w:r>
      <w:r w:rsidRPr="00DA5B8F" w:rsidR="002C3B67">
        <w:rPr>
          <w:rFonts w:ascii="Times New Roman" w:hAnsi="Times New Roman"/>
          <w:lang w:val="sk-SK"/>
        </w:rPr>
        <w:t xml:space="preserve"> na dodržiavanie zákonných ustanovení predpisov platných a účinných na území SR</w:t>
      </w:r>
      <w:r w:rsidRPr="00DA5B8F">
        <w:rPr>
          <w:rFonts w:ascii="Times New Roman" w:hAnsi="Times New Roman"/>
          <w:lang w:val="sk-SK"/>
        </w:rPr>
        <w:t>,</w:t>
      </w:r>
    </w:p>
    <w:p w:rsidR="002C3B67" w:rsidRPr="00DA5B8F" w:rsidP="00F46C00">
      <w:pPr>
        <w:pStyle w:val="Odsek1"/>
        <w:tabs>
          <w:tab w:val="num" w:pos="540"/>
          <w:tab w:val="clear" w:pos="720"/>
        </w:tabs>
        <w:bidi w:val="0"/>
        <w:spacing w:before="20" w:line="264" w:lineRule="auto"/>
        <w:ind w:left="538" w:hanging="357"/>
        <w:rPr>
          <w:rFonts w:ascii="Times New Roman" w:hAnsi="Times New Roman"/>
          <w:lang w:val="sk-SK"/>
        </w:rPr>
      </w:pPr>
      <w:r w:rsidRPr="00DA5B8F" w:rsidR="0095299C">
        <w:rPr>
          <w:rFonts w:ascii="Times New Roman" w:hAnsi="Times New Roman"/>
          <w:lang w:val="sk-SK"/>
        </w:rPr>
        <w:t>prešetrenia náhodnej pohľadávky spoločnosti a následné vystavovanie potvrdenia pre spoločnosti ohľadne splatných záväzkov voči fondu, ako aj podnetu na podanie žaloby o neplatnosť akcionárskej zmluvy a pod.</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 xml:space="preserve">Dožiadania, sťažnosti, podnety od policajných orgánov sa týkali </w:t>
      </w:r>
      <w:r w:rsidRPr="00DA5B8F" w:rsidR="00BC1F81">
        <w:rPr>
          <w:rFonts w:ascii="Times New Roman" w:hAnsi="Times New Roman"/>
        </w:rPr>
        <w:t>vy</w:t>
      </w:r>
      <w:r w:rsidRPr="00DA5B8F">
        <w:rPr>
          <w:rFonts w:ascii="Times New Roman" w:hAnsi="Times New Roman"/>
        </w:rPr>
        <w:t>šetr</w:t>
      </w:r>
      <w:r w:rsidRPr="00DA5B8F" w:rsidR="00BC1F81">
        <w:rPr>
          <w:rFonts w:ascii="Times New Roman" w:hAnsi="Times New Roman"/>
        </w:rPr>
        <w:t>ovaní</w:t>
      </w:r>
      <w:r w:rsidRPr="00DA5B8F">
        <w:rPr>
          <w:rFonts w:ascii="Times New Roman" w:hAnsi="Times New Roman"/>
        </w:rPr>
        <w:t>, v ktorých konali orgány činné v trestnom konaní v súčinnosti so súdmi. Závažnejším zistením z vykonaného šetrenia sa zaoberali orgány fondu, ku ktorým boli prijaté konkrétne opatrenia</w:t>
      </w:r>
      <w:r w:rsidRPr="00DA5B8F" w:rsidR="00BC1F81">
        <w:rPr>
          <w:rFonts w:ascii="Times New Roman" w:hAnsi="Times New Roman"/>
        </w:rPr>
        <w:t>.</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b/>
          <w:bCs/>
        </w:rPr>
        <w:t>Vonkajšia kontrolná činnosť</w:t>
      </w:r>
      <w:r w:rsidRPr="00DA5B8F">
        <w:rPr>
          <w:rFonts w:ascii="Times New Roman" w:hAnsi="Times New Roman"/>
        </w:rPr>
        <w:t xml:space="preserve"> – bola realizovaná v súlade s plánom kontrolnej činnosti na 1. polrok roku 201</w:t>
      </w:r>
      <w:r w:rsidRPr="00DA5B8F" w:rsidR="00F13A21">
        <w:rPr>
          <w:rFonts w:ascii="Times New Roman" w:hAnsi="Times New Roman"/>
        </w:rPr>
        <w:t>4</w:t>
      </w:r>
      <w:r w:rsidRPr="00DA5B8F" w:rsidR="00B51143">
        <w:rPr>
          <w:rFonts w:ascii="Times New Roman" w:hAnsi="Times New Roman"/>
        </w:rPr>
        <w:t xml:space="preserve"> a na 2. </w:t>
      </w:r>
      <w:r w:rsidRPr="00DA5B8F">
        <w:rPr>
          <w:rFonts w:ascii="Times New Roman" w:hAnsi="Times New Roman"/>
        </w:rPr>
        <w:t>polrok roku 201</w:t>
      </w:r>
      <w:r w:rsidRPr="00DA5B8F" w:rsidR="00F13A21">
        <w:rPr>
          <w:rFonts w:ascii="Times New Roman" w:hAnsi="Times New Roman"/>
        </w:rPr>
        <w:t>4</w:t>
      </w:r>
      <w:r w:rsidRPr="00DA5B8F">
        <w:rPr>
          <w:rFonts w:ascii="Times New Roman" w:hAnsi="Times New Roman"/>
        </w:rPr>
        <w:t>. Fond sa zameral na kontrolu plnenia záväzkov vyplývajúcich z ustanovení zmlúv o predaji podnikov, resp. časti podnikov a na kontrolu stavu a nakladania s privatizovaným majetkom u ich nadobúdateľov v súlade s § 19a ods.</w:t>
      </w:r>
      <w:r w:rsidRPr="00DA5B8F" w:rsidR="00F13A21">
        <w:rPr>
          <w:rFonts w:ascii="Times New Roman" w:hAnsi="Times New Roman"/>
        </w:rPr>
        <w:t> </w:t>
      </w:r>
      <w:r w:rsidRPr="00DA5B8F">
        <w:rPr>
          <w:rFonts w:ascii="Times New Roman" w:hAnsi="Times New Roman"/>
        </w:rPr>
        <w:t xml:space="preserve">2 a § 40 zákona o privatizácii. Kontroly sa uskutočnili na základe poverení Výkonného výboru FNM SR. </w:t>
      </w:r>
      <w:r w:rsidRPr="00DA5B8F" w:rsidR="00CC156D">
        <w:rPr>
          <w:rFonts w:ascii="Times New Roman" w:hAnsi="Times New Roman"/>
        </w:rPr>
        <w:t>V</w:t>
      </w:r>
      <w:r w:rsidRPr="00DA5B8F" w:rsidR="0027581B">
        <w:rPr>
          <w:rFonts w:ascii="Times New Roman" w:hAnsi="Times New Roman"/>
        </w:rPr>
        <w:t xml:space="preserve"> zmysle Zásad kontrolnej činnosti FNM SR </w:t>
      </w:r>
      <w:r w:rsidRPr="00DA5B8F" w:rsidR="00CC156D">
        <w:rPr>
          <w:rFonts w:ascii="Times New Roman" w:hAnsi="Times New Roman"/>
        </w:rPr>
        <w:t xml:space="preserve">boli </w:t>
      </w:r>
      <w:r w:rsidRPr="00DA5B8F" w:rsidR="0027581B">
        <w:rPr>
          <w:rFonts w:ascii="Times New Roman" w:hAnsi="Times New Roman"/>
        </w:rPr>
        <w:t>o v</w:t>
      </w:r>
      <w:r w:rsidRPr="00DA5B8F">
        <w:rPr>
          <w:rFonts w:ascii="Times New Roman" w:hAnsi="Times New Roman"/>
        </w:rPr>
        <w:t xml:space="preserve">ýsledkoch </w:t>
      </w:r>
      <w:r w:rsidRPr="00DA5B8F" w:rsidR="0027581B">
        <w:rPr>
          <w:rFonts w:ascii="Times New Roman" w:hAnsi="Times New Roman"/>
        </w:rPr>
        <w:t xml:space="preserve">kontrol vypracované záznamy, s obsahom ktorých boli </w:t>
      </w:r>
      <w:r w:rsidRPr="00DA5B8F">
        <w:rPr>
          <w:rFonts w:ascii="Times New Roman" w:hAnsi="Times New Roman"/>
        </w:rPr>
        <w:t>oboznámení štatutárni zástupcovia kontrolovaných subjektov</w:t>
      </w:r>
      <w:r w:rsidRPr="00DA5B8F" w:rsidR="0027581B">
        <w:rPr>
          <w:rFonts w:ascii="Times New Roman" w:hAnsi="Times New Roman"/>
        </w:rPr>
        <w:t>.</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sidR="0027581B">
        <w:rPr>
          <w:rFonts w:ascii="Times New Roman" w:hAnsi="Times New Roman"/>
        </w:rPr>
        <w:t>K</w:t>
      </w:r>
      <w:r w:rsidRPr="00DA5B8F">
        <w:rPr>
          <w:rFonts w:ascii="Times New Roman" w:hAnsi="Times New Roman"/>
        </w:rPr>
        <w:t>ontrolné zistenia v roku 201</w:t>
      </w:r>
      <w:r w:rsidRPr="00DA5B8F" w:rsidR="0027581B">
        <w:rPr>
          <w:rFonts w:ascii="Times New Roman" w:hAnsi="Times New Roman"/>
        </w:rPr>
        <w:t>4</w:t>
      </w:r>
      <w:r w:rsidRPr="00DA5B8F">
        <w:rPr>
          <w:rFonts w:ascii="Times New Roman" w:hAnsi="Times New Roman"/>
        </w:rPr>
        <w:t xml:space="preserve"> sa vo všeobecnosti týkali najmä nedodržiavania zákonných obmedzení pri nakladaní s privatizovaným majetkom, najmä pri odpredaji privatizovaného majetku</w:t>
      </w:r>
      <w:r w:rsidRPr="00DA5B8F" w:rsidR="0027581B">
        <w:rPr>
          <w:rFonts w:ascii="Times New Roman" w:hAnsi="Times New Roman"/>
        </w:rPr>
        <w:t xml:space="preserve"> a</w:t>
      </w:r>
      <w:r w:rsidRPr="00DA5B8F">
        <w:rPr>
          <w:rFonts w:ascii="Times New Roman" w:hAnsi="Times New Roman"/>
        </w:rPr>
        <w:t xml:space="preserve"> založení privatizovaného majetku v prospech tretej osoby, podľa § 19a ods.</w:t>
      </w:r>
      <w:r w:rsidRPr="00DA5B8F" w:rsidR="0027581B">
        <w:rPr>
          <w:rFonts w:ascii="Times New Roman" w:hAnsi="Times New Roman"/>
        </w:rPr>
        <w:t> </w:t>
      </w:r>
      <w:r w:rsidRPr="00DA5B8F">
        <w:rPr>
          <w:rFonts w:ascii="Times New Roman" w:hAnsi="Times New Roman"/>
        </w:rPr>
        <w:t>2 zákona o</w:t>
      </w:r>
      <w:r w:rsidRPr="00DA5B8F" w:rsidR="0027581B">
        <w:rPr>
          <w:rFonts w:ascii="Times New Roman" w:hAnsi="Times New Roman"/>
        </w:rPr>
        <w:t> </w:t>
      </w:r>
      <w:r w:rsidRPr="00DA5B8F">
        <w:rPr>
          <w:rFonts w:ascii="Times New Roman" w:hAnsi="Times New Roman"/>
        </w:rPr>
        <w:t>privatizácii, pri ktorých sa vyžaduje predchádzajúci písomný súhlas fondu.</w:t>
      </w:r>
    </w:p>
    <w:p w:rsidR="002C3B67"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roku 201</w:t>
      </w:r>
      <w:r w:rsidRPr="00DA5B8F" w:rsidR="00BC657A">
        <w:rPr>
          <w:rFonts w:ascii="Times New Roman" w:hAnsi="Times New Roman"/>
        </w:rPr>
        <w:t>4</w:t>
      </w:r>
      <w:r w:rsidRPr="00DA5B8F">
        <w:rPr>
          <w:rFonts w:ascii="Times New Roman" w:hAnsi="Times New Roman"/>
        </w:rPr>
        <w:t xml:space="preserve"> </w:t>
      </w:r>
      <w:r w:rsidRPr="00DA5B8F" w:rsidR="00BC657A">
        <w:rPr>
          <w:rFonts w:ascii="Times New Roman" w:hAnsi="Times New Roman"/>
        </w:rPr>
        <w:t xml:space="preserve">fond </w:t>
      </w:r>
      <w:r w:rsidRPr="00DA5B8F">
        <w:rPr>
          <w:rFonts w:ascii="Times New Roman" w:hAnsi="Times New Roman"/>
        </w:rPr>
        <w:t>vykona</w:t>
      </w:r>
      <w:r w:rsidRPr="00DA5B8F" w:rsidR="00BC657A">
        <w:rPr>
          <w:rFonts w:ascii="Times New Roman" w:hAnsi="Times New Roman"/>
        </w:rPr>
        <w:t>l 9</w:t>
      </w:r>
      <w:r w:rsidRPr="00DA5B8F">
        <w:rPr>
          <w:rFonts w:ascii="Times New Roman" w:hAnsi="Times New Roman"/>
        </w:rPr>
        <w:t xml:space="preserve"> plánovan</w:t>
      </w:r>
      <w:r w:rsidRPr="00DA5B8F" w:rsidR="00BC657A">
        <w:rPr>
          <w:rFonts w:ascii="Times New Roman" w:hAnsi="Times New Roman"/>
        </w:rPr>
        <w:t>ých</w:t>
      </w:r>
      <w:r w:rsidRPr="00DA5B8F">
        <w:rPr>
          <w:rFonts w:ascii="Times New Roman" w:hAnsi="Times New Roman"/>
        </w:rPr>
        <w:t xml:space="preserve"> kontrol</w:t>
      </w:r>
      <w:r w:rsidRPr="00DA5B8F" w:rsidR="00BC657A">
        <w:rPr>
          <w:rFonts w:ascii="Times New Roman" w:hAnsi="Times New Roman"/>
        </w:rPr>
        <w:t>, ktoré boli</w:t>
      </w:r>
      <w:r w:rsidRPr="00DA5B8F">
        <w:rPr>
          <w:rFonts w:ascii="Times New Roman" w:hAnsi="Times New Roman"/>
        </w:rPr>
        <w:t xml:space="preserve"> zamerané</w:t>
      </w:r>
      <w:r w:rsidRPr="00DA5B8F" w:rsidR="00106CB5">
        <w:rPr>
          <w:rFonts w:ascii="Times New Roman" w:hAnsi="Times New Roman"/>
        </w:rPr>
        <w:t xml:space="preserve"> hlavne na dodržiavanie zmluvných a zákonných podmienok </w:t>
      </w:r>
      <w:r w:rsidRPr="00DA5B8F" w:rsidR="00CC156D">
        <w:rPr>
          <w:rFonts w:ascii="Times New Roman" w:hAnsi="Times New Roman"/>
        </w:rPr>
        <w:t xml:space="preserve">predovšetkým </w:t>
      </w:r>
      <w:r w:rsidRPr="00DA5B8F" w:rsidR="00106CB5">
        <w:rPr>
          <w:rFonts w:ascii="Times New Roman" w:hAnsi="Times New Roman"/>
        </w:rPr>
        <w:t>v zdravotníckych zariadeniach</w:t>
      </w:r>
      <w:r w:rsidRPr="00DA5B8F" w:rsidR="00CC156D">
        <w:rPr>
          <w:rFonts w:ascii="Times New Roman" w:hAnsi="Times New Roman"/>
        </w:rPr>
        <w:t>.</w:t>
      </w:r>
      <w:r w:rsidRPr="00DA5B8F">
        <w:rPr>
          <w:rFonts w:ascii="Times New Roman" w:hAnsi="Times New Roman"/>
        </w:rPr>
        <w:t xml:space="preserve"> Kontrola sa zamerala aj na vyhľadávaciu činnosť, a to najmä na preverovanie skutočností, či nadobúdatelia majetku, resp. kupujúci dodržujú podmienku, že predaj alebo založenie privatizovaného majetku </w:t>
      </w:r>
      <w:r w:rsidRPr="00DA5B8F" w:rsidR="007B2BA7">
        <w:rPr>
          <w:rFonts w:ascii="Times New Roman" w:hAnsi="Times New Roman"/>
        </w:rPr>
        <w:t>je</w:t>
      </w:r>
      <w:r w:rsidRPr="00DA5B8F">
        <w:rPr>
          <w:rFonts w:ascii="Times New Roman" w:hAnsi="Times New Roman"/>
        </w:rPr>
        <w:t xml:space="preserve"> podmienené predchádzajúcim písomným súhlasom fondu, ako to vyžaduje ustanovenie §</w:t>
      </w:r>
      <w:r w:rsidRPr="00DA5B8F" w:rsidR="007B2BA7">
        <w:rPr>
          <w:rFonts w:ascii="Times New Roman" w:hAnsi="Times New Roman"/>
        </w:rPr>
        <w:t> </w:t>
      </w:r>
      <w:r w:rsidRPr="00DA5B8F">
        <w:rPr>
          <w:rFonts w:ascii="Times New Roman" w:hAnsi="Times New Roman"/>
        </w:rPr>
        <w:t>19a, ods.</w:t>
      </w:r>
      <w:r w:rsidRPr="00DA5B8F" w:rsidR="007B2BA7">
        <w:rPr>
          <w:rFonts w:ascii="Times New Roman" w:hAnsi="Times New Roman"/>
        </w:rPr>
        <w:t> </w:t>
      </w:r>
      <w:r w:rsidRPr="00DA5B8F">
        <w:rPr>
          <w:rFonts w:ascii="Times New Roman" w:hAnsi="Times New Roman"/>
        </w:rPr>
        <w:t>2 zákona o privatizácii. Ide hlavne o zmluvy, uzatvorené po nadobudnutí nového znenia ustanovenia § 19a zákona o privatizácii (t. j. zmluvy uzatvorené v termíne po januári 2002), u ktorých sú predaj alebo prevod privatizovaného majetku, ako aj jeho založenie podmienené nielen splatením celej kúpnej ceny privatizovaného majetku, ale po účinnosti daného privatizačného zákona až do splatenia všetkých zmluvných záväzkov. V prípade zdravotníckych zariadení ide o dodržiavanie zachovania zdravotnej starostlivosti na dobu neurčitú.</w:t>
      </w:r>
    </w:p>
    <w:p w:rsidR="00F46C00" w:rsidRPr="00DA5B8F" w:rsidP="00F46C00">
      <w:pPr>
        <w:pStyle w:val="BodyTextIndent1"/>
        <w:tabs>
          <w:tab w:val="clear" w:pos="540"/>
        </w:tabs>
        <w:overflowPunct/>
        <w:autoSpaceDE/>
        <w:autoSpaceDN/>
        <w:bidi w:val="0"/>
        <w:adjustRightInd/>
        <w:spacing w:line="264" w:lineRule="auto"/>
        <w:rPr>
          <w:rFonts w:ascii="Times New Roman" w:hAnsi="Times New Roman"/>
        </w:rPr>
      </w:pPr>
    </w:p>
    <w:p w:rsidR="002C3B67" w:rsidRPr="00DA5B8F">
      <w:pPr>
        <w:pStyle w:val="Header"/>
        <w:numPr>
          <w:ilvl w:val="1"/>
          <w:numId w:val="11"/>
        </w:numPr>
        <w:shd w:val="clear" w:color="auto" w:fill="E6E6E6"/>
        <w:tabs>
          <w:tab w:val="clear" w:pos="4703"/>
          <w:tab w:val="clear" w:pos="9406"/>
        </w:tabs>
        <w:bidi w:val="0"/>
        <w:spacing w:before="360" w:after="240" w:line="22" w:lineRule="atLeast"/>
        <w:ind w:left="703" w:hanging="703"/>
        <w:jc w:val="both"/>
        <w:rPr>
          <w:rFonts w:ascii="Times New Roman" w:hAnsi="Times New Roman"/>
          <w:b/>
          <w:bCs/>
          <w:lang w:val="sk-SK"/>
        </w:rPr>
      </w:pPr>
      <w:r w:rsidRPr="00DA5B8F">
        <w:rPr>
          <w:rFonts w:ascii="Times New Roman" w:hAnsi="Times New Roman"/>
          <w:b/>
          <w:bCs/>
          <w:lang w:val="sk-SK"/>
        </w:rPr>
        <w:t>Súdne spory a právna agenda</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Úlohy súvisiace s prípravou a zastupovaním súdnych sporov v konaniach pred súdmi a poskytovaním právnych služieb pre jednotlivé útvary fondu zabezpečoval odbor právnych služieb kancelárie predsedu výkonného výboru, ktorý v trestných veciach spolupracoval s orgánmi činnými v trestnom konaní a s orgánmi prokuratúry. V rámci legislatívnej činnosti spracovával stanoviská a pripomienky k návrhom zákonov a ďalším právnym predpisom a iným materiálom právnej povahy, ktoré sú predkladané fondu najmä v rámci pripomienkového konania. V spolupráci s príslušnými organizačnými útvarmi fondu pripravoval a posudzoval zmluvy a iné právne dokumenty, ktoré sa dotýkali činnosti fondu. Vykonával poradenskú činnosť v právnych veciach pre organizačné útvary fondu. Viedol databázu súdnych sporov. Komplexne zabezpečoval úlohy, ktoré vyplývali pre fond zo zákona o slobode informácií a koordinoval vybavovanie žiadostí podľa tohto zákona prostredníctvom jednotlivých organizačných útvarov</w:t>
      </w:r>
      <w:r w:rsidRPr="00DA5B8F" w:rsidR="00EB4F66">
        <w:rPr>
          <w:rFonts w:ascii="Times New Roman" w:hAnsi="Times New Roman"/>
        </w:rPr>
        <w:t xml:space="preserve"> fondu</w:t>
      </w:r>
      <w:r w:rsidRPr="00DA5B8F">
        <w:rPr>
          <w:rFonts w:ascii="Times New Roman" w:hAnsi="Times New Roman"/>
        </w:rPr>
        <w:t>.</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 xml:space="preserve">Podstatná a najdôležitejšia činnosť odboru bolo zastupovanie fondu pred súdmi a správnymi orgánmi v súlade so „Smernicou pre postup právnikov v súdnych sporoch“. Predmetom súdnych sporov bolo najmä vymáhanie pohľadávok z uzatvorených kúpnych zmlúv, vymáhanie pohľadávok po odstúpení od kúpnych zmlúv, uplatňovanie záložných práv, spory o neplatnosť právnych úkonov, pracovnoprávne spory, spory o neplatnosť </w:t>
      </w:r>
      <w:r w:rsidRPr="00DA5B8F" w:rsidR="001030CF">
        <w:rPr>
          <w:rFonts w:ascii="Times New Roman" w:hAnsi="Times New Roman"/>
        </w:rPr>
        <w:t xml:space="preserve">uznesení </w:t>
      </w:r>
      <w:r w:rsidRPr="00DA5B8F">
        <w:rPr>
          <w:rFonts w:ascii="Times New Roman" w:hAnsi="Times New Roman"/>
        </w:rPr>
        <w:t>valných zhromaždení, spory o náhradu škody, spory o vydanie bezdôvodného obohatenia, spory o vysporiadanie reštitučných nárokov, spory o neplatnosť prevodu cenných papierov na fond a pod.</w:t>
      </w: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 xml:space="preserve">Dôležitú súčasť uvedených činností predstavovala spolupráca s externými právnymi </w:t>
      </w:r>
      <w:bookmarkStart w:id="6" w:name="OLE_LINK21"/>
      <w:r w:rsidRPr="00DA5B8F">
        <w:rPr>
          <w:rFonts w:ascii="Times New Roman" w:hAnsi="Times New Roman"/>
        </w:rPr>
        <w:t>subjektmi</w:t>
      </w:r>
      <w:bookmarkEnd w:id="6"/>
      <w:r w:rsidRPr="00DA5B8F">
        <w:rPr>
          <w:rFonts w:ascii="Times New Roman" w:hAnsi="Times New Roman"/>
        </w:rPr>
        <w:t>, zastupujúcimi fond v súdnych konaniach, ktorá zahŕňala najmä evidenciu zmlúv o právnej pomoci a vyhodnocovanie plnenia týchto zmlúv.</w:t>
      </w:r>
    </w:p>
    <w:p w:rsidR="001841A2"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V zmysle § 30 zákona o privatizácii vznikajú pri uskutočňovaní činností uvedených v § 28 citovaného zákona práva záväzky a FNM SR je oprávnený domáhať sa splnenia svojich práv na súde alebo na iných príslušných orgánoch a môže byť žalovaný na nesplnenie svojich záväzkov alebo iných povinností. Za ich porušenie zodpovedá celým svojím majetkom.</w:t>
      </w:r>
    </w:p>
    <w:p w:rsidR="001841A2"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Občianske súdne konanie by malo byť jednou zo záruk zákonnosti a m</w:t>
      </w:r>
      <w:r w:rsidRPr="00DA5B8F" w:rsidR="000A394F">
        <w:rPr>
          <w:rFonts w:ascii="Times New Roman" w:hAnsi="Times New Roman"/>
        </w:rPr>
        <w:t>a</w:t>
      </w:r>
      <w:r w:rsidRPr="00DA5B8F">
        <w:rPr>
          <w:rFonts w:ascii="Times New Roman" w:hAnsi="Times New Roman"/>
        </w:rPr>
        <w:t>lo by slúžiť na jej upevňovani</w:t>
      </w:r>
      <w:r w:rsidRPr="00DA5B8F" w:rsidR="000A394F">
        <w:rPr>
          <w:rFonts w:ascii="Times New Roman" w:hAnsi="Times New Roman"/>
        </w:rPr>
        <w:t>e</w:t>
      </w:r>
      <w:r w:rsidRPr="00DA5B8F">
        <w:rPr>
          <w:rFonts w:ascii="Times New Roman" w:hAnsi="Times New Roman"/>
        </w:rPr>
        <w:t>. Každý má právo domáhať sa na súde ochrany práva, ktoré bolo ohrozené alebo porušené. V občianskom súdnom konaní</w:t>
      </w:r>
      <w:r w:rsidRPr="00DA5B8F" w:rsidR="000A394F">
        <w:rPr>
          <w:rFonts w:ascii="Times New Roman" w:hAnsi="Times New Roman"/>
        </w:rPr>
        <w:t xml:space="preserve"> </w:t>
      </w:r>
      <w:r w:rsidRPr="00DA5B8F">
        <w:rPr>
          <w:rFonts w:ascii="Times New Roman" w:hAnsi="Times New Roman"/>
        </w:rPr>
        <w:t>je v §</w:t>
      </w:r>
      <w:r w:rsidRPr="00DA5B8F" w:rsidR="000A394F">
        <w:rPr>
          <w:rFonts w:ascii="Times New Roman" w:hAnsi="Times New Roman"/>
        </w:rPr>
        <w:t> </w:t>
      </w:r>
      <w:r w:rsidRPr="00DA5B8F">
        <w:rPr>
          <w:rFonts w:ascii="Times New Roman" w:hAnsi="Times New Roman"/>
        </w:rPr>
        <w:t>6 zákona č.</w:t>
      </w:r>
      <w:r w:rsidRPr="00DA5B8F" w:rsidR="000A394F">
        <w:rPr>
          <w:rFonts w:ascii="Times New Roman" w:hAnsi="Times New Roman"/>
        </w:rPr>
        <w:t> </w:t>
      </w:r>
      <w:r w:rsidRPr="00DA5B8F">
        <w:rPr>
          <w:rFonts w:ascii="Times New Roman" w:hAnsi="Times New Roman"/>
        </w:rPr>
        <w:t>99/1963 Zb. zakotv</w:t>
      </w:r>
      <w:r w:rsidRPr="00DA5B8F" w:rsidR="000A394F">
        <w:rPr>
          <w:rFonts w:ascii="Times New Roman" w:hAnsi="Times New Roman"/>
        </w:rPr>
        <w:t>e</w:t>
      </w:r>
      <w:r w:rsidRPr="00DA5B8F">
        <w:rPr>
          <w:rFonts w:ascii="Times New Roman" w:hAnsi="Times New Roman"/>
        </w:rPr>
        <w:t xml:space="preserve">né, že súd postupuje </w:t>
      </w:r>
      <w:r w:rsidRPr="00DA5B8F" w:rsidR="000A394F">
        <w:rPr>
          <w:rFonts w:ascii="Times New Roman" w:hAnsi="Times New Roman"/>
        </w:rPr>
        <w:t xml:space="preserve">v </w:t>
      </w:r>
      <w:r w:rsidRPr="00DA5B8F">
        <w:rPr>
          <w:rFonts w:ascii="Times New Roman" w:hAnsi="Times New Roman"/>
        </w:rPr>
        <w:t xml:space="preserve">súčinnosti so všetkými účastníkmi konania tak, aby ochrana práv </w:t>
      </w:r>
      <w:r w:rsidR="00A3553D">
        <w:rPr>
          <w:rFonts w:ascii="Times New Roman" w:hAnsi="Times New Roman"/>
        </w:rPr>
        <w:t>b</w:t>
      </w:r>
      <w:r w:rsidRPr="00DA5B8F">
        <w:rPr>
          <w:rFonts w:ascii="Times New Roman" w:hAnsi="Times New Roman"/>
        </w:rPr>
        <w:t>ola rýchla a účinná. O rýchlej a účinnej ochrane práv nemožno hovoriť, keď súdne spory sú preje</w:t>
      </w:r>
      <w:r w:rsidRPr="00DA5B8F" w:rsidR="000A394F">
        <w:rPr>
          <w:rFonts w:ascii="Times New Roman" w:hAnsi="Times New Roman"/>
        </w:rPr>
        <w:t>d</w:t>
      </w:r>
      <w:r w:rsidRPr="00DA5B8F">
        <w:rPr>
          <w:rFonts w:ascii="Times New Roman" w:hAnsi="Times New Roman"/>
        </w:rPr>
        <w:t>návané 10 a viac rokov. V takýchto sp</w:t>
      </w:r>
      <w:r w:rsidRPr="00DA5B8F" w:rsidR="000A394F">
        <w:rPr>
          <w:rFonts w:ascii="Times New Roman" w:hAnsi="Times New Roman"/>
        </w:rPr>
        <w:t>o</w:t>
      </w:r>
      <w:r w:rsidRPr="00DA5B8F">
        <w:rPr>
          <w:rFonts w:ascii="Times New Roman" w:hAnsi="Times New Roman"/>
        </w:rPr>
        <w:t>ro</w:t>
      </w:r>
      <w:r w:rsidRPr="00DA5B8F" w:rsidR="000A394F">
        <w:rPr>
          <w:rFonts w:ascii="Times New Roman" w:hAnsi="Times New Roman"/>
        </w:rPr>
        <w:t xml:space="preserve">ch sa veľmi ťažko uplatňuje naliehavý právny záujem. Spravodlivého právoplatného a vykonateľného rozhodnutia sa domôže </w:t>
      </w:r>
      <w:r w:rsidRPr="00DA5B8F" w:rsidR="00EB4F66">
        <w:rPr>
          <w:rFonts w:ascii="Times New Roman" w:hAnsi="Times New Roman"/>
        </w:rPr>
        <w:t>fond</w:t>
      </w:r>
      <w:r w:rsidRPr="00DA5B8F" w:rsidR="000A394F">
        <w:rPr>
          <w:rFonts w:ascii="Times New Roman" w:hAnsi="Times New Roman"/>
        </w:rPr>
        <w:t xml:space="preserve"> v niektorých prípadoch až na základe mimoriadnych opravných prostriedkov.</w:t>
      </w:r>
    </w:p>
    <w:p w:rsidR="002C3B67" w:rsidRPr="00DA5B8F" w:rsidP="00F46C00">
      <w:pPr>
        <w:pStyle w:val="BodyTextIndent1"/>
        <w:tabs>
          <w:tab w:val="clear" w:pos="540"/>
        </w:tabs>
        <w:overflowPunct/>
        <w:autoSpaceDE/>
        <w:autoSpaceDN/>
        <w:bidi w:val="0"/>
        <w:adjustRightInd/>
        <w:spacing w:after="240" w:line="264" w:lineRule="auto"/>
        <w:rPr>
          <w:rFonts w:ascii="Times New Roman" w:hAnsi="Times New Roman"/>
        </w:rPr>
      </w:pPr>
      <w:r w:rsidRPr="00DA5B8F">
        <w:rPr>
          <w:rFonts w:ascii="Times New Roman" w:hAnsi="Times New Roman"/>
        </w:rPr>
        <w:t>Súdne spory, v ktorých sa žalobcovia domáhajú zaplatenia pomerne vysokých súm od fondu, boli vo viacerých prípadoch právoplatne skončené v prospech fondu, no na základe mimoriadnych opravných prostriedkov boli právoplatné rozsudky zrušené a vrátené na konanie prvostupňovým súdom.</w:t>
      </w:r>
      <w:r w:rsidRPr="00DA5B8F" w:rsidR="001C6B04">
        <w:rPr>
          <w:rFonts w:ascii="Times New Roman" w:hAnsi="Times New Roman"/>
        </w:rPr>
        <w:t xml:space="preserve"> </w:t>
      </w:r>
      <w:r w:rsidRPr="00DA5B8F">
        <w:rPr>
          <w:rFonts w:ascii="Times New Roman" w:hAnsi="Times New Roman"/>
        </w:rPr>
        <w:t>Sú to napr.:</w:t>
      </w:r>
    </w:p>
    <w:tbl>
      <w:tblPr>
        <w:tblStyle w:val="TableNormal"/>
        <w:tblW w:w="0" w:type="auto"/>
        <w:tblInd w:w="70" w:type="dxa"/>
        <w:tblBorders>
          <w:top w:val="single" w:sz="4" w:space="0" w:color="999999"/>
          <w:bottom w:val="single" w:sz="4" w:space="0" w:color="999999"/>
          <w:insideH w:val="single" w:sz="4" w:space="0" w:color="999999"/>
        </w:tblBorders>
        <w:tblCellMar>
          <w:top w:w="0" w:type="dxa"/>
          <w:left w:w="70" w:type="dxa"/>
          <w:bottom w:w="0" w:type="dxa"/>
          <w:right w:w="70" w:type="dxa"/>
        </w:tblCellMar>
      </w:tblPr>
      <w:tblGrid>
        <w:gridCol w:w="3116"/>
        <w:gridCol w:w="3186"/>
        <w:gridCol w:w="3186"/>
      </w:tblGrid>
      <w:tr>
        <w:tblPrEx>
          <w:tblW w:w="0" w:type="auto"/>
          <w:tblInd w:w="70" w:type="dxa"/>
          <w:tblBorders>
            <w:top w:val="single" w:sz="4" w:space="0" w:color="999999"/>
            <w:bottom w:val="single" w:sz="4" w:space="0" w:color="999999"/>
            <w:insideH w:val="single" w:sz="4" w:space="0" w:color="999999"/>
          </w:tblBorders>
          <w:tblCellMar>
            <w:top w:w="0" w:type="dxa"/>
            <w:left w:w="70" w:type="dxa"/>
            <w:bottom w:w="0" w:type="dxa"/>
            <w:right w:w="70" w:type="dxa"/>
          </w:tblCellMar>
        </w:tblPrEx>
        <w:trPr>
          <w:trHeight w:hRule="exact" w:val="977"/>
        </w:trPr>
        <w:tc>
          <w:tcPr>
            <w:tcW w:w="3116"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b/>
                <w:bCs/>
              </w:rPr>
            </w:pPr>
            <w:r w:rsidRPr="00DA5B8F">
              <w:rPr>
                <w:rFonts w:ascii="Times New Roman" w:hAnsi="Times New Roman"/>
                <w:b/>
                <w:bCs/>
              </w:rPr>
              <w:t>Žalobca</w:t>
            </w:r>
          </w:p>
        </w:tc>
        <w:tc>
          <w:tcPr>
            <w:tcW w:w="3186"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b/>
                <w:bCs/>
              </w:rPr>
            </w:pPr>
            <w:r w:rsidRPr="00DA5B8F">
              <w:rPr>
                <w:rFonts w:ascii="Times New Roman" w:hAnsi="Times New Roman"/>
                <w:b/>
                <w:bCs/>
              </w:rPr>
              <w:t>Žaloba vo veci:</w:t>
            </w:r>
          </w:p>
        </w:tc>
        <w:tc>
          <w:tcPr>
            <w:tcW w:w="3186" w:type="dxa"/>
            <w:tcBorders>
              <w:top w:val="single" w:sz="4" w:space="0" w:color="999999"/>
              <w:left w:val="nil"/>
              <w:bottom w:val="double" w:sz="4" w:space="0" w:color="999999"/>
              <w:right w:val="nil"/>
            </w:tcBorders>
            <w:shd w:val="clear" w:color="auto" w:fill="CCCCFF"/>
            <w:textDirection w:val="lrTb"/>
            <w:vAlign w:val="top"/>
          </w:tcPr>
          <w:p w:rsidR="00910FCD" w:rsidRPr="00DA5B8F">
            <w:pPr>
              <w:pStyle w:val="BodyTextIndent1"/>
              <w:tabs>
                <w:tab w:val="clear" w:pos="540"/>
              </w:tabs>
              <w:overflowPunct/>
              <w:autoSpaceDE/>
              <w:autoSpaceDN/>
              <w:bidi w:val="0"/>
              <w:adjustRightInd/>
              <w:spacing w:before="0"/>
              <w:jc w:val="center"/>
              <w:rPr>
                <w:rFonts w:ascii="Times New Roman" w:hAnsi="Times New Roman"/>
                <w:b/>
                <w:bCs/>
              </w:rPr>
            </w:pPr>
            <w:r w:rsidRPr="00DA5B8F" w:rsidR="002C3B67">
              <w:rPr>
                <w:rFonts w:ascii="Times New Roman" w:hAnsi="Times New Roman"/>
                <w:b/>
                <w:bCs/>
              </w:rPr>
              <w:t xml:space="preserve">Istina a úroky </w:t>
            </w:r>
          </w:p>
          <w:p w:rsidR="002C3B67" w:rsidRPr="00DA5B8F">
            <w:pPr>
              <w:pStyle w:val="BodyTextIndent1"/>
              <w:tabs>
                <w:tab w:val="clear" w:pos="540"/>
              </w:tabs>
              <w:overflowPunct/>
              <w:autoSpaceDE/>
              <w:autoSpaceDN/>
              <w:bidi w:val="0"/>
              <w:adjustRightInd/>
              <w:spacing w:before="0"/>
              <w:jc w:val="center"/>
              <w:rPr>
                <w:rFonts w:ascii="Times New Roman" w:hAnsi="Times New Roman"/>
                <w:b/>
                <w:bCs/>
              </w:rPr>
            </w:pPr>
            <w:r w:rsidRPr="00DA5B8F">
              <w:rPr>
                <w:rFonts w:ascii="Times New Roman" w:hAnsi="Times New Roman"/>
                <w:b/>
                <w:bCs/>
              </w:rPr>
              <w:t>k 31. 12. 201</w:t>
            </w:r>
            <w:r w:rsidRPr="00DA5B8F" w:rsidR="00910FCD">
              <w:rPr>
                <w:rFonts w:ascii="Times New Roman" w:hAnsi="Times New Roman"/>
                <w:b/>
                <w:bCs/>
              </w:rPr>
              <w:t>4</w:t>
            </w:r>
          </w:p>
          <w:p w:rsidR="002C3B67" w:rsidRPr="00DA5B8F">
            <w:pPr>
              <w:pStyle w:val="BodyTextIndent1"/>
              <w:tabs>
                <w:tab w:val="clear" w:pos="540"/>
              </w:tabs>
              <w:overflowPunct/>
              <w:autoSpaceDE/>
              <w:autoSpaceDN/>
              <w:bidi w:val="0"/>
              <w:adjustRightInd/>
              <w:spacing w:before="0"/>
              <w:jc w:val="center"/>
              <w:rPr>
                <w:rFonts w:ascii="Times New Roman" w:hAnsi="Times New Roman"/>
                <w:b/>
                <w:bCs/>
              </w:rPr>
            </w:pPr>
            <w:r w:rsidRPr="00DA5B8F">
              <w:rPr>
                <w:rFonts w:ascii="Times New Roman" w:hAnsi="Times New Roman"/>
                <w:b/>
                <w:bCs/>
              </w:rPr>
              <w:t>(v Eur)</w:t>
            </w:r>
          </w:p>
        </w:tc>
      </w:tr>
      <w:tr>
        <w:tblPrEx>
          <w:tblW w:w="0" w:type="auto"/>
          <w:tblInd w:w="70" w:type="dxa"/>
          <w:tblCellMar>
            <w:top w:w="0" w:type="dxa"/>
            <w:left w:w="70" w:type="dxa"/>
            <w:bottom w:w="0" w:type="dxa"/>
            <w:right w:w="70" w:type="dxa"/>
          </w:tblCellMar>
        </w:tblPrEx>
        <w:trPr>
          <w:trHeight w:hRule="exact" w:val="454"/>
        </w:trPr>
        <w:tc>
          <w:tcPr>
            <w:tcW w:w="3116" w:type="dxa"/>
            <w:tcBorders>
              <w:top w:val="doub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Port Service, a. s.</w:t>
            </w:r>
          </w:p>
        </w:tc>
        <w:tc>
          <w:tcPr>
            <w:tcW w:w="3186" w:type="dxa"/>
            <w:tcBorders>
              <w:top w:val="doub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žaloba na zaplatenie</w:t>
            </w:r>
          </w:p>
        </w:tc>
        <w:tc>
          <w:tcPr>
            <w:tcW w:w="3186" w:type="dxa"/>
            <w:tcBorders>
              <w:top w:val="doub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5</w:t>
            </w:r>
            <w:r w:rsidRPr="00DA5B8F" w:rsidR="00910FCD">
              <w:rPr>
                <w:rFonts w:ascii="Times New Roman" w:hAnsi="Times New Roman"/>
              </w:rPr>
              <w:t>8</w:t>
            </w:r>
            <w:r w:rsidRPr="00DA5B8F">
              <w:rPr>
                <w:rFonts w:ascii="Times New Roman" w:hAnsi="Times New Roman"/>
              </w:rPr>
              <w:t> </w:t>
            </w:r>
            <w:r w:rsidRPr="00DA5B8F" w:rsidR="00910FCD">
              <w:rPr>
                <w:rFonts w:ascii="Times New Roman" w:hAnsi="Times New Roman"/>
              </w:rPr>
              <w:t>266 469,21</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Escada, a. s.</w:t>
            </w:r>
          </w:p>
        </w:tc>
        <w:tc>
          <w:tcPr>
            <w:tcW w:w="318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žaloba na zaplatenie</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7 </w:t>
            </w:r>
            <w:r w:rsidRPr="00DA5B8F" w:rsidR="00910FCD">
              <w:rPr>
                <w:rFonts w:ascii="Times New Roman" w:hAnsi="Times New Roman"/>
              </w:rPr>
              <w:t>881</w:t>
            </w:r>
            <w:r w:rsidRPr="00DA5B8F">
              <w:rPr>
                <w:rFonts w:ascii="Times New Roman" w:hAnsi="Times New Roman"/>
              </w:rPr>
              <w:t> </w:t>
            </w:r>
            <w:r w:rsidRPr="00DA5B8F" w:rsidR="00910FCD">
              <w:rPr>
                <w:rFonts w:ascii="Times New Roman" w:hAnsi="Times New Roman"/>
              </w:rPr>
              <w:t>912</w:t>
            </w:r>
            <w:r w:rsidRPr="00DA5B8F">
              <w:rPr>
                <w:rFonts w:ascii="Times New Roman" w:hAnsi="Times New Roman"/>
              </w:rPr>
              <w:t>,</w:t>
            </w:r>
            <w:r w:rsidRPr="00DA5B8F" w:rsidR="00910FCD">
              <w:rPr>
                <w:rFonts w:ascii="Times New Roman" w:hAnsi="Times New Roman"/>
              </w:rPr>
              <w:t>55</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Myka, s.</w:t>
            </w:r>
            <w:r w:rsidR="009B5999">
              <w:rPr>
                <w:rFonts w:ascii="Times New Roman" w:hAnsi="Times New Roman"/>
              </w:rPr>
              <w:t> </w:t>
            </w:r>
            <w:r w:rsidRPr="00DA5B8F">
              <w:rPr>
                <w:rFonts w:ascii="Times New Roman" w:hAnsi="Times New Roman"/>
              </w:rPr>
              <w:t>r.</w:t>
            </w:r>
            <w:r w:rsidR="009B5999">
              <w:rPr>
                <w:rFonts w:ascii="Times New Roman" w:hAnsi="Times New Roman"/>
              </w:rPr>
              <w:t> </w:t>
            </w:r>
            <w:r w:rsidRPr="00DA5B8F">
              <w:rPr>
                <w:rFonts w:ascii="Times New Roman" w:hAnsi="Times New Roman"/>
              </w:rPr>
              <w:t>o.</w:t>
            </w:r>
          </w:p>
        </w:tc>
        <w:tc>
          <w:tcPr>
            <w:tcW w:w="318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žaloba na zaplatenie</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2</w:t>
            </w:r>
            <w:r w:rsidRPr="00DA5B8F" w:rsidR="00910FCD">
              <w:rPr>
                <w:rFonts w:ascii="Times New Roman" w:hAnsi="Times New Roman"/>
              </w:rPr>
              <w:t>8</w:t>
            </w:r>
            <w:r w:rsidRPr="00DA5B8F">
              <w:rPr>
                <w:rFonts w:ascii="Times New Roman" w:hAnsi="Times New Roman"/>
              </w:rPr>
              <w:t> </w:t>
            </w:r>
            <w:r w:rsidRPr="00DA5B8F" w:rsidR="00910FCD">
              <w:rPr>
                <w:rFonts w:ascii="Times New Roman" w:hAnsi="Times New Roman"/>
              </w:rPr>
              <w:t>523</w:t>
            </w:r>
            <w:r w:rsidRPr="00DA5B8F">
              <w:rPr>
                <w:rFonts w:ascii="Times New Roman" w:hAnsi="Times New Roman"/>
              </w:rPr>
              <w:t> </w:t>
            </w:r>
            <w:r w:rsidRPr="00DA5B8F" w:rsidR="00910FCD">
              <w:rPr>
                <w:rFonts w:ascii="Times New Roman" w:hAnsi="Times New Roman"/>
              </w:rPr>
              <w:t>657</w:t>
            </w:r>
            <w:r w:rsidRPr="00DA5B8F">
              <w:rPr>
                <w:rFonts w:ascii="Times New Roman" w:hAnsi="Times New Roman"/>
              </w:rPr>
              <w:t>,</w:t>
            </w:r>
            <w:r w:rsidRPr="00DA5B8F" w:rsidR="00910FCD">
              <w:rPr>
                <w:rFonts w:ascii="Times New Roman" w:hAnsi="Times New Roman"/>
              </w:rPr>
              <w:t>5</w:t>
            </w:r>
            <w:r w:rsidRPr="00DA5B8F">
              <w:rPr>
                <w:rFonts w:ascii="Times New Roman" w:hAnsi="Times New Roman"/>
              </w:rPr>
              <w:t>6</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Cesce</w:t>
            </w:r>
          </w:p>
        </w:tc>
        <w:tc>
          <w:tcPr>
            <w:tcW w:w="318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žaloba na zaplatenie</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3 </w:t>
            </w:r>
            <w:r w:rsidRPr="00DA5B8F" w:rsidR="00910FCD">
              <w:rPr>
                <w:rFonts w:ascii="Times New Roman" w:hAnsi="Times New Roman"/>
              </w:rPr>
              <w:t>656</w:t>
            </w:r>
            <w:r w:rsidRPr="00DA5B8F">
              <w:rPr>
                <w:rFonts w:ascii="Times New Roman" w:hAnsi="Times New Roman"/>
              </w:rPr>
              <w:t> </w:t>
            </w:r>
            <w:r w:rsidRPr="00DA5B8F" w:rsidR="00910FCD">
              <w:rPr>
                <w:rFonts w:ascii="Times New Roman" w:hAnsi="Times New Roman"/>
              </w:rPr>
              <w:t>129</w:t>
            </w:r>
            <w:r w:rsidRPr="00DA5B8F">
              <w:rPr>
                <w:rFonts w:ascii="Times New Roman" w:hAnsi="Times New Roman"/>
              </w:rPr>
              <w:t>,</w:t>
            </w:r>
            <w:r w:rsidRPr="00DA5B8F" w:rsidR="00910FCD">
              <w:rPr>
                <w:rFonts w:ascii="Times New Roman" w:hAnsi="Times New Roman"/>
              </w:rPr>
              <w:t>89</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BTS Holding, a. s.</w:t>
            </w:r>
          </w:p>
        </w:tc>
        <w:tc>
          <w:tcPr>
            <w:tcW w:w="318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žaloba na zaplatenie</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3 </w:t>
            </w:r>
            <w:r w:rsidRPr="00DA5B8F" w:rsidR="00910FCD">
              <w:rPr>
                <w:rFonts w:ascii="Times New Roman" w:hAnsi="Times New Roman"/>
              </w:rPr>
              <w:t>428</w:t>
            </w:r>
            <w:r w:rsidRPr="00DA5B8F">
              <w:rPr>
                <w:rFonts w:ascii="Times New Roman" w:hAnsi="Times New Roman"/>
              </w:rPr>
              <w:t> </w:t>
            </w:r>
            <w:r w:rsidRPr="00DA5B8F" w:rsidR="00910FCD">
              <w:rPr>
                <w:rFonts w:ascii="Times New Roman" w:hAnsi="Times New Roman"/>
              </w:rPr>
              <w:t>756</w:t>
            </w:r>
            <w:r w:rsidRPr="00DA5B8F">
              <w:rPr>
                <w:rFonts w:ascii="Times New Roman" w:hAnsi="Times New Roman"/>
              </w:rPr>
              <w:t>,</w:t>
            </w:r>
            <w:r w:rsidRPr="00DA5B8F" w:rsidR="00910FCD">
              <w:rPr>
                <w:rFonts w:ascii="Times New Roman" w:hAnsi="Times New Roman"/>
              </w:rPr>
              <w:t>06</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Zachem, a. s.</w:t>
            </w:r>
          </w:p>
        </w:tc>
        <w:tc>
          <w:tcPr>
            <w:tcW w:w="3186" w:type="dxa"/>
            <w:tcBorders>
              <w:top w:val="single" w:sz="4" w:space="0" w:color="999999"/>
              <w:left w:val="nil"/>
              <w:bottom w:val="single" w:sz="4" w:space="0" w:color="999999"/>
              <w:right w:val="nil"/>
            </w:tcBorders>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žaloba o náhradu škody</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7</w:t>
            </w:r>
            <w:r w:rsidRPr="00DA5B8F" w:rsidR="00910FCD">
              <w:rPr>
                <w:rFonts w:ascii="Times New Roman" w:hAnsi="Times New Roman"/>
              </w:rPr>
              <w:t>9</w:t>
            </w:r>
            <w:r w:rsidRPr="00DA5B8F">
              <w:rPr>
                <w:rFonts w:ascii="Times New Roman" w:hAnsi="Times New Roman"/>
              </w:rPr>
              <w:t> </w:t>
            </w:r>
            <w:r w:rsidRPr="00DA5B8F" w:rsidR="00910FCD">
              <w:rPr>
                <w:rFonts w:ascii="Times New Roman" w:hAnsi="Times New Roman"/>
              </w:rPr>
              <w:t>102</w:t>
            </w:r>
            <w:r w:rsidRPr="00DA5B8F">
              <w:rPr>
                <w:rFonts w:ascii="Times New Roman" w:hAnsi="Times New Roman"/>
              </w:rPr>
              <w:t> </w:t>
            </w:r>
            <w:r w:rsidRPr="00DA5B8F" w:rsidR="00910FCD">
              <w:rPr>
                <w:rFonts w:ascii="Times New Roman" w:hAnsi="Times New Roman"/>
              </w:rPr>
              <w:t>503</w:t>
            </w:r>
            <w:r w:rsidRPr="00DA5B8F">
              <w:rPr>
                <w:rFonts w:ascii="Times New Roman" w:hAnsi="Times New Roman"/>
              </w:rPr>
              <w:t>,</w:t>
            </w:r>
            <w:r w:rsidRPr="00DA5B8F" w:rsidR="00910FCD">
              <w:rPr>
                <w:rFonts w:ascii="Times New Roman" w:hAnsi="Times New Roman"/>
              </w:rPr>
              <w:t>01</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910FCD" w:rsidRPr="00DA5B8F" w:rsidP="00D267EB">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SAD Banská Bystrica a. s.</w:t>
            </w:r>
          </w:p>
        </w:tc>
        <w:tc>
          <w:tcPr>
            <w:tcW w:w="3186" w:type="dxa"/>
            <w:tcBorders>
              <w:top w:val="single" w:sz="4" w:space="0" w:color="999999"/>
              <w:left w:val="nil"/>
              <w:bottom w:val="single" w:sz="4" w:space="0" w:color="999999"/>
              <w:right w:val="nil"/>
            </w:tcBorders>
            <w:textDirection w:val="lrTb"/>
            <w:vAlign w:val="top"/>
          </w:tcPr>
          <w:p w:rsidR="00910FCD" w:rsidRPr="00DA5B8F" w:rsidP="00D267EB">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 xml:space="preserve">žaloba o náhradu ujmy </w:t>
            </w:r>
          </w:p>
        </w:tc>
        <w:tc>
          <w:tcPr>
            <w:tcW w:w="3186" w:type="dxa"/>
            <w:tcBorders>
              <w:top w:val="single" w:sz="4" w:space="0" w:color="999999"/>
              <w:left w:val="nil"/>
              <w:bottom w:val="single" w:sz="4" w:space="0" w:color="999999"/>
              <w:right w:val="nil"/>
            </w:tcBorders>
            <w:textDirection w:val="lrTb"/>
            <w:vAlign w:val="top"/>
          </w:tcPr>
          <w:p w:rsidR="00910FCD" w:rsidRPr="00DA5B8F" w:rsidP="00D267EB">
            <w:pPr>
              <w:pStyle w:val="BodyTextIndent1"/>
              <w:tabs>
                <w:tab w:val="clear" w:pos="540"/>
              </w:tabs>
              <w:overflowPunct/>
              <w:autoSpaceDE/>
              <w:autoSpaceDN/>
              <w:bidi w:val="0"/>
              <w:adjustRightInd/>
              <w:spacing w:before="0"/>
              <w:jc w:val="right"/>
              <w:rPr>
                <w:rFonts w:ascii="Times New Roman" w:hAnsi="Times New Roman"/>
              </w:rPr>
            </w:pPr>
            <w:r w:rsidRPr="00DA5B8F">
              <w:rPr>
                <w:rFonts w:ascii="Times New Roman" w:hAnsi="Times New Roman"/>
              </w:rPr>
              <w:t>11 853 891,56</w:t>
            </w:r>
          </w:p>
        </w:tc>
      </w:tr>
      <w:tr>
        <w:tblPrEx>
          <w:tblW w:w="0" w:type="auto"/>
          <w:tblInd w:w="70" w:type="dxa"/>
          <w:tblCellMar>
            <w:top w:w="0" w:type="dxa"/>
            <w:left w:w="70" w:type="dxa"/>
            <w:bottom w:w="0" w:type="dxa"/>
            <w:right w:w="70" w:type="dxa"/>
          </w:tblCellMar>
        </w:tblPrEx>
        <w:trPr>
          <w:trHeight w:hRule="exact" w:val="454"/>
        </w:trPr>
        <w:tc>
          <w:tcPr>
            <w:tcW w:w="311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rPr>
                <w:rFonts w:ascii="Times New Roman" w:hAnsi="Times New Roman"/>
              </w:rPr>
            </w:pPr>
            <w:r w:rsidRPr="00DA5B8F" w:rsidR="00910FCD">
              <w:rPr>
                <w:rFonts w:ascii="Times New Roman" w:hAnsi="Times New Roman"/>
              </w:rPr>
              <w:t>RM-S Market, o.</w:t>
            </w:r>
            <w:r w:rsidR="009B5999">
              <w:rPr>
                <w:rFonts w:ascii="Times New Roman" w:hAnsi="Times New Roman"/>
              </w:rPr>
              <w:t> </w:t>
            </w:r>
            <w:r w:rsidRPr="00DA5B8F" w:rsidR="00910FCD">
              <w:rPr>
                <w:rFonts w:ascii="Times New Roman" w:hAnsi="Times New Roman"/>
              </w:rPr>
              <w:t>c.</w:t>
            </w:r>
            <w:r w:rsidR="009B5999">
              <w:rPr>
                <w:rFonts w:ascii="Times New Roman" w:hAnsi="Times New Roman"/>
              </w:rPr>
              <w:t> </w:t>
            </w:r>
            <w:r w:rsidRPr="00DA5B8F" w:rsidR="00910FCD">
              <w:rPr>
                <w:rFonts w:ascii="Times New Roman" w:hAnsi="Times New Roman"/>
              </w:rPr>
              <w:t>p., a.</w:t>
            </w:r>
            <w:r w:rsidR="009B5999">
              <w:rPr>
                <w:rFonts w:ascii="Times New Roman" w:hAnsi="Times New Roman"/>
              </w:rPr>
              <w:t> </w:t>
            </w:r>
            <w:r w:rsidRPr="00DA5B8F" w:rsidR="00910FCD">
              <w:rPr>
                <w:rFonts w:ascii="Times New Roman" w:hAnsi="Times New Roman"/>
              </w:rPr>
              <w:t>s.</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rPr>
                <w:rFonts w:ascii="Times New Roman" w:hAnsi="Times New Roman"/>
              </w:rPr>
            </w:pPr>
            <w:r w:rsidRPr="00DA5B8F">
              <w:rPr>
                <w:rFonts w:ascii="Times New Roman" w:hAnsi="Times New Roman"/>
              </w:rPr>
              <w:t xml:space="preserve">žaloba </w:t>
            </w:r>
            <w:r w:rsidRPr="00DA5B8F" w:rsidR="00910FCD">
              <w:rPr>
                <w:rFonts w:ascii="Times New Roman" w:hAnsi="Times New Roman"/>
              </w:rPr>
              <w:t>na zaplatenie</w:t>
            </w:r>
          </w:p>
        </w:tc>
        <w:tc>
          <w:tcPr>
            <w:tcW w:w="3186" w:type="dxa"/>
            <w:tcBorders>
              <w:top w:val="single" w:sz="4" w:space="0" w:color="999999"/>
              <w:left w:val="nil"/>
              <w:bottom w:val="single" w:sz="4" w:space="0" w:color="999999"/>
              <w:right w:val="nil"/>
            </w:tcBorders>
            <w:textDirection w:val="lrTb"/>
            <w:vAlign w:val="top"/>
          </w:tcPr>
          <w:p w:rsidR="002C3B67" w:rsidRPr="00DA5B8F" w:rsidP="00910FCD">
            <w:pPr>
              <w:pStyle w:val="BodyTextIndent1"/>
              <w:tabs>
                <w:tab w:val="clear" w:pos="540"/>
              </w:tabs>
              <w:overflowPunct/>
              <w:autoSpaceDE/>
              <w:autoSpaceDN/>
              <w:bidi w:val="0"/>
              <w:adjustRightInd/>
              <w:spacing w:before="0"/>
              <w:jc w:val="right"/>
              <w:rPr>
                <w:rFonts w:ascii="Times New Roman" w:hAnsi="Times New Roman"/>
              </w:rPr>
            </w:pPr>
            <w:r w:rsidRPr="00DA5B8F" w:rsidR="00910FCD">
              <w:rPr>
                <w:rFonts w:ascii="Times New Roman" w:hAnsi="Times New Roman"/>
              </w:rPr>
              <w:t>5</w:t>
            </w:r>
            <w:r w:rsidRPr="00DA5B8F">
              <w:rPr>
                <w:rFonts w:ascii="Times New Roman" w:hAnsi="Times New Roman"/>
              </w:rPr>
              <w:t> </w:t>
            </w:r>
            <w:r w:rsidRPr="00DA5B8F" w:rsidR="00910FCD">
              <w:rPr>
                <w:rFonts w:ascii="Times New Roman" w:hAnsi="Times New Roman"/>
              </w:rPr>
              <w:t>894</w:t>
            </w:r>
            <w:r w:rsidRPr="00DA5B8F">
              <w:rPr>
                <w:rFonts w:ascii="Times New Roman" w:hAnsi="Times New Roman"/>
              </w:rPr>
              <w:t> </w:t>
            </w:r>
            <w:r w:rsidRPr="00DA5B8F" w:rsidR="00910FCD">
              <w:rPr>
                <w:rFonts w:ascii="Times New Roman" w:hAnsi="Times New Roman"/>
              </w:rPr>
              <w:t>717</w:t>
            </w:r>
            <w:r w:rsidRPr="00DA5B8F">
              <w:rPr>
                <w:rFonts w:ascii="Times New Roman" w:hAnsi="Times New Roman"/>
              </w:rPr>
              <w:t>,</w:t>
            </w:r>
            <w:r w:rsidRPr="00DA5B8F" w:rsidR="00910FCD">
              <w:rPr>
                <w:rFonts w:ascii="Times New Roman" w:hAnsi="Times New Roman"/>
              </w:rPr>
              <w:t>45</w:t>
            </w:r>
          </w:p>
        </w:tc>
      </w:tr>
    </w:tbl>
    <w:p w:rsidR="002C3B67" w:rsidRPr="00DA5B8F">
      <w:pPr>
        <w:pStyle w:val="BodyTextIndent1"/>
        <w:tabs>
          <w:tab w:val="clear" w:pos="540"/>
        </w:tabs>
        <w:overflowPunct/>
        <w:autoSpaceDE/>
        <w:autoSpaceDN/>
        <w:bidi w:val="0"/>
        <w:adjustRightInd/>
        <w:spacing w:before="0" w:line="252" w:lineRule="auto"/>
        <w:ind w:firstLine="709"/>
        <w:rPr>
          <w:rFonts w:ascii="Times New Roman" w:hAnsi="Times New Roman"/>
        </w:rPr>
      </w:pPr>
    </w:p>
    <w:p w:rsidR="002C3B67"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Fond má aj ďalšie záväzky, ktoré je povinný plniť a ktoré vyplývajú z uzavretých zmlúv o kúpe akcií. Sú to záruky prevzaté fondom v súvislosti s privatizáciou bankového sektora, konkrétne VÚB, a. s. a IRB, a. s., (v súčasnosti OTP, a.</w:t>
      </w:r>
      <w:r w:rsidRPr="00DA5B8F" w:rsidR="0076698C">
        <w:rPr>
          <w:rFonts w:ascii="Times New Roman" w:hAnsi="Times New Roman"/>
        </w:rPr>
        <w:t> </w:t>
      </w:r>
      <w:r w:rsidRPr="00DA5B8F">
        <w:rPr>
          <w:rFonts w:ascii="Times New Roman" w:hAnsi="Times New Roman"/>
        </w:rPr>
        <w:t xml:space="preserve">s.) spolu vo výške </w:t>
      </w:r>
      <w:r w:rsidRPr="00DA5B8F" w:rsidR="007322D5">
        <w:rPr>
          <w:rFonts w:ascii="Times New Roman" w:hAnsi="Times New Roman"/>
        </w:rPr>
        <w:t>37</w:t>
      </w:r>
      <w:r w:rsidRPr="00DA5B8F">
        <w:rPr>
          <w:rFonts w:ascii="Times New Roman" w:hAnsi="Times New Roman"/>
        </w:rPr>
        <w:t> </w:t>
      </w:r>
      <w:r w:rsidRPr="00DA5B8F" w:rsidR="007322D5">
        <w:rPr>
          <w:rFonts w:ascii="Times New Roman" w:hAnsi="Times New Roman"/>
        </w:rPr>
        <w:t>055</w:t>
      </w:r>
      <w:r w:rsidRPr="00DA5B8F">
        <w:rPr>
          <w:rFonts w:ascii="Times New Roman" w:hAnsi="Times New Roman"/>
        </w:rPr>
        <w:t xml:space="preserve"> tis. Eur. Ďalej sú to súdne spory týkajúce sa zmeniek SPP, a. s. vo výške </w:t>
      </w:r>
      <w:r w:rsidRPr="00DA5B8F" w:rsidR="00910FCD">
        <w:rPr>
          <w:rFonts w:ascii="Times New Roman" w:hAnsi="Times New Roman"/>
        </w:rPr>
        <w:t>121</w:t>
      </w:r>
      <w:r w:rsidRPr="00DA5B8F">
        <w:rPr>
          <w:rFonts w:ascii="Times New Roman" w:hAnsi="Times New Roman"/>
        </w:rPr>
        <w:t> </w:t>
      </w:r>
      <w:r w:rsidRPr="00DA5B8F" w:rsidR="007322D5">
        <w:rPr>
          <w:rFonts w:ascii="Times New Roman" w:hAnsi="Times New Roman"/>
        </w:rPr>
        <w:t>486</w:t>
      </w:r>
      <w:r w:rsidRPr="00DA5B8F">
        <w:rPr>
          <w:rFonts w:ascii="Times New Roman" w:hAnsi="Times New Roman"/>
        </w:rPr>
        <w:t> tis. Eur, za ktoré ručí v zmysle privatizačnej zmluvy fond, hoci účastníkom konaní je SPP, a. s.</w:t>
      </w:r>
      <w:r w:rsidRPr="00DA5B8F" w:rsidR="00FF6FDC">
        <w:rPr>
          <w:rFonts w:ascii="Times New Roman" w:hAnsi="Times New Roman"/>
        </w:rPr>
        <w:t xml:space="preserve"> (poplatok za zmenkovú odmenu 210 tis. Eur).</w:t>
      </w:r>
    </w:p>
    <w:p w:rsidR="00EB4F66" w:rsidRPr="00DA5B8F" w:rsidP="00F46C00">
      <w:pPr>
        <w:pStyle w:val="BodyTextIndent1"/>
        <w:tabs>
          <w:tab w:val="clear" w:pos="540"/>
        </w:tabs>
        <w:overflowPunct/>
        <w:autoSpaceDE/>
        <w:autoSpaceDN/>
        <w:bidi w:val="0"/>
        <w:adjustRightInd/>
        <w:spacing w:line="264" w:lineRule="auto"/>
        <w:rPr>
          <w:rFonts w:ascii="Times New Roman" w:hAnsi="Times New Roman"/>
        </w:rPr>
      </w:pPr>
      <w:r w:rsidRPr="00DA5B8F" w:rsidR="002C3B67">
        <w:rPr>
          <w:rFonts w:ascii="Times New Roman" w:hAnsi="Times New Roman"/>
        </w:rPr>
        <w:t>K 31. 12. 201</w:t>
      </w:r>
      <w:r w:rsidRPr="00DA5B8F" w:rsidR="00C03F40">
        <w:rPr>
          <w:rFonts w:ascii="Times New Roman" w:hAnsi="Times New Roman"/>
        </w:rPr>
        <w:t>4</w:t>
      </w:r>
      <w:r w:rsidRPr="00DA5B8F" w:rsidR="002C3B67">
        <w:rPr>
          <w:rFonts w:ascii="Times New Roman" w:hAnsi="Times New Roman"/>
        </w:rPr>
        <w:t xml:space="preserve"> bolo neukončených </w:t>
      </w:r>
      <w:r w:rsidRPr="00DA5B8F" w:rsidR="00C03F40">
        <w:rPr>
          <w:rFonts w:ascii="Times New Roman" w:hAnsi="Times New Roman"/>
        </w:rPr>
        <w:t>40</w:t>
      </w:r>
      <w:r w:rsidRPr="00DA5B8F" w:rsidR="002C3B67">
        <w:rPr>
          <w:rFonts w:ascii="Times New Roman" w:hAnsi="Times New Roman"/>
        </w:rPr>
        <w:t xml:space="preserve"> aktívnych súdnych sporov, z toho </w:t>
      </w:r>
      <w:r w:rsidRPr="00DA5B8F" w:rsidR="00C03F40">
        <w:rPr>
          <w:rFonts w:ascii="Times New Roman" w:hAnsi="Times New Roman"/>
        </w:rPr>
        <w:t>34</w:t>
      </w:r>
      <w:r w:rsidRPr="00DA5B8F" w:rsidR="002C3B67">
        <w:rPr>
          <w:rFonts w:ascii="Times New Roman" w:hAnsi="Times New Roman"/>
        </w:rPr>
        <w:t xml:space="preserve"> súdnych sporov, ktoré zastupovali dvaja interní právnici a </w:t>
      </w:r>
      <w:r w:rsidRPr="00DA5B8F" w:rsidR="00C03F40">
        <w:rPr>
          <w:rFonts w:ascii="Times New Roman" w:hAnsi="Times New Roman"/>
        </w:rPr>
        <w:t>6</w:t>
      </w:r>
      <w:r w:rsidRPr="00DA5B8F" w:rsidR="002C3B67">
        <w:rPr>
          <w:rFonts w:ascii="Times New Roman" w:hAnsi="Times New Roman"/>
        </w:rPr>
        <w:t xml:space="preserve"> súdnych sporov, ktoré zastupovali externé právne kancelárie. Neukončených pasívnych súdnych sporov bolo celkove </w:t>
      </w:r>
      <w:r w:rsidRPr="00DA5B8F" w:rsidR="00C03F40">
        <w:rPr>
          <w:rFonts w:ascii="Times New Roman" w:hAnsi="Times New Roman"/>
        </w:rPr>
        <w:t>53</w:t>
      </w:r>
      <w:r w:rsidRPr="00DA5B8F" w:rsidR="002C3B67">
        <w:rPr>
          <w:rFonts w:ascii="Times New Roman" w:hAnsi="Times New Roman"/>
        </w:rPr>
        <w:t>, z toho 3</w:t>
      </w:r>
      <w:r w:rsidRPr="00DA5B8F" w:rsidR="00C03F40">
        <w:rPr>
          <w:rFonts w:ascii="Times New Roman" w:hAnsi="Times New Roman"/>
        </w:rPr>
        <w:t>0</w:t>
      </w:r>
      <w:r w:rsidRPr="00DA5B8F" w:rsidR="002C3B67">
        <w:rPr>
          <w:rFonts w:ascii="Times New Roman" w:hAnsi="Times New Roman"/>
        </w:rPr>
        <w:t xml:space="preserve"> súdnych sporov, ktoré zastupovali dvaja interní právnici a </w:t>
      </w:r>
      <w:r w:rsidRPr="00DA5B8F" w:rsidR="00C03F40">
        <w:rPr>
          <w:rFonts w:ascii="Times New Roman" w:hAnsi="Times New Roman"/>
        </w:rPr>
        <w:t>23</w:t>
      </w:r>
      <w:r w:rsidRPr="00DA5B8F" w:rsidR="002C3B67">
        <w:rPr>
          <w:rFonts w:ascii="Times New Roman" w:hAnsi="Times New Roman"/>
        </w:rPr>
        <w:t xml:space="preserve"> súdnych sporov, ktoré zastupovali externé právne kancelárie.</w:t>
      </w:r>
    </w:p>
    <w:p w:rsidR="002C3B67" w:rsidRPr="00DA5B8F">
      <w:pPr>
        <w:pStyle w:val="Heading3"/>
        <w:tabs>
          <w:tab w:val="right" w:pos="9360"/>
        </w:tabs>
        <w:overflowPunct/>
        <w:autoSpaceDE/>
        <w:autoSpaceDN/>
        <w:bidi w:val="0"/>
        <w:adjustRightInd/>
        <w:spacing w:before="240" w:after="120"/>
        <w:rPr>
          <w:rFonts w:ascii="Times New Roman" w:hAnsi="Times New Roman"/>
        </w:rPr>
      </w:pPr>
      <w:r w:rsidRPr="00DA5B8F">
        <w:rPr>
          <w:rFonts w:ascii="Times New Roman" w:hAnsi="Times New Roman"/>
        </w:rPr>
        <w:t>Neukončené súdne spory k 31. 12. 201</w:t>
      </w:r>
      <w:r w:rsidRPr="00DA5B8F" w:rsidR="00311440">
        <w:rPr>
          <w:rFonts w:ascii="Times New Roman" w:hAnsi="Times New Roman"/>
        </w:rPr>
        <w:t>4</w:t>
      </w:r>
    </w:p>
    <w:tbl>
      <w:tblPr>
        <w:tblStyle w:val="TableNormal"/>
        <w:tblW w:w="96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5110"/>
        <w:gridCol w:w="1260"/>
        <w:gridCol w:w="3240"/>
      </w:tblGrid>
      <w:tr>
        <w:tblPrEx>
          <w:tblW w:w="96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trHeight w:val="567"/>
        </w:trPr>
        <w:tc>
          <w:tcPr>
            <w:tcW w:w="511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BodyTextIndent1"/>
              <w:tabs>
                <w:tab w:val="clear" w:pos="540"/>
              </w:tabs>
              <w:overflowPunct/>
              <w:autoSpaceDE/>
              <w:autoSpaceDN/>
              <w:bidi w:val="0"/>
              <w:adjustRightInd/>
              <w:spacing w:before="0"/>
              <w:rPr>
                <w:rFonts w:ascii="Times New Roman" w:hAnsi="Times New Roman"/>
                <w:b/>
                <w:bCs/>
              </w:rPr>
            </w:pPr>
            <w:r w:rsidRPr="00DA5B8F">
              <w:rPr>
                <w:rFonts w:ascii="Times New Roman" w:hAnsi="Times New Roman"/>
                <w:b/>
                <w:bCs/>
              </w:rPr>
              <w:t xml:space="preserve">Súdne spory </w:t>
            </w:r>
          </w:p>
        </w:tc>
        <w:tc>
          <w:tcPr>
            <w:tcW w:w="126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BodyTextIndent1"/>
              <w:tabs>
                <w:tab w:val="clear" w:pos="540"/>
              </w:tabs>
              <w:overflowPunct/>
              <w:autoSpaceDE/>
              <w:autoSpaceDN/>
              <w:bidi w:val="0"/>
              <w:adjustRightInd/>
              <w:spacing w:before="0"/>
              <w:jc w:val="center"/>
              <w:rPr>
                <w:rFonts w:ascii="Times New Roman" w:hAnsi="Times New Roman"/>
                <w:b/>
                <w:bCs/>
              </w:rPr>
            </w:pPr>
            <w:r w:rsidRPr="00DA5B8F">
              <w:rPr>
                <w:rFonts w:ascii="Times New Roman" w:hAnsi="Times New Roman"/>
                <w:b/>
                <w:bCs/>
              </w:rPr>
              <w:t>Počet</w:t>
            </w:r>
          </w:p>
        </w:tc>
        <w:tc>
          <w:tcPr>
            <w:tcW w:w="324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BodyTextIndent1"/>
              <w:tabs>
                <w:tab w:val="clear" w:pos="540"/>
              </w:tabs>
              <w:overflowPunct/>
              <w:autoSpaceDE/>
              <w:autoSpaceDN/>
              <w:bidi w:val="0"/>
              <w:adjustRightInd/>
              <w:spacing w:before="0"/>
              <w:jc w:val="center"/>
              <w:rPr>
                <w:rFonts w:ascii="Times New Roman" w:hAnsi="Times New Roman"/>
                <w:b/>
                <w:bCs/>
              </w:rPr>
            </w:pPr>
            <w:r w:rsidRPr="00DA5B8F">
              <w:rPr>
                <w:rFonts w:ascii="Times New Roman" w:hAnsi="Times New Roman"/>
                <w:b/>
                <w:bCs/>
              </w:rPr>
              <w:t>Finančný odhad</w:t>
            </w:r>
          </w:p>
          <w:p w:rsidR="002C3B67" w:rsidRPr="00DA5B8F">
            <w:pPr>
              <w:pStyle w:val="BodyTextIndent1"/>
              <w:tabs>
                <w:tab w:val="clear" w:pos="540"/>
              </w:tabs>
              <w:overflowPunct/>
              <w:autoSpaceDE/>
              <w:autoSpaceDN/>
              <w:bidi w:val="0"/>
              <w:adjustRightInd/>
              <w:spacing w:before="0"/>
              <w:jc w:val="center"/>
              <w:rPr>
                <w:rFonts w:ascii="Times New Roman" w:hAnsi="Times New Roman"/>
                <w:b/>
                <w:bCs/>
              </w:rPr>
            </w:pPr>
            <w:r w:rsidRPr="00DA5B8F">
              <w:rPr>
                <w:rFonts w:ascii="Times New Roman" w:hAnsi="Times New Roman"/>
                <w:b/>
                <w:bCs/>
              </w:rPr>
              <w:t>(v Eur)</w:t>
            </w:r>
          </w:p>
        </w:tc>
      </w:tr>
      <w:tr>
        <w:tblPrEx>
          <w:tblW w:w="9610" w:type="dxa"/>
          <w:tblLayout w:type="fixed"/>
          <w:tblCellMar>
            <w:left w:w="70" w:type="dxa"/>
            <w:right w:w="70" w:type="dxa"/>
          </w:tblCellMar>
        </w:tblPrEx>
        <w:tc>
          <w:tcPr>
            <w:tcW w:w="5110" w:type="dxa"/>
            <w:tcBorders>
              <w:top w:val="double" w:sz="4" w:space="0" w:color="999999"/>
              <w:left w:val="nil"/>
              <w:bottom w:val="single" w:sz="4" w:space="0" w:color="999999"/>
              <w:right w:val="nil"/>
            </w:tcBorders>
            <w:textDirection w:val="lrTb"/>
            <w:vAlign w:val="top"/>
          </w:tcPr>
          <w:p w:rsidR="002C3B67" w:rsidRPr="00DA5B8F">
            <w:pPr>
              <w:bidi w:val="0"/>
              <w:spacing w:before="120"/>
              <w:rPr>
                <w:rFonts w:ascii="Times New Roman" w:hAnsi="Times New Roman"/>
                <w:lang w:val="sk-SK"/>
              </w:rPr>
            </w:pPr>
            <w:r w:rsidRPr="00DA5B8F">
              <w:rPr>
                <w:rFonts w:ascii="Times New Roman" w:hAnsi="Times New Roman"/>
                <w:b/>
                <w:bCs/>
                <w:lang w:val="sk-SK"/>
              </w:rPr>
              <w:t>Interní právnici:</w:t>
            </w:r>
          </w:p>
          <w:p w:rsidR="002C3B67" w:rsidRPr="00DA5B8F">
            <w:pPr>
              <w:pStyle w:val="Odsek1"/>
              <w:numPr>
                <w:numId w:val="13"/>
              </w:numPr>
              <w:tabs>
                <w:tab w:val="clear" w:pos="720"/>
                <w:tab w:val="num" w:pos="1080"/>
              </w:tabs>
              <w:bidi w:val="0"/>
              <w:ind w:left="1080"/>
              <w:rPr>
                <w:rFonts w:ascii="Times New Roman" w:hAnsi="Times New Roman"/>
                <w:lang w:val="sk-SK"/>
              </w:rPr>
            </w:pPr>
            <w:r w:rsidRPr="00DA5B8F">
              <w:rPr>
                <w:rFonts w:ascii="Times New Roman" w:hAnsi="Times New Roman"/>
                <w:lang w:val="sk-SK"/>
              </w:rPr>
              <w:t>aktívne súdne spory</w:t>
            </w:r>
          </w:p>
          <w:p w:rsidR="002C3B67" w:rsidRPr="00DA5B8F">
            <w:pPr>
              <w:pStyle w:val="Odsek1"/>
              <w:numPr>
                <w:numId w:val="13"/>
              </w:numPr>
              <w:tabs>
                <w:tab w:val="clear" w:pos="720"/>
                <w:tab w:val="num" w:pos="1080"/>
              </w:tabs>
              <w:bidi w:val="0"/>
              <w:ind w:left="1080"/>
              <w:rPr>
                <w:rFonts w:ascii="Times New Roman" w:hAnsi="Times New Roman"/>
                <w:lang w:val="sk-SK"/>
              </w:rPr>
            </w:pPr>
            <w:r w:rsidRPr="00DA5B8F">
              <w:rPr>
                <w:rFonts w:ascii="Times New Roman" w:hAnsi="Times New Roman"/>
                <w:lang w:val="sk-SK"/>
              </w:rPr>
              <w:t>pasívne súdne spory</w:t>
            </w:r>
          </w:p>
        </w:tc>
        <w:tc>
          <w:tcPr>
            <w:tcW w:w="1260" w:type="dxa"/>
            <w:tcBorders>
              <w:top w:val="double" w:sz="4" w:space="0" w:color="999999"/>
              <w:left w:val="nil"/>
              <w:bottom w:val="single" w:sz="4" w:space="0" w:color="999999"/>
              <w:right w:val="nil"/>
            </w:tcBorders>
            <w:textDirection w:val="lrTb"/>
            <w:vAlign w:val="top"/>
          </w:tcPr>
          <w:p w:rsidR="002C3B67" w:rsidRPr="00DA5B8F">
            <w:pPr>
              <w:bidi w:val="0"/>
              <w:spacing w:before="120"/>
              <w:jc w:val="right"/>
              <w:rPr>
                <w:rFonts w:ascii="Times New Roman" w:hAnsi="Times New Roman"/>
                <w:lang w:val="sk-SK"/>
              </w:rPr>
            </w:pPr>
          </w:p>
          <w:p w:rsidR="002C3B67" w:rsidRPr="00DA5B8F">
            <w:pPr>
              <w:bidi w:val="0"/>
              <w:jc w:val="right"/>
              <w:rPr>
                <w:rFonts w:ascii="Times New Roman" w:hAnsi="Times New Roman"/>
                <w:lang w:val="sk-SK"/>
              </w:rPr>
            </w:pPr>
            <w:r w:rsidRPr="00DA5B8F" w:rsidR="00311440">
              <w:rPr>
                <w:rFonts w:ascii="Times New Roman" w:hAnsi="Times New Roman"/>
                <w:lang w:val="sk-SK"/>
              </w:rPr>
              <w:t>34</w:t>
            </w:r>
          </w:p>
          <w:p w:rsidR="002C3B67" w:rsidRPr="00DA5B8F" w:rsidP="00311440">
            <w:pPr>
              <w:bidi w:val="0"/>
              <w:jc w:val="right"/>
              <w:rPr>
                <w:rFonts w:ascii="Times New Roman" w:hAnsi="Times New Roman"/>
                <w:lang w:val="sk-SK"/>
              </w:rPr>
            </w:pPr>
            <w:r w:rsidRPr="00DA5B8F" w:rsidR="00311440">
              <w:rPr>
                <w:rFonts w:ascii="Times New Roman" w:hAnsi="Times New Roman"/>
                <w:lang w:val="sk-SK"/>
              </w:rPr>
              <w:t>30</w:t>
            </w:r>
          </w:p>
        </w:tc>
        <w:tc>
          <w:tcPr>
            <w:tcW w:w="3240" w:type="dxa"/>
            <w:tcBorders>
              <w:top w:val="double" w:sz="4" w:space="0" w:color="999999"/>
              <w:left w:val="nil"/>
              <w:bottom w:val="single" w:sz="4" w:space="0" w:color="999999"/>
              <w:right w:val="nil"/>
            </w:tcBorders>
            <w:textDirection w:val="lrTb"/>
            <w:vAlign w:val="top"/>
          </w:tcPr>
          <w:p w:rsidR="002C3B67" w:rsidRPr="00DA5B8F">
            <w:pPr>
              <w:bidi w:val="0"/>
              <w:spacing w:before="120"/>
              <w:jc w:val="right"/>
              <w:rPr>
                <w:rFonts w:ascii="Times New Roman" w:hAnsi="Times New Roman"/>
                <w:lang w:val="sk-SK"/>
              </w:rPr>
            </w:pPr>
          </w:p>
          <w:p w:rsidR="002C3B67" w:rsidRPr="00DA5B8F">
            <w:pPr>
              <w:bidi w:val="0"/>
              <w:jc w:val="right"/>
              <w:rPr>
                <w:rFonts w:ascii="Times New Roman" w:hAnsi="Times New Roman"/>
                <w:lang w:val="sk-SK"/>
              </w:rPr>
            </w:pPr>
            <w:r w:rsidRPr="00DA5B8F" w:rsidR="00311440">
              <w:rPr>
                <w:rFonts w:ascii="Times New Roman" w:hAnsi="Times New Roman"/>
                <w:lang w:val="sk-SK"/>
              </w:rPr>
              <w:t>542</w:t>
            </w:r>
            <w:r w:rsidRPr="00DA5B8F">
              <w:rPr>
                <w:rFonts w:ascii="Times New Roman" w:hAnsi="Times New Roman"/>
                <w:lang w:val="sk-SK"/>
              </w:rPr>
              <w:t> </w:t>
            </w:r>
            <w:r w:rsidRPr="00DA5B8F" w:rsidR="007322D5">
              <w:rPr>
                <w:rFonts w:ascii="Times New Roman" w:hAnsi="Times New Roman"/>
                <w:lang w:val="sk-SK"/>
              </w:rPr>
              <w:t>392</w:t>
            </w:r>
            <w:r w:rsidRPr="00DA5B8F">
              <w:rPr>
                <w:rFonts w:ascii="Times New Roman" w:hAnsi="Times New Roman"/>
                <w:lang w:val="sk-SK"/>
              </w:rPr>
              <w:t>,</w:t>
            </w:r>
            <w:r w:rsidRPr="00DA5B8F" w:rsidR="007322D5">
              <w:rPr>
                <w:rFonts w:ascii="Times New Roman" w:hAnsi="Times New Roman"/>
                <w:lang w:val="sk-SK"/>
              </w:rPr>
              <w:t>81</w:t>
            </w:r>
          </w:p>
          <w:p w:rsidR="002C3B67" w:rsidRPr="00DA5B8F" w:rsidP="007322D5">
            <w:pPr>
              <w:bidi w:val="0"/>
              <w:jc w:val="right"/>
              <w:rPr>
                <w:rFonts w:ascii="Times New Roman" w:hAnsi="Times New Roman"/>
                <w:lang w:val="sk-SK"/>
              </w:rPr>
            </w:pPr>
            <w:r w:rsidRPr="00DA5B8F" w:rsidR="00311440">
              <w:rPr>
                <w:rFonts w:ascii="Times New Roman" w:hAnsi="Times New Roman"/>
                <w:lang w:val="sk-SK"/>
              </w:rPr>
              <w:t>3</w:t>
            </w:r>
            <w:r w:rsidRPr="00DA5B8F" w:rsidR="007322D5">
              <w:rPr>
                <w:rFonts w:ascii="Times New Roman" w:hAnsi="Times New Roman"/>
                <w:lang w:val="sk-SK"/>
              </w:rPr>
              <w:t>7</w:t>
            </w:r>
            <w:r w:rsidRPr="00DA5B8F">
              <w:rPr>
                <w:rFonts w:ascii="Times New Roman" w:hAnsi="Times New Roman"/>
                <w:lang w:val="sk-SK"/>
              </w:rPr>
              <w:t> </w:t>
            </w:r>
            <w:r w:rsidRPr="00DA5B8F" w:rsidR="007322D5">
              <w:rPr>
                <w:rFonts w:ascii="Times New Roman" w:hAnsi="Times New Roman"/>
                <w:lang w:val="sk-SK"/>
              </w:rPr>
              <w:t>788</w:t>
            </w:r>
            <w:r w:rsidRPr="00DA5B8F" w:rsidR="00311440">
              <w:rPr>
                <w:rFonts w:ascii="Times New Roman" w:hAnsi="Times New Roman"/>
                <w:lang w:val="sk-SK"/>
              </w:rPr>
              <w:t> </w:t>
            </w:r>
            <w:r w:rsidRPr="00DA5B8F" w:rsidR="007322D5">
              <w:rPr>
                <w:rFonts w:ascii="Times New Roman" w:hAnsi="Times New Roman"/>
                <w:lang w:val="sk-SK"/>
              </w:rPr>
              <w:t>337</w:t>
            </w:r>
            <w:r w:rsidRPr="00DA5B8F" w:rsidR="00311440">
              <w:rPr>
                <w:rFonts w:ascii="Times New Roman" w:hAnsi="Times New Roman"/>
                <w:lang w:val="sk-SK"/>
              </w:rPr>
              <w:t>,</w:t>
            </w:r>
            <w:r w:rsidRPr="00DA5B8F" w:rsidR="007322D5">
              <w:rPr>
                <w:rFonts w:ascii="Times New Roman" w:hAnsi="Times New Roman"/>
                <w:lang w:val="sk-SK"/>
              </w:rPr>
              <w:t>68</w:t>
            </w:r>
          </w:p>
        </w:tc>
      </w:tr>
      <w:tr>
        <w:tblPrEx>
          <w:tblW w:w="9610" w:type="dxa"/>
          <w:tblLayout w:type="fixed"/>
          <w:tblCellMar>
            <w:left w:w="70" w:type="dxa"/>
            <w:right w:w="70" w:type="dxa"/>
          </w:tblCellMar>
        </w:tblPrEx>
        <w:tc>
          <w:tcPr>
            <w:tcW w:w="5110" w:type="dxa"/>
            <w:tcBorders>
              <w:top w:val="single" w:sz="4" w:space="0" w:color="999999"/>
              <w:left w:val="nil"/>
              <w:bottom w:val="single" w:sz="4" w:space="0" w:color="999999"/>
              <w:right w:val="nil"/>
            </w:tcBorders>
            <w:textDirection w:val="lrTb"/>
            <w:vAlign w:val="top"/>
          </w:tcPr>
          <w:p w:rsidR="002C3B67" w:rsidRPr="00DA5B8F">
            <w:pPr>
              <w:bidi w:val="0"/>
              <w:spacing w:before="120"/>
              <w:rPr>
                <w:rFonts w:ascii="Times New Roman" w:hAnsi="Times New Roman"/>
                <w:b/>
                <w:bCs/>
                <w:lang w:val="sk-SK"/>
              </w:rPr>
            </w:pPr>
            <w:r w:rsidRPr="00DA5B8F">
              <w:rPr>
                <w:rFonts w:ascii="Times New Roman" w:hAnsi="Times New Roman"/>
                <w:b/>
                <w:bCs/>
                <w:lang w:val="sk-SK"/>
              </w:rPr>
              <w:t>Externé advokátske kancelárie:</w:t>
            </w:r>
          </w:p>
          <w:p w:rsidR="002C3B67" w:rsidRPr="00DA5B8F">
            <w:pPr>
              <w:numPr>
                <w:numId w:val="13"/>
              </w:numPr>
              <w:tabs>
                <w:tab w:val="clear" w:pos="720"/>
                <w:tab w:val="num" w:pos="1080"/>
              </w:tabs>
              <w:bidi w:val="0"/>
              <w:ind w:left="1080"/>
              <w:rPr>
                <w:rFonts w:ascii="Times New Roman" w:hAnsi="Times New Roman"/>
                <w:lang w:val="sk-SK"/>
              </w:rPr>
            </w:pPr>
            <w:r w:rsidRPr="00DA5B8F">
              <w:rPr>
                <w:rFonts w:ascii="Times New Roman" w:hAnsi="Times New Roman"/>
                <w:lang w:val="sk-SK"/>
              </w:rPr>
              <w:t>aktívne súdne spory</w:t>
            </w:r>
          </w:p>
          <w:p w:rsidR="002C3B67" w:rsidRPr="00DA5B8F">
            <w:pPr>
              <w:pStyle w:val="Odsek1"/>
              <w:numPr>
                <w:numId w:val="13"/>
              </w:numPr>
              <w:tabs>
                <w:tab w:val="clear" w:pos="720"/>
                <w:tab w:val="num" w:pos="1080"/>
              </w:tabs>
              <w:bidi w:val="0"/>
              <w:ind w:left="1080"/>
              <w:rPr>
                <w:rFonts w:ascii="Times New Roman" w:hAnsi="Times New Roman"/>
                <w:lang w:val="sk-SK"/>
              </w:rPr>
            </w:pPr>
            <w:r w:rsidRPr="00DA5B8F">
              <w:rPr>
                <w:rFonts w:ascii="Times New Roman" w:hAnsi="Times New Roman"/>
                <w:lang w:val="sk-SK"/>
              </w:rPr>
              <w:t>pasívne súdne spory</w:t>
            </w:r>
          </w:p>
        </w:tc>
        <w:tc>
          <w:tcPr>
            <w:tcW w:w="1260" w:type="dxa"/>
            <w:tcBorders>
              <w:top w:val="single" w:sz="4" w:space="0" w:color="999999"/>
              <w:left w:val="nil"/>
              <w:bottom w:val="single" w:sz="4" w:space="0" w:color="999999"/>
              <w:right w:val="nil"/>
            </w:tcBorders>
            <w:textDirection w:val="lrTb"/>
            <w:vAlign w:val="top"/>
          </w:tcPr>
          <w:p w:rsidR="002C3B67" w:rsidRPr="00DA5B8F">
            <w:pPr>
              <w:bidi w:val="0"/>
              <w:spacing w:before="120"/>
              <w:jc w:val="right"/>
              <w:rPr>
                <w:rFonts w:ascii="Times New Roman" w:hAnsi="Times New Roman"/>
                <w:lang w:val="sk-SK"/>
              </w:rPr>
            </w:pPr>
          </w:p>
          <w:p w:rsidR="002C3B67" w:rsidRPr="00DA5B8F">
            <w:pPr>
              <w:bidi w:val="0"/>
              <w:jc w:val="right"/>
              <w:rPr>
                <w:rFonts w:ascii="Times New Roman" w:hAnsi="Times New Roman"/>
                <w:lang w:val="sk-SK"/>
              </w:rPr>
            </w:pPr>
            <w:r w:rsidRPr="00DA5B8F" w:rsidR="00311440">
              <w:rPr>
                <w:rFonts w:ascii="Times New Roman" w:hAnsi="Times New Roman"/>
                <w:lang w:val="sk-SK"/>
              </w:rPr>
              <w:t>6</w:t>
            </w:r>
          </w:p>
          <w:p w:rsidR="002C3B67" w:rsidRPr="00DA5B8F" w:rsidP="00311440">
            <w:pPr>
              <w:bidi w:val="0"/>
              <w:jc w:val="right"/>
              <w:rPr>
                <w:rFonts w:ascii="Times New Roman" w:hAnsi="Times New Roman"/>
                <w:lang w:val="sk-SK"/>
              </w:rPr>
            </w:pPr>
            <w:r w:rsidRPr="00DA5B8F" w:rsidR="00311440">
              <w:rPr>
                <w:rFonts w:ascii="Times New Roman" w:hAnsi="Times New Roman"/>
                <w:lang w:val="sk-SK"/>
              </w:rPr>
              <w:t>23</w:t>
            </w:r>
          </w:p>
        </w:tc>
        <w:tc>
          <w:tcPr>
            <w:tcW w:w="3240" w:type="dxa"/>
            <w:tcBorders>
              <w:top w:val="single" w:sz="4" w:space="0" w:color="999999"/>
              <w:left w:val="nil"/>
              <w:bottom w:val="single" w:sz="4" w:space="0" w:color="999999"/>
              <w:right w:val="nil"/>
            </w:tcBorders>
            <w:textDirection w:val="lrTb"/>
            <w:vAlign w:val="top"/>
          </w:tcPr>
          <w:p w:rsidR="002C3B67" w:rsidRPr="00DA5B8F">
            <w:pPr>
              <w:bidi w:val="0"/>
              <w:spacing w:before="120"/>
              <w:jc w:val="right"/>
              <w:rPr>
                <w:rFonts w:ascii="Times New Roman" w:hAnsi="Times New Roman"/>
                <w:lang w:val="sk-SK"/>
              </w:rPr>
            </w:pPr>
          </w:p>
          <w:p w:rsidR="002C3B67" w:rsidRPr="00DA5B8F">
            <w:pPr>
              <w:bidi w:val="0"/>
              <w:jc w:val="right"/>
              <w:rPr>
                <w:rFonts w:ascii="Times New Roman" w:hAnsi="Times New Roman"/>
                <w:lang w:val="sk-SK"/>
              </w:rPr>
            </w:pPr>
            <w:r w:rsidRPr="00DA5B8F" w:rsidR="007322D5">
              <w:rPr>
                <w:rFonts w:ascii="Times New Roman" w:hAnsi="Times New Roman"/>
                <w:lang w:val="sk-SK"/>
              </w:rPr>
              <w:t>46</w:t>
            </w:r>
            <w:r w:rsidRPr="00DA5B8F">
              <w:rPr>
                <w:rFonts w:ascii="Times New Roman" w:hAnsi="Times New Roman"/>
                <w:lang w:val="sk-SK"/>
              </w:rPr>
              <w:t> </w:t>
            </w:r>
            <w:r w:rsidRPr="00DA5B8F" w:rsidR="007322D5">
              <w:rPr>
                <w:rFonts w:ascii="Times New Roman" w:hAnsi="Times New Roman"/>
                <w:lang w:val="sk-SK"/>
              </w:rPr>
              <w:t>408</w:t>
            </w:r>
            <w:r w:rsidRPr="00DA5B8F">
              <w:rPr>
                <w:rFonts w:ascii="Times New Roman" w:hAnsi="Times New Roman"/>
                <w:lang w:val="sk-SK"/>
              </w:rPr>
              <w:t> </w:t>
            </w:r>
            <w:r w:rsidRPr="00DA5B8F" w:rsidR="007322D5">
              <w:rPr>
                <w:rFonts w:ascii="Times New Roman" w:hAnsi="Times New Roman"/>
                <w:lang w:val="sk-SK"/>
              </w:rPr>
              <w:t>297</w:t>
            </w:r>
            <w:r w:rsidRPr="00DA5B8F">
              <w:rPr>
                <w:rFonts w:ascii="Times New Roman" w:hAnsi="Times New Roman"/>
                <w:lang w:val="sk-SK"/>
              </w:rPr>
              <w:t>,</w:t>
            </w:r>
            <w:r w:rsidRPr="00DA5B8F" w:rsidR="007322D5">
              <w:rPr>
                <w:rFonts w:ascii="Times New Roman" w:hAnsi="Times New Roman"/>
                <w:lang w:val="sk-SK"/>
              </w:rPr>
              <w:t>97</w:t>
            </w:r>
          </w:p>
          <w:p w:rsidR="002C3B67" w:rsidRPr="00DA5B8F" w:rsidP="008227D2">
            <w:pPr>
              <w:bidi w:val="0"/>
              <w:jc w:val="right"/>
              <w:rPr>
                <w:rFonts w:ascii="Times New Roman" w:hAnsi="Times New Roman"/>
                <w:lang w:val="sk-SK"/>
              </w:rPr>
            </w:pPr>
            <w:r w:rsidRPr="00DA5B8F" w:rsidR="00311440">
              <w:rPr>
                <w:rFonts w:ascii="Times New Roman" w:hAnsi="Times New Roman"/>
                <w:lang w:val="sk-SK"/>
              </w:rPr>
              <w:t>3</w:t>
            </w:r>
            <w:r w:rsidRPr="00DA5B8F" w:rsidR="008227D2">
              <w:rPr>
                <w:rFonts w:ascii="Times New Roman" w:hAnsi="Times New Roman"/>
                <w:lang w:val="sk-SK"/>
              </w:rPr>
              <w:t>42</w:t>
            </w:r>
            <w:r w:rsidRPr="00DA5B8F">
              <w:rPr>
                <w:rFonts w:ascii="Times New Roman" w:hAnsi="Times New Roman"/>
                <w:lang w:val="sk-SK"/>
              </w:rPr>
              <w:t> </w:t>
            </w:r>
            <w:r w:rsidRPr="00DA5B8F" w:rsidR="008227D2">
              <w:rPr>
                <w:rFonts w:ascii="Times New Roman" w:hAnsi="Times New Roman"/>
                <w:lang w:val="sk-SK"/>
              </w:rPr>
              <w:t>038</w:t>
            </w:r>
            <w:r w:rsidRPr="00DA5B8F">
              <w:rPr>
                <w:rFonts w:ascii="Times New Roman" w:hAnsi="Times New Roman"/>
                <w:lang w:val="sk-SK"/>
              </w:rPr>
              <w:t> </w:t>
            </w:r>
            <w:r w:rsidRPr="00DA5B8F" w:rsidR="008227D2">
              <w:rPr>
                <w:rFonts w:ascii="Times New Roman" w:hAnsi="Times New Roman"/>
                <w:lang w:val="sk-SK"/>
              </w:rPr>
              <w:t>430</w:t>
            </w:r>
            <w:r w:rsidRPr="00DA5B8F">
              <w:rPr>
                <w:rFonts w:ascii="Times New Roman" w:hAnsi="Times New Roman"/>
                <w:lang w:val="sk-SK"/>
              </w:rPr>
              <w:t>,</w:t>
            </w:r>
            <w:r w:rsidRPr="00DA5B8F" w:rsidR="008227D2">
              <w:rPr>
                <w:rFonts w:ascii="Times New Roman" w:hAnsi="Times New Roman"/>
                <w:lang w:val="sk-SK"/>
              </w:rPr>
              <w:t>07</w:t>
            </w:r>
          </w:p>
        </w:tc>
      </w:tr>
      <w:tr>
        <w:tblPrEx>
          <w:tblW w:w="9610" w:type="dxa"/>
          <w:tblLayout w:type="fixed"/>
          <w:tblCellMar>
            <w:left w:w="70" w:type="dxa"/>
            <w:right w:w="70" w:type="dxa"/>
          </w:tblCellMar>
        </w:tblPrEx>
        <w:tc>
          <w:tcPr>
            <w:tcW w:w="5110" w:type="dxa"/>
            <w:tcBorders>
              <w:top w:val="single" w:sz="4" w:space="0" w:color="999999"/>
              <w:left w:val="nil"/>
              <w:bottom w:val="single" w:sz="4" w:space="0" w:color="999999"/>
              <w:right w:val="nil"/>
            </w:tcBorders>
            <w:textDirection w:val="lrTb"/>
            <w:vAlign w:val="top"/>
          </w:tcPr>
          <w:p w:rsidR="002C3B67" w:rsidRPr="00DA5B8F">
            <w:pPr>
              <w:bidi w:val="0"/>
              <w:spacing w:before="120"/>
              <w:rPr>
                <w:rFonts w:ascii="Times New Roman" w:hAnsi="Times New Roman"/>
                <w:b/>
                <w:bCs/>
                <w:lang w:val="sk-SK"/>
              </w:rPr>
            </w:pPr>
            <w:r w:rsidRPr="00DA5B8F">
              <w:rPr>
                <w:rFonts w:ascii="Times New Roman" w:hAnsi="Times New Roman"/>
                <w:b/>
                <w:bCs/>
                <w:lang w:val="sk-SK"/>
              </w:rPr>
              <w:t>Spolu:</w:t>
            </w:r>
          </w:p>
          <w:p w:rsidR="002C3B67" w:rsidRPr="00DA5B8F">
            <w:pPr>
              <w:numPr>
                <w:numId w:val="13"/>
              </w:numPr>
              <w:tabs>
                <w:tab w:val="clear" w:pos="720"/>
                <w:tab w:val="num" w:pos="1080"/>
              </w:tabs>
              <w:bidi w:val="0"/>
              <w:ind w:left="1080"/>
              <w:rPr>
                <w:rFonts w:ascii="Times New Roman" w:hAnsi="Times New Roman"/>
                <w:lang w:val="sk-SK"/>
              </w:rPr>
            </w:pPr>
            <w:r w:rsidRPr="00DA5B8F">
              <w:rPr>
                <w:rFonts w:ascii="Times New Roman" w:hAnsi="Times New Roman"/>
                <w:lang w:val="sk-SK"/>
              </w:rPr>
              <w:t>aktívne súdne spory</w:t>
            </w:r>
          </w:p>
          <w:p w:rsidR="002C3B67" w:rsidRPr="00DA5B8F">
            <w:pPr>
              <w:numPr>
                <w:numId w:val="13"/>
              </w:numPr>
              <w:tabs>
                <w:tab w:val="clear" w:pos="720"/>
                <w:tab w:val="num" w:pos="1080"/>
              </w:tabs>
              <w:bidi w:val="0"/>
              <w:ind w:left="1080"/>
              <w:rPr>
                <w:rFonts w:ascii="Times New Roman" w:hAnsi="Times New Roman"/>
                <w:lang w:val="sk-SK"/>
              </w:rPr>
            </w:pPr>
            <w:r w:rsidRPr="00DA5B8F">
              <w:rPr>
                <w:rFonts w:ascii="Times New Roman" w:hAnsi="Times New Roman"/>
                <w:lang w:val="sk-SK"/>
              </w:rPr>
              <w:t>pasívne súdne spory</w:t>
            </w:r>
          </w:p>
        </w:tc>
        <w:tc>
          <w:tcPr>
            <w:tcW w:w="1260" w:type="dxa"/>
            <w:tcBorders>
              <w:top w:val="single" w:sz="4" w:space="0" w:color="999999"/>
              <w:left w:val="nil"/>
              <w:bottom w:val="single" w:sz="4" w:space="0" w:color="999999"/>
              <w:right w:val="nil"/>
            </w:tcBorders>
            <w:textDirection w:val="lrTb"/>
            <w:vAlign w:val="top"/>
          </w:tcPr>
          <w:p w:rsidR="002C3B67" w:rsidRPr="00DA5B8F">
            <w:pPr>
              <w:bidi w:val="0"/>
              <w:spacing w:before="120"/>
              <w:jc w:val="right"/>
              <w:rPr>
                <w:rFonts w:ascii="Times New Roman" w:hAnsi="Times New Roman"/>
                <w:lang w:val="sk-SK"/>
              </w:rPr>
            </w:pPr>
          </w:p>
          <w:p w:rsidR="002C3B67" w:rsidRPr="00DA5B8F">
            <w:pPr>
              <w:bidi w:val="0"/>
              <w:jc w:val="right"/>
              <w:rPr>
                <w:rFonts w:ascii="Times New Roman" w:hAnsi="Times New Roman"/>
                <w:lang w:val="sk-SK"/>
              </w:rPr>
            </w:pPr>
            <w:r w:rsidRPr="00DA5B8F" w:rsidR="00311440">
              <w:rPr>
                <w:rFonts w:ascii="Times New Roman" w:hAnsi="Times New Roman"/>
                <w:lang w:val="sk-SK"/>
              </w:rPr>
              <w:t>40</w:t>
            </w:r>
          </w:p>
          <w:p w:rsidR="002C3B67" w:rsidRPr="00DA5B8F" w:rsidP="00311440">
            <w:pPr>
              <w:bidi w:val="0"/>
              <w:jc w:val="right"/>
              <w:rPr>
                <w:rFonts w:ascii="Times New Roman" w:hAnsi="Times New Roman"/>
                <w:lang w:val="sk-SK"/>
              </w:rPr>
            </w:pPr>
            <w:r w:rsidRPr="00DA5B8F" w:rsidR="00311440">
              <w:rPr>
                <w:rFonts w:ascii="Times New Roman" w:hAnsi="Times New Roman"/>
                <w:lang w:val="sk-SK"/>
              </w:rPr>
              <w:t>53</w:t>
            </w:r>
          </w:p>
        </w:tc>
        <w:tc>
          <w:tcPr>
            <w:tcW w:w="3240" w:type="dxa"/>
            <w:tcBorders>
              <w:top w:val="single" w:sz="4" w:space="0" w:color="999999"/>
              <w:left w:val="nil"/>
              <w:bottom w:val="single" w:sz="4" w:space="0" w:color="999999"/>
              <w:right w:val="nil"/>
            </w:tcBorders>
            <w:textDirection w:val="lrTb"/>
            <w:vAlign w:val="top"/>
          </w:tcPr>
          <w:p w:rsidR="002C3B67" w:rsidRPr="00DA5B8F">
            <w:pPr>
              <w:bidi w:val="0"/>
              <w:spacing w:before="120"/>
              <w:jc w:val="right"/>
              <w:rPr>
                <w:rFonts w:ascii="Times New Roman" w:hAnsi="Times New Roman"/>
                <w:lang w:val="sk-SK"/>
              </w:rPr>
            </w:pPr>
          </w:p>
          <w:p w:rsidR="002C3B67" w:rsidRPr="00DA5B8F">
            <w:pPr>
              <w:bidi w:val="0"/>
              <w:jc w:val="right"/>
              <w:rPr>
                <w:rFonts w:ascii="Times New Roman" w:hAnsi="Times New Roman"/>
                <w:lang w:val="sk-SK"/>
              </w:rPr>
            </w:pPr>
            <w:r w:rsidRPr="00DA5B8F" w:rsidR="007322D5">
              <w:rPr>
                <w:rFonts w:ascii="Times New Roman" w:hAnsi="Times New Roman"/>
                <w:lang w:val="sk-SK"/>
              </w:rPr>
              <w:t>46</w:t>
            </w:r>
            <w:r w:rsidRPr="00DA5B8F">
              <w:rPr>
                <w:rFonts w:ascii="Times New Roman" w:hAnsi="Times New Roman"/>
                <w:lang w:val="sk-SK"/>
              </w:rPr>
              <w:t> </w:t>
            </w:r>
            <w:r w:rsidRPr="00DA5B8F" w:rsidR="007322D5">
              <w:rPr>
                <w:rFonts w:ascii="Times New Roman" w:hAnsi="Times New Roman"/>
                <w:lang w:val="sk-SK"/>
              </w:rPr>
              <w:t>950</w:t>
            </w:r>
            <w:r w:rsidRPr="00DA5B8F">
              <w:rPr>
                <w:rFonts w:ascii="Times New Roman" w:hAnsi="Times New Roman"/>
                <w:lang w:val="sk-SK"/>
              </w:rPr>
              <w:t> </w:t>
            </w:r>
            <w:r w:rsidRPr="00DA5B8F" w:rsidR="007322D5">
              <w:rPr>
                <w:rFonts w:ascii="Times New Roman" w:hAnsi="Times New Roman"/>
                <w:lang w:val="sk-SK"/>
              </w:rPr>
              <w:t>690</w:t>
            </w:r>
            <w:r w:rsidRPr="00DA5B8F">
              <w:rPr>
                <w:rFonts w:ascii="Times New Roman" w:hAnsi="Times New Roman"/>
                <w:lang w:val="sk-SK"/>
              </w:rPr>
              <w:t>,</w:t>
            </w:r>
            <w:r w:rsidRPr="00DA5B8F" w:rsidR="007322D5">
              <w:rPr>
                <w:rFonts w:ascii="Times New Roman" w:hAnsi="Times New Roman"/>
                <w:lang w:val="sk-SK"/>
              </w:rPr>
              <w:t>78</w:t>
            </w:r>
          </w:p>
          <w:p w:rsidR="002C3B67" w:rsidRPr="00DA5B8F" w:rsidP="008227D2">
            <w:pPr>
              <w:bidi w:val="0"/>
              <w:jc w:val="right"/>
              <w:rPr>
                <w:rFonts w:ascii="Times New Roman" w:hAnsi="Times New Roman"/>
                <w:lang w:val="sk-SK"/>
              </w:rPr>
            </w:pPr>
            <w:r w:rsidRPr="00DA5B8F" w:rsidR="008227D2">
              <w:rPr>
                <w:rFonts w:ascii="Times New Roman" w:hAnsi="Times New Roman"/>
                <w:lang w:val="sk-SK"/>
              </w:rPr>
              <w:t>379</w:t>
            </w:r>
            <w:r w:rsidRPr="00DA5B8F">
              <w:rPr>
                <w:rFonts w:ascii="Times New Roman" w:hAnsi="Times New Roman"/>
                <w:lang w:val="sk-SK"/>
              </w:rPr>
              <w:t> </w:t>
            </w:r>
            <w:r w:rsidRPr="00DA5B8F" w:rsidR="008227D2">
              <w:rPr>
                <w:rFonts w:ascii="Times New Roman" w:hAnsi="Times New Roman"/>
                <w:lang w:val="sk-SK"/>
              </w:rPr>
              <w:t>826</w:t>
            </w:r>
            <w:r w:rsidRPr="00DA5B8F">
              <w:rPr>
                <w:rFonts w:ascii="Times New Roman" w:hAnsi="Times New Roman"/>
                <w:lang w:val="sk-SK"/>
              </w:rPr>
              <w:t> </w:t>
            </w:r>
            <w:r w:rsidRPr="00DA5B8F" w:rsidR="008227D2">
              <w:rPr>
                <w:rFonts w:ascii="Times New Roman" w:hAnsi="Times New Roman"/>
                <w:lang w:val="sk-SK"/>
              </w:rPr>
              <w:t>767</w:t>
            </w:r>
            <w:r w:rsidRPr="00DA5B8F">
              <w:rPr>
                <w:rFonts w:ascii="Times New Roman" w:hAnsi="Times New Roman"/>
                <w:lang w:val="sk-SK"/>
              </w:rPr>
              <w:t>,</w:t>
            </w:r>
            <w:r w:rsidRPr="00DA5B8F" w:rsidR="008227D2">
              <w:rPr>
                <w:rFonts w:ascii="Times New Roman" w:hAnsi="Times New Roman"/>
                <w:lang w:val="sk-SK"/>
              </w:rPr>
              <w:t>75</w:t>
            </w:r>
          </w:p>
        </w:tc>
      </w:tr>
    </w:tbl>
    <w:p w:rsidR="00034313" w:rsidRPr="00034313" w:rsidP="00034313">
      <w:pPr>
        <w:pStyle w:val="BodyTextIndent1"/>
        <w:tabs>
          <w:tab w:val="clear" w:pos="540"/>
        </w:tabs>
        <w:overflowPunct/>
        <w:autoSpaceDE/>
        <w:autoSpaceDN/>
        <w:bidi w:val="0"/>
        <w:adjustRightInd/>
        <w:spacing w:line="264" w:lineRule="auto"/>
        <w:rPr>
          <w:rFonts w:ascii="Times New Roman" w:hAnsi="Times New Roman"/>
        </w:rPr>
      </w:pPr>
      <w:bookmarkStart w:id="7" w:name="OLE_LINK12"/>
    </w:p>
    <w:p w:rsidR="00034313" w:rsidRPr="00A127EB" w:rsidP="00034313">
      <w:pPr>
        <w:pStyle w:val="Header"/>
        <w:numPr>
          <w:ilvl w:val="1"/>
          <w:numId w:val="11"/>
        </w:numPr>
        <w:shd w:val="clear" w:color="auto" w:fill="E6E6E6"/>
        <w:tabs>
          <w:tab w:val="clear" w:pos="4703"/>
          <w:tab w:val="clear" w:pos="9406"/>
        </w:tabs>
        <w:bidi w:val="0"/>
        <w:spacing w:before="360" w:after="240"/>
        <w:ind w:left="703" w:hanging="703"/>
        <w:jc w:val="both"/>
        <w:rPr>
          <w:rFonts w:ascii="Times New Roman" w:hAnsi="Times New Roman"/>
          <w:b/>
          <w:bCs/>
          <w:lang w:val="sk-SK"/>
        </w:rPr>
      </w:pPr>
      <w:r w:rsidRPr="00A127EB">
        <w:rPr>
          <w:rFonts w:ascii="Times New Roman" w:hAnsi="Times New Roman"/>
          <w:b/>
          <w:bCs/>
          <w:lang w:val="sk-SK"/>
        </w:rPr>
        <w:t>Poskytovanie informácií</w:t>
      </w:r>
    </w:p>
    <w:p w:rsidR="00034313" w:rsidRPr="00A127EB" w:rsidP="00F46C00">
      <w:pPr>
        <w:pStyle w:val="BodyTextIndent1"/>
        <w:tabs>
          <w:tab w:val="clear" w:pos="540"/>
        </w:tabs>
        <w:overflowPunct/>
        <w:autoSpaceDE/>
        <w:autoSpaceDN/>
        <w:bidi w:val="0"/>
        <w:adjustRightInd/>
        <w:spacing w:line="264" w:lineRule="auto"/>
        <w:rPr>
          <w:rFonts w:ascii="Times New Roman" w:hAnsi="Times New Roman"/>
        </w:rPr>
      </w:pPr>
      <w:r w:rsidRPr="00A127EB">
        <w:rPr>
          <w:rFonts w:ascii="Times New Roman" w:hAnsi="Times New Roman"/>
        </w:rPr>
        <w:t>Fond je podľa § 2 ods. 2 zákona o slobode informácií povinnou osobou na sprístupňovanie informácií podľa tohto zákona.</w:t>
      </w:r>
    </w:p>
    <w:p w:rsidR="00034313" w:rsidRPr="00A127EB" w:rsidP="00F46C00">
      <w:pPr>
        <w:pStyle w:val="BodyTextIndent1"/>
        <w:tabs>
          <w:tab w:val="num" w:pos="0"/>
          <w:tab w:val="clear" w:pos="540"/>
        </w:tabs>
        <w:overflowPunct/>
        <w:autoSpaceDE/>
        <w:autoSpaceDN/>
        <w:bidi w:val="0"/>
        <w:adjustRightInd/>
        <w:spacing w:after="120" w:line="22" w:lineRule="atLeast"/>
        <w:rPr>
          <w:rFonts w:ascii="Times New Roman" w:hAnsi="Times New Roman"/>
          <w:b/>
          <w:bCs/>
        </w:rPr>
      </w:pPr>
      <w:r w:rsidRPr="00A127EB">
        <w:rPr>
          <w:rFonts w:ascii="Times New Roman" w:hAnsi="Times New Roman"/>
          <w:b/>
          <w:bCs/>
        </w:rPr>
        <w:t>Charakteristika podaných žiadostí a spôsob vybavenia</w:t>
      </w: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240"/>
        <w:gridCol w:w="720"/>
        <w:gridCol w:w="4048"/>
        <w:gridCol w:w="1352"/>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9360" w:type="dxa"/>
            <w:gridSpan w:val="4"/>
            <w:tcBorders>
              <w:top w:val="single" w:sz="4" w:space="0" w:color="999999"/>
              <w:left w:val="nil"/>
              <w:bottom w:val="double" w:sz="4" w:space="0" w:color="999999"/>
              <w:right w:val="nil"/>
            </w:tcBorders>
            <w:shd w:val="clear" w:color="auto" w:fill="CCCCFF"/>
            <w:textDirection w:val="lrTb"/>
            <w:vAlign w:val="top"/>
          </w:tcPr>
          <w:p w:rsidR="00034313" w:rsidRPr="00A127EB" w:rsidP="00F46C00">
            <w:pPr>
              <w:overflowPunct w:val="0"/>
              <w:autoSpaceDE w:val="0"/>
              <w:autoSpaceDN w:val="0"/>
              <w:bidi w:val="0"/>
              <w:adjustRightInd w:val="0"/>
              <w:spacing w:line="22" w:lineRule="atLeast"/>
              <w:rPr>
                <w:rFonts w:ascii="Times New Roman" w:hAnsi="Times New Roman"/>
                <w:b/>
                <w:bCs/>
                <w:lang w:val="sk-SK"/>
              </w:rPr>
            </w:pPr>
            <w:r w:rsidRPr="00A127EB">
              <w:rPr>
                <w:rFonts w:ascii="Times New Roman" w:hAnsi="Times New Roman"/>
                <w:b/>
                <w:bCs/>
                <w:lang w:val="sk-SK"/>
              </w:rPr>
              <w:t>Podané žiadosti</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val="restart"/>
            <w:tcBorders>
              <w:top w:val="double" w:sz="4" w:space="0" w:color="999999"/>
              <w:left w:val="nil"/>
              <w:bottom w:val="single" w:sz="4" w:space="0" w:color="999999"/>
              <w:right w:val="nil"/>
            </w:tcBorders>
            <w:textDirection w:val="lrTb"/>
            <w:vAlign w:val="top"/>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celkový počet</w:t>
            </w:r>
          </w:p>
        </w:tc>
        <w:tc>
          <w:tcPr>
            <w:tcW w:w="720" w:type="dxa"/>
            <w:vMerge w:val="restart"/>
            <w:tcBorders>
              <w:top w:val="double" w:sz="4" w:space="0" w:color="999999"/>
              <w:left w:val="nil"/>
              <w:bottom w:val="single" w:sz="4" w:space="0" w:color="999999"/>
              <w:right w:val="nil"/>
            </w:tcBorders>
            <w:textDirection w:val="lrTb"/>
            <w:vAlign w:val="top"/>
          </w:tcPr>
          <w:p w:rsidR="00034313" w:rsidRPr="00A127EB" w:rsidP="00F46C00">
            <w:pPr>
              <w:overflowPunct w:val="0"/>
              <w:autoSpaceDE w:val="0"/>
              <w:autoSpaceDN w:val="0"/>
              <w:bidi w:val="0"/>
              <w:adjustRightInd w:val="0"/>
              <w:spacing w:line="22" w:lineRule="atLeast"/>
              <w:ind w:left="170"/>
              <w:jc w:val="both"/>
              <w:rPr>
                <w:rFonts w:ascii="Times New Roman" w:hAnsi="Times New Roman"/>
                <w:lang w:val="sk-SK"/>
              </w:rPr>
            </w:pPr>
            <w:r>
              <w:rPr>
                <w:rFonts w:ascii="Times New Roman" w:hAnsi="Times New Roman"/>
                <w:lang w:val="sk-SK"/>
              </w:rPr>
              <w:t>72</w:t>
            </w:r>
          </w:p>
        </w:tc>
        <w:tc>
          <w:tcPr>
            <w:tcW w:w="4048" w:type="dxa"/>
            <w:tcBorders>
              <w:top w:val="doub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podaných písomne</w:t>
            </w:r>
          </w:p>
        </w:tc>
        <w:tc>
          <w:tcPr>
            <w:tcW w:w="1352" w:type="dxa"/>
            <w:tcBorders>
              <w:top w:val="doub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19</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podaných elektronickou poštou</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sidRPr="00A127EB">
              <w:rPr>
                <w:rFonts w:ascii="Times New Roman" w:hAnsi="Times New Roman"/>
                <w:lang w:val="sk-SK"/>
              </w:rPr>
              <w:t>41</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podaných osobne – ústne</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0</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podaných osobne – telefonicky</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sidRPr="00A127EB">
              <w:rPr>
                <w:rFonts w:ascii="Times New Roman" w:hAnsi="Times New Roman"/>
                <w:lang w:val="sk-SK"/>
              </w:rPr>
              <w:t>0</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podaných faxom</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0</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odstúpených od iných povinných osôb</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12</w:t>
            </w:r>
          </w:p>
        </w:tc>
      </w:tr>
    </w:tbl>
    <w:p w:rsidR="00034313" w:rsidRPr="00A127EB" w:rsidP="00F46C00">
      <w:pPr>
        <w:overflowPunct w:val="0"/>
        <w:autoSpaceDE w:val="0"/>
        <w:autoSpaceDN w:val="0"/>
        <w:bidi w:val="0"/>
        <w:adjustRightInd w:val="0"/>
        <w:spacing w:line="22" w:lineRule="atLeast"/>
        <w:jc w:val="both"/>
        <w:rPr>
          <w:rFonts w:ascii="Times New Roman" w:hAnsi="Times New Roman"/>
          <w:lang w:val="sk-SK"/>
        </w:rPr>
      </w:pP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240"/>
        <w:gridCol w:w="720"/>
        <w:gridCol w:w="4048"/>
        <w:gridCol w:w="1352"/>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9360" w:type="dxa"/>
            <w:gridSpan w:val="4"/>
            <w:tcBorders>
              <w:top w:val="single" w:sz="4" w:space="0" w:color="999999"/>
              <w:left w:val="nil"/>
              <w:bottom w:val="double" w:sz="4" w:space="0" w:color="999999"/>
              <w:right w:val="nil"/>
            </w:tcBorders>
            <w:shd w:val="clear" w:color="auto" w:fill="CCCCFF"/>
            <w:textDirection w:val="lrTb"/>
            <w:vAlign w:val="top"/>
          </w:tcPr>
          <w:p w:rsidR="00034313" w:rsidRPr="00A127EB" w:rsidP="00F46C00">
            <w:pPr>
              <w:overflowPunct w:val="0"/>
              <w:autoSpaceDE w:val="0"/>
              <w:autoSpaceDN w:val="0"/>
              <w:bidi w:val="0"/>
              <w:adjustRightInd w:val="0"/>
              <w:spacing w:line="22" w:lineRule="atLeast"/>
              <w:rPr>
                <w:rFonts w:ascii="Times New Roman" w:hAnsi="Times New Roman"/>
                <w:b/>
                <w:bCs/>
                <w:lang w:val="sk-SK"/>
              </w:rPr>
            </w:pPr>
            <w:r w:rsidRPr="00A127EB">
              <w:rPr>
                <w:rFonts w:ascii="Times New Roman" w:hAnsi="Times New Roman"/>
                <w:b/>
                <w:bCs/>
                <w:lang w:val="sk-SK"/>
              </w:rPr>
              <w:t>Vybavenie žiadostí</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val="restart"/>
            <w:tcBorders>
              <w:top w:val="double" w:sz="4" w:space="0" w:color="999999"/>
              <w:left w:val="nil"/>
              <w:bottom w:val="single" w:sz="4" w:space="0" w:color="999999"/>
              <w:right w:val="nil"/>
            </w:tcBorders>
            <w:textDirection w:val="lrTb"/>
            <w:vAlign w:val="top"/>
          </w:tcPr>
          <w:p w:rsidR="00034313" w:rsidRPr="00A127EB" w:rsidP="00F46C00">
            <w:pPr>
              <w:overflowPunct w:val="0"/>
              <w:autoSpaceDE w:val="0"/>
              <w:autoSpaceDN w:val="0"/>
              <w:bidi w:val="0"/>
              <w:adjustRightInd w:val="0"/>
              <w:spacing w:line="22" w:lineRule="atLeast"/>
              <w:rPr>
                <w:rFonts w:ascii="Times New Roman" w:hAnsi="Times New Roman"/>
                <w:lang w:val="sk-SK"/>
              </w:rPr>
            </w:pPr>
            <w:r w:rsidRPr="00A127EB">
              <w:rPr>
                <w:rFonts w:ascii="Times New Roman" w:hAnsi="Times New Roman"/>
                <w:lang w:val="sk-SK"/>
              </w:rPr>
              <w:t>celkový počet uvedených otázok v</w:t>
            </w:r>
            <w:r>
              <w:rPr>
                <w:rFonts w:ascii="Times New Roman" w:hAnsi="Times New Roman"/>
                <w:lang w:val="sk-SK"/>
              </w:rPr>
              <w:t> </w:t>
            </w:r>
            <w:r w:rsidRPr="00A127EB">
              <w:rPr>
                <w:rFonts w:ascii="Times New Roman" w:hAnsi="Times New Roman"/>
                <w:lang w:val="sk-SK"/>
              </w:rPr>
              <w:t>žiadostiach</w:t>
            </w:r>
          </w:p>
        </w:tc>
        <w:tc>
          <w:tcPr>
            <w:tcW w:w="720" w:type="dxa"/>
            <w:vMerge w:val="restart"/>
            <w:tcBorders>
              <w:top w:val="double" w:sz="4" w:space="0" w:color="999999"/>
              <w:left w:val="nil"/>
              <w:bottom w:val="single" w:sz="4" w:space="0" w:color="999999"/>
              <w:right w:val="nil"/>
            </w:tcBorders>
            <w:textDirection w:val="lrTb"/>
            <w:vAlign w:val="top"/>
          </w:tcPr>
          <w:p w:rsidR="00034313" w:rsidRPr="00A127EB" w:rsidP="00F46C00">
            <w:pPr>
              <w:overflowPunct w:val="0"/>
              <w:autoSpaceDE w:val="0"/>
              <w:autoSpaceDN w:val="0"/>
              <w:bidi w:val="0"/>
              <w:adjustRightInd w:val="0"/>
              <w:spacing w:line="22" w:lineRule="atLeast"/>
              <w:jc w:val="center"/>
              <w:rPr>
                <w:rFonts w:ascii="Times New Roman" w:hAnsi="Times New Roman"/>
                <w:lang w:val="sk-SK"/>
              </w:rPr>
            </w:pPr>
            <w:r>
              <w:rPr>
                <w:rFonts w:ascii="Times New Roman" w:hAnsi="Times New Roman"/>
                <w:lang w:val="sk-SK"/>
              </w:rPr>
              <w:t>72</w:t>
            </w:r>
          </w:p>
        </w:tc>
        <w:tc>
          <w:tcPr>
            <w:tcW w:w="4048" w:type="dxa"/>
            <w:tcBorders>
              <w:top w:val="doub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 xml:space="preserve">sprístupnených </w:t>
            </w:r>
          </w:p>
        </w:tc>
        <w:tc>
          <w:tcPr>
            <w:tcW w:w="1352" w:type="dxa"/>
            <w:tcBorders>
              <w:top w:val="doub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45</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odmietnutých</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18</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postúpených inej povinnej osobe</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8</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odložených</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1</w:t>
            </w:r>
          </w:p>
        </w:tc>
      </w:tr>
      <w:tr>
        <w:tblPrEx>
          <w:tblW w:w="0" w:type="auto"/>
          <w:tblInd w:w="70" w:type="dxa"/>
          <w:tblBorders>
            <w:insideH w:val="none" w:sz="0" w:space="0" w:color="auto"/>
            <w:insideV w:val="none" w:sz="0" w:space="0" w:color="auto"/>
          </w:tblBorders>
          <w:tblCellMar>
            <w:left w:w="70" w:type="dxa"/>
            <w:right w:w="70" w:type="dxa"/>
          </w:tblCellMar>
        </w:tblPrEx>
        <w:trPr>
          <w:cantSplit/>
          <w:trHeight w:val="340"/>
        </w:trPr>
        <w:tc>
          <w:tcPr>
            <w:tcW w:w="324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720" w:type="dxa"/>
            <w:vMerge/>
            <w:tcBorders>
              <w:top w:val="nil"/>
              <w:left w:val="nil"/>
              <w:bottom w:val="single" w:sz="4" w:space="0" w:color="999999"/>
              <w:right w:val="nil"/>
            </w:tcBorders>
            <w:textDirection w:val="lrTb"/>
            <w:vAlign w:val="center"/>
          </w:tcPr>
          <w:p w:rsidR="00034313" w:rsidRPr="00A127EB" w:rsidP="00F46C00">
            <w:pPr>
              <w:bidi w:val="0"/>
              <w:spacing w:line="22" w:lineRule="atLeast"/>
              <w:rPr>
                <w:rFonts w:ascii="Times New Roman" w:hAnsi="Times New Roman"/>
                <w:lang w:val="sk-SK"/>
              </w:rPr>
            </w:pPr>
          </w:p>
        </w:tc>
        <w:tc>
          <w:tcPr>
            <w:tcW w:w="4048"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both"/>
              <w:rPr>
                <w:rFonts w:ascii="Times New Roman" w:hAnsi="Times New Roman"/>
                <w:lang w:val="sk-SK"/>
              </w:rPr>
            </w:pPr>
            <w:r w:rsidRPr="00A127EB">
              <w:rPr>
                <w:rFonts w:ascii="Times New Roman" w:hAnsi="Times New Roman"/>
                <w:lang w:val="sk-SK"/>
              </w:rPr>
              <w:t>odkaz na zverejnenú informáciu</w:t>
            </w:r>
          </w:p>
        </w:tc>
        <w:tc>
          <w:tcPr>
            <w:tcW w:w="1352" w:type="dxa"/>
            <w:tcBorders>
              <w:top w:val="single" w:sz="4" w:space="0" w:color="999999"/>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0</w:t>
            </w:r>
          </w:p>
        </w:tc>
      </w:tr>
    </w:tbl>
    <w:p w:rsidR="00034313" w:rsidRPr="00A127EB" w:rsidP="00F46C00">
      <w:pPr>
        <w:pStyle w:val="FootnoteText"/>
        <w:overflowPunct w:val="0"/>
        <w:autoSpaceDE w:val="0"/>
        <w:autoSpaceDN w:val="0"/>
        <w:bidi w:val="0"/>
        <w:adjustRightInd w:val="0"/>
        <w:spacing w:line="22" w:lineRule="atLeast"/>
        <w:rPr>
          <w:rFonts w:ascii="Arial Narrow" w:hAnsi="Arial Narrow"/>
          <w:lang w:val="sk-SK"/>
        </w:rPr>
      </w:pPr>
    </w:p>
    <w:tbl>
      <w:tblPr>
        <w:tblStyle w:val="TableNormal"/>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3240"/>
        <w:gridCol w:w="720"/>
        <w:gridCol w:w="4048"/>
        <w:gridCol w:w="1352"/>
      </w:tblGrid>
      <w:tr>
        <w:tblPrEx>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c>
          <w:tcPr>
            <w:tcW w:w="9360" w:type="dxa"/>
            <w:gridSpan w:val="4"/>
            <w:tcBorders>
              <w:top w:val="single" w:sz="4" w:space="0" w:color="999999"/>
              <w:left w:val="nil"/>
              <w:bottom w:val="double" w:sz="4" w:space="0" w:color="999999"/>
              <w:right w:val="nil"/>
            </w:tcBorders>
            <w:shd w:val="clear" w:color="auto" w:fill="CCCCFF"/>
            <w:textDirection w:val="lrTb"/>
            <w:vAlign w:val="top"/>
          </w:tcPr>
          <w:p w:rsidR="00034313" w:rsidRPr="00A127EB" w:rsidP="00F46C00">
            <w:pPr>
              <w:overflowPunct w:val="0"/>
              <w:autoSpaceDE w:val="0"/>
              <w:autoSpaceDN w:val="0"/>
              <w:bidi w:val="0"/>
              <w:adjustRightInd w:val="0"/>
              <w:spacing w:line="22" w:lineRule="atLeast"/>
              <w:rPr>
                <w:rFonts w:ascii="Times New Roman" w:hAnsi="Times New Roman"/>
                <w:lang w:val="sk-SK"/>
              </w:rPr>
            </w:pPr>
          </w:p>
        </w:tc>
      </w:tr>
      <w:tr>
        <w:tblPrEx>
          <w:tblW w:w="0" w:type="auto"/>
          <w:tblInd w:w="70" w:type="dxa"/>
          <w:tblBorders>
            <w:top w:val="single" w:sz="4" w:space="0" w:color="999999"/>
            <w:left w:val="none" w:sz="0" w:space="0" w:color="auto"/>
            <w:bottom w:val="single" w:sz="4" w:space="0" w:color="999999"/>
            <w:right w:val="none" w:sz="0" w:space="0" w:color="auto"/>
            <w:insideV w:val="none" w:sz="0" w:space="0" w:color="auto"/>
          </w:tblBorders>
          <w:tblCellMar>
            <w:left w:w="70" w:type="dxa"/>
            <w:right w:w="70" w:type="dxa"/>
          </w:tblCellMar>
        </w:tblPrEx>
        <w:trPr>
          <w:trHeight w:val="780"/>
        </w:trPr>
        <w:tc>
          <w:tcPr>
            <w:tcW w:w="3240" w:type="dxa"/>
            <w:tcBorders>
              <w:top w:val="single" w:sz="4" w:space="0" w:color="auto"/>
              <w:left w:val="nil"/>
              <w:bottom w:val="single" w:sz="4" w:space="0" w:color="999999"/>
              <w:right w:val="nil"/>
            </w:tcBorders>
            <w:textDirection w:val="lrTb"/>
            <w:vAlign w:val="center"/>
          </w:tcPr>
          <w:p w:rsidR="00034313" w:rsidRPr="00A127EB" w:rsidP="00F46C00">
            <w:pPr>
              <w:pStyle w:val="FootnoteText"/>
              <w:overflowPunct w:val="0"/>
              <w:autoSpaceDE w:val="0"/>
              <w:autoSpaceDN w:val="0"/>
              <w:bidi w:val="0"/>
              <w:adjustRightInd w:val="0"/>
              <w:spacing w:line="22" w:lineRule="atLeast"/>
              <w:rPr>
                <w:rFonts w:ascii="Times New Roman" w:hAnsi="Times New Roman"/>
                <w:sz w:val="24"/>
                <w:szCs w:val="24"/>
                <w:lang w:val="sk-SK"/>
              </w:rPr>
            </w:pPr>
            <w:r w:rsidRPr="00A127EB">
              <w:rPr>
                <w:rFonts w:ascii="Times New Roman" w:hAnsi="Times New Roman"/>
                <w:sz w:val="24"/>
                <w:szCs w:val="24"/>
                <w:lang w:val="sk-SK"/>
              </w:rPr>
              <w:t>počet vydaných písomných rozhodnutí o odmietnutí</w:t>
            </w:r>
          </w:p>
        </w:tc>
        <w:tc>
          <w:tcPr>
            <w:tcW w:w="720" w:type="dxa"/>
            <w:tcBorders>
              <w:top w:val="single" w:sz="4" w:space="0" w:color="auto"/>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jc w:val="center"/>
              <w:rPr>
                <w:rFonts w:ascii="Times New Roman" w:hAnsi="Times New Roman"/>
                <w:lang w:val="sk-SK"/>
              </w:rPr>
            </w:pPr>
            <w:r>
              <w:rPr>
                <w:rFonts w:ascii="Times New Roman" w:hAnsi="Times New Roman"/>
                <w:lang w:val="sk-SK"/>
              </w:rPr>
              <w:t>10</w:t>
            </w:r>
          </w:p>
        </w:tc>
        <w:tc>
          <w:tcPr>
            <w:tcW w:w="4048" w:type="dxa"/>
            <w:tcBorders>
              <w:top w:val="single" w:sz="4" w:space="0" w:color="auto"/>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rPr>
                <w:rFonts w:ascii="Times New Roman" w:hAnsi="Times New Roman"/>
                <w:lang w:val="sk-SK"/>
              </w:rPr>
            </w:pPr>
            <w:r w:rsidRPr="00A127EB">
              <w:rPr>
                <w:rFonts w:ascii="Times New Roman" w:hAnsi="Times New Roman"/>
                <w:lang w:val="sk-SK"/>
              </w:rPr>
              <w:t>počet podaných odvolaní oprávnených osôb k rozhodnutiam o odmietnutí</w:t>
            </w:r>
          </w:p>
        </w:tc>
        <w:tc>
          <w:tcPr>
            <w:tcW w:w="1352" w:type="dxa"/>
            <w:tcBorders>
              <w:top w:val="single" w:sz="4" w:space="0" w:color="auto"/>
              <w:left w:val="nil"/>
              <w:bottom w:val="single" w:sz="4" w:space="0" w:color="999999"/>
              <w:right w:val="nil"/>
            </w:tcBorders>
            <w:textDirection w:val="lrTb"/>
            <w:vAlign w:val="center"/>
          </w:tcPr>
          <w:p w:rsidR="00034313" w:rsidRPr="00A127EB" w:rsidP="00F46C00">
            <w:pPr>
              <w:overflowPunct w:val="0"/>
              <w:autoSpaceDE w:val="0"/>
              <w:autoSpaceDN w:val="0"/>
              <w:bidi w:val="0"/>
              <w:adjustRightInd w:val="0"/>
              <w:spacing w:line="22" w:lineRule="atLeast"/>
              <w:ind w:right="290"/>
              <w:jc w:val="right"/>
              <w:rPr>
                <w:rFonts w:ascii="Times New Roman" w:hAnsi="Times New Roman"/>
                <w:lang w:val="sk-SK"/>
              </w:rPr>
            </w:pPr>
            <w:r>
              <w:rPr>
                <w:rFonts w:ascii="Times New Roman" w:hAnsi="Times New Roman"/>
                <w:lang w:val="sk-SK"/>
              </w:rPr>
              <w:t>1</w:t>
            </w:r>
          </w:p>
        </w:tc>
      </w:tr>
    </w:tbl>
    <w:p w:rsidR="00034313" w:rsidRPr="00A127EB" w:rsidP="00034313">
      <w:pPr>
        <w:pStyle w:val="BodyTextIndent1"/>
        <w:tabs>
          <w:tab w:val="clear" w:pos="540"/>
        </w:tabs>
        <w:overflowPunct/>
        <w:autoSpaceDE/>
        <w:autoSpaceDN/>
        <w:bidi w:val="0"/>
        <w:adjustRightInd/>
        <w:spacing w:before="0"/>
        <w:ind w:firstLine="709"/>
        <w:rPr>
          <w:rFonts w:ascii="Times New Roman" w:hAnsi="Times New Roman"/>
        </w:rPr>
      </w:pPr>
    </w:p>
    <w:p w:rsidR="00034313" w:rsidRPr="00A127EB" w:rsidP="00F46C00">
      <w:pPr>
        <w:pStyle w:val="BodyTextIndent1"/>
        <w:tabs>
          <w:tab w:val="clear" w:pos="540"/>
          <w:tab w:val="left" w:pos="708"/>
        </w:tabs>
        <w:overflowPunct/>
        <w:autoSpaceDE/>
        <w:bidi w:val="0"/>
        <w:adjustRightInd/>
        <w:spacing w:line="264" w:lineRule="auto"/>
        <w:rPr>
          <w:rFonts w:ascii="Times New Roman" w:hAnsi="Times New Roman"/>
        </w:rPr>
      </w:pPr>
      <w:bookmarkEnd w:id="7"/>
      <w:r>
        <w:rPr>
          <w:rFonts w:ascii="Times New Roman" w:hAnsi="Times New Roman"/>
        </w:rPr>
        <w:t xml:space="preserve">Obsahom žiadostí o sprístupnenie informácie podľa zákona </w:t>
      </w:r>
      <w:r w:rsidR="00A3553D">
        <w:rPr>
          <w:rFonts w:ascii="Times New Roman" w:hAnsi="Times New Roman"/>
        </w:rPr>
        <w:t xml:space="preserve">o </w:t>
      </w:r>
      <w:r>
        <w:rPr>
          <w:rFonts w:ascii="Times New Roman" w:hAnsi="Times New Roman"/>
        </w:rPr>
        <w:t>slobod</w:t>
      </w:r>
      <w:r w:rsidR="00E93685">
        <w:rPr>
          <w:rFonts w:ascii="Times New Roman" w:hAnsi="Times New Roman"/>
        </w:rPr>
        <w:t xml:space="preserve">e </w:t>
      </w:r>
      <w:r>
        <w:rPr>
          <w:rFonts w:ascii="Times New Roman" w:hAnsi="Times New Roman"/>
        </w:rPr>
        <w:t>informáci</w:t>
      </w:r>
      <w:r w:rsidR="00E93685">
        <w:rPr>
          <w:rFonts w:ascii="Times New Roman" w:hAnsi="Times New Roman"/>
        </w:rPr>
        <w:t>í b</w:t>
      </w:r>
      <w:r w:rsidRPr="00A127EB">
        <w:rPr>
          <w:rFonts w:ascii="Times New Roman" w:hAnsi="Times New Roman"/>
        </w:rPr>
        <w:t xml:space="preserve">oli </w:t>
      </w:r>
      <w:r>
        <w:rPr>
          <w:rFonts w:ascii="Times New Roman" w:hAnsi="Times New Roman"/>
        </w:rPr>
        <w:t xml:space="preserve">otázky ohľadom cenných papierov a predaja akcií z kupónovej privatizácie, </w:t>
      </w:r>
      <w:r w:rsidRPr="00A127EB">
        <w:rPr>
          <w:rFonts w:ascii="Times New Roman" w:hAnsi="Times New Roman"/>
        </w:rPr>
        <w:t>požiadavky na</w:t>
      </w:r>
      <w:r>
        <w:rPr>
          <w:rFonts w:ascii="Times New Roman" w:hAnsi="Times New Roman"/>
        </w:rPr>
        <w:t> </w:t>
      </w:r>
      <w:r w:rsidRPr="00A127EB">
        <w:rPr>
          <w:rFonts w:ascii="Times New Roman" w:hAnsi="Times New Roman"/>
        </w:rPr>
        <w:t>nahliadnutie do </w:t>
      </w:r>
      <w:r>
        <w:rPr>
          <w:rFonts w:ascii="Times New Roman" w:hAnsi="Times New Roman"/>
        </w:rPr>
        <w:t xml:space="preserve">spisov alebo sprístupnenie </w:t>
      </w:r>
      <w:r w:rsidRPr="00A127EB">
        <w:rPr>
          <w:rFonts w:ascii="Times New Roman" w:hAnsi="Times New Roman"/>
        </w:rPr>
        <w:t>privatizačných projektov (v súvislosti s prevodom hnuteľného alebo nehnuteľného majetku), privatizácie podnikov a pl</w:t>
      </w:r>
      <w:r>
        <w:rPr>
          <w:rFonts w:ascii="Times New Roman" w:hAnsi="Times New Roman"/>
        </w:rPr>
        <w:t>nenia privatizačných zmlúv. F</w:t>
      </w:r>
      <w:r w:rsidR="00E93685">
        <w:rPr>
          <w:rFonts w:ascii="Times New Roman" w:hAnsi="Times New Roman"/>
        </w:rPr>
        <w:t>NM SR</w:t>
      </w:r>
      <w:r>
        <w:rPr>
          <w:rFonts w:ascii="Times New Roman" w:hAnsi="Times New Roman"/>
        </w:rPr>
        <w:t xml:space="preserve"> bolo doručených dvanásť podnetov na vydanie rozhodnutia </w:t>
      </w:r>
      <w:r w:rsidRPr="00A127EB">
        <w:rPr>
          <w:rFonts w:ascii="Times New Roman" w:hAnsi="Times New Roman"/>
        </w:rPr>
        <w:t>od iných povinných osôb</w:t>
      </w:r>
      <w:r>
        <w:rPr>
          <w:rFonts w:ascii="Times New Roman" w:hAnsi="Times New Roman"/>
        </w:rPr>
        <w:t>, pričom z desiatich rozhodnutí o odmietnutí sprístupniť informácie bolo podané jedno odvolanie oprávnenej osoby</w:t>
      </w:r>
      <w:r w:rsidRPr="00A127EB">
        <w:rPr>
          <w:rFonts w:ascii="Times New Roman" w:hAnsi="Times New Roman"/>
        </w:rPr>
        <w:t>. V prípadoch žiadostí týkajúcich sa privatizačných projektov fond poskytoval informácie v takom rozsahu, aby nedošlo k porušeniu obchodného tajomstva. Sprístupňoval informácie všeobecného charakteru, ktoré sú zverejnené alebo nespadajú pod ochranu osobných údajov alebo ochranu obchodného tajomstva. Zo sprístupnených zmlúv tak boli vylúčené tie informácie, na ktoré sa vzťahujú obmedzenia prístupu k informáciám uvedené v § 8 až § 13 zákona o slobode informácií.</w:t>
      </w:r>
    </w:p>
    <w:p w:rsidR="00034313" w:rsidRPr="00A127EB" w:rsidP="00F46C00">
      <w:pPr>
        <w:pStyle w:val="BodyTextIndent1"/>
        <w:tabs>
          <w:tab w:val="clear" w:pos="540"/>
          <w:tab w:val="left" w:pos="708"/>
        </w:tabs>
        <w:overflowPunct/>
        <w:autoSpaceDE/>
        <w:bidi w:val="0"/>
        <w:adjustRightInd/>
        <w:spacing w:line="264" w:lineRule="auto"/>
        <w:rPr>
          <w:rFonts w:ascii="Times New Roman" w:hAnsi="Times New Roman"/>
        </w:rPr>
      </w:pPr>
      <w:r w:rsidRPr="00A127EB">
        <w:rPr>
          <w:rFonts w:ascii="Times New Roman" w:hAnsi="Times New Roman"/>
        </w:rPr>
        <w:t>V evidencii žiadostí o poskytovanie informácie neboli zahrnuté operatívne informácie, týkajúce sa telefonických alebo elektronickou poštou zaslaných otázok k výplate dlhopisov fondu a tiež k problematike cenných papierov, vyplývajúcej z novelizácie zákona o cenných papieroch, ktoré boli vybavované priamo príslušnou odbornou sekciou analýz, stratégie</w:t>
      </w:r>
      <w:r w:rsidRPr="00A127EB">
        <w:rPr>
          <w:rFonts w:ascii="Times New Roman" w:hAnsi="Times New Roman"/>
          <w:sz w:val="16"/>
          <w:szCs w:val="16"/>
        </w:rPr>
        <w:t xml:space="preserve"> </w:t>
      </w:r>
      <w:r w:rsidRPr="00A127EB">
        <w:rPr>
          <w:rFonts w:ascii="Times New Roman" w:hAnsi="Times New Roman"/>
        </w:rPr>
        <w:t>a kapitálového</w:t>
      </w:r>
      <w:r w:rsidRPr="00A127EB">
        <w:rPr>
          <w:rFonts w:ascii="Times New Roman" w:hAnsi="Times New Roman"/>
          <w:sz w:val="18"/>
          <w:szCs w:val="18"/>
        </w:rPr>
        <w:t xml:space="preserve"> </w:t>
      </w:r>
      <w:r w:rsidRPr="00A127EB">
        <w:rPr>
          <w:rFonts w:ascii="Times New Roman" w:hAnsi="Times New Roman"/>
        </w:rPr>
        <w:t>trhu.</w:t>
      </w:r>
      <w:r w:rsidRPr="00A127EB">
        <w:rPr>
          <w:rFonts w:ascii="Times New Roman" w:hAnsi="Times New Roman"/>
          <w:sz w:val="18"/>
          <w:szCs w:val="18"/>
        </w:rPr>
        <w:t xml:space="preserve"> </w:t>
      </w:r>
      <w:r w:rsidRPr="00A127EB">
        <w:rPr>
          <w:rFonts w:ascii="Times New Roman" w:hAnsi="Times New Roman"/>
        </w:rPr>
        <w:t>K tejto</w:t>
      </w:r>
      <w:r w:rsidRPr="00A127EB">
        <w:rPr>
          <w:rFonts w:ascii="Times New Roman" w:hAnsi="Times New Roman"/>
          <w:sz w:val="18"/>
          <w:szCs w:val="18"/>
        </w:rPr>
        <w:t xml:space="preserve"> </w:t>
      </w:r>
      <w:r w:rsidRPr="00A127EB">
        <w:rPr>
          <w:rFonts w:ascii="Times New Roman" w:hAnsi="Times New Roman"/>
        </w:rPr>
        <w:t>problematike</w:t>
      </w:r>
      <w:r w:rsidRPr="00A127EB">
        <w:rPr>
          <w:rFonts w:ascii="Times New Roman" w:hAnsi="Times New Roman"/>
          <w:sz w:val="18"/>
          <w:szCs w:val="18"/>
        </w:rPr>
        <w:t xml:space="preserve"> </w:t>
      </w:r>
      <w:r w:rsidRPr="00A127EB">
        <w:rPr>
          <w:rFonts w:ascii="Times New Roman" w:hAnsi="Times New Roman"/>
        </w:rPr>
        <w:t>boli</w:t>
      </w:r>
      <w:r w:rsidRPr="00A127EB">
        <w:rPr>
          <w:rFonts w:ascii="Times New Roman" w:hAnsi="Times New Roman"/>
          <w:sz w:val="18"/>
          <w:szCs w:val="18"/>
        </w:rPr>
        <w:t xml:space="preserve"> </w:t>
      </w:r>
      <w:r w:rsidRPr="00A127EB">
        <w:rPr>
          <w:rFonts w:ascii="Times New Roman" w:hAnsi="Times New Roman"/>
        </w:rPr>
        <w:t>zo</w:t>
      </w:r>
      <w:r w:rsidRPr="00A127EB">
        <w:rPr>
          <w:rFonts w:ascii="Times New Roman" w:hAnsi="Times New Roman"/>
          <w:sz w:val="18"/>
          <w:szCs w:val="18"/>
        </w:rPr>
        <w:t xml:space="preserve"> </w:t>
      </w:r>
      <w:r w:rsidRPr="00A127EB">
        <w:rPr>
          <w:rFonts w:ascii="Times New Roman" w:hAnsi="Times New Roman"/>
        </w:rPr>
        <w:t>strany</w:t>
      </w:r>
      <w:r w:rsidRPr="00A127EB">
        <w:rPr>
          <w:rFonts w:ascii="Times New Roman" w:hAnsi="Times New Roman"/>
          <w:sz w:val="18"/>
          <w:szCs w:val="18"/>
        </w:rPr>
        <w:t xml:space="preserve"> </w:t>
      </w:r>
      <w:r w:rsidRPr="00A127EB">
        <w:rPr>
          <w:rFonts w:ascii="Times New Roman" w:hAnsi="Times New Roman"/>
        </w:rPr>
        <w:t>fondu</w:t>
      </w:r>
      <w:r w:rsidRPr="00A127EB">
        <w:rPr>
          <w:rFonts w:ascii="Times New Roman" w:hAnsi="Times New Roman"/>
          <w:sz w:val="18"/>
          <w:szCs w:val="18"/>
        </w:rPr>
        <w:t xml:space="preserve"> </w:t>
      </w:r>
      <w:r w:rsidRPr="00A127EB">
        <w:rPr>
          <w:rFonts w:ascii="Times New Roman" w:hAnsi="Times New Roman"/>
        </w:rPr>
        <w:t>sprístupnené v dostatočnom rozsahu aj informácie priamo na webovom sídle fondu.</w:t>
      </w:r>
    </w:p>
    <w:p w:rsidR="00F46C00" w:rsidP="00F46C00">
      <w:pPr>
        <w:pStyle w:val="BodyTextIndent1"/>
        <w:tabs>
          <w:tab w:val="clear" w:pos="540"/>
          <w:tab w:val="left" w:pos="708"/>
        </w:tabs>
        <w:overflowPunct/>
        <w:autoSpaceDE/>
        <w:bidi w:val="0"/>
        <w:adjustRightInd/>
        <w:spacing w:line="264" w:lineRule="auto"/>
        <w:rPr>
          <w:rStyle w:val="Strong"/>
          <w:b w:val="0"/>
        </w:rPr>
      </w:pPr>
      <w:r w:rsidRPr="00A127EB" w:rsidR="00034313">
        <w:rPr>
          <w:rFonts w:ascii="Times New Roman" w:hAnsi="Times New Roman"/>
        </w:rPr>
        <w:t>Okrem uvedeného, fond na svojom webovom sídle zverejňoval, v zmysle zákona o slobode informácií, prehľad objednávok tovarov a služieb a tiež faktúry. Povinne zverejňované zmluvy, ktorých účastníkom je fond ako povinná osoba, boli v roku 201</w:t>
      </w:r>
      <w:r w:rsidR="00E93685">
        <w:rPr>
          <w:rFonts w:ascii="Times New Roman" w:hAnsi="Times New Roman"/>
        </w:rPr>
        <w:t>4</w:t>
      </w:r>
      <w:r w:rsidRPr="00A127EB" w:rsidR="00034313">
        <w:rPr>
          <w:rFonts w:ascii="Times New Roman" w:hAnsi="Times New Roman"/>
        </w:rPr>
        <w:t xml:space="preserve"> registrované a zverejňované v Centrálnom registri zmlúv, ktorého prevádzkovateľom je </w:t>
      </w:r>
      <w:r w:rsidRPr="00A127EB" w:rsidR="00034313">
        <w:rPr>
          <w:rStyle w:val="Strong"/>
          <w:b w:val="0"/>
        </w:rPr>
        <w:t>Úrad vlády SR.</w:t>
      </w:r>
    </w:p>
    <w:p w:rsidR="00F46C00" w:rsidP="00F46C00">
      <w:pPr>
        <w:pStyle w:val="BodyTextIndent1"/>
        <w:tabs>
          <w:tab w:val="clear" w:pos="540"/>
          <w:tab w:val="left" w:pos="708"/>
        </w:tabs>
        <w:overflowPunct/>
        <w:autoSpaceDE/>
        <w:bidi w:val="0"/>
        <w:adjustRightInd/>
        <w:spacing w:line="264" w:lineRule="auto"/>
        <w:rPr>
          <w:rStyle w:val="Strong"/>
          <w:b w:val="0"/>
        </w:rPr>
      </w:pPr>
    </w:p>
    <w:p w:rsidR="00F46C00" w:rsidP="00F46C00">
      <w:pPr>
        <w:pStyle w:val="BodyTextIndent1"/>
        <w:tabs>
          <w:tab w:val="clear" w:pos="540"/>
          <w:tab w:val="left" w:pos="708"/>
        </w:tabs>
        <w:overflowPunct/>
        <w:autoSpaceDE/>
        <w:bidi w:val="0"/>
        <w:adjustRightInd/>
        <w:spacing w:line="264" w:lineRule="auto"/>
        <w:rPr>
          <w:rStyle w:val="Strong"/>
          <w:b w:val="0"/>
        </w:rPr>
      </w:pPr>
    </w:p>
    <w:p w:rsidR="002C3B67" w:rsidRPr="00DA5B8F" w:rsidP="003E7BBA">
      <w:pPr>
        <w:numPr>
          <w:numId w:val="3"/>
        </w:numPr>
        <w:tabs>
          <w:tab w:val="num" w:pos="0"/>
          <w:tab w:val="clear" w:pos="720"/>
        </w:tabs>
        <w:bidi w:val="0"/>
        <w:ind w:left="0" w:firstLine="0"/>
        <w:rPr>
          <w:rFonts w:ascii="Times New Roman" w:hAnsi="Times New Roman"/>
          <w:b/>
          <w:bCs/>
          <w:caps/>
          <w:lang w:val="sk-SK"/>
        </w:rPr>
      </w:pPr>
      <w:r w:rsidR="00C93F3F">
        <w:rPr>
          <w:rFonts w:ascii="Times New Roman" w:hAnsi="Times New Roman"/>
          <w:b/>
          <w:bCs/>
          <w:caps/>
        </w:rPr>
        <w:br w:type="page"/>
      </w:r>
      <w:r w:rsidRPr="00DA5B8F">
        <w:rPr>
          <w:rFonts w:ascii="Times New Roman" w:hAnsi="Times New Roman"/>
          <w:b/>
          <w:bCs/>
          <w:caps/>
          <w:lang w:val="sk-SK"/>
        </w:rPr>
        <w:t>Hospodárenie fondu v roku 201</w:t>
      </w:r>
      <w:r w:rsidRPr="00DA5B8F" w:rsidR="00D54730">
        <w:rPr>
          <w:rFonts w:ascii="Times New Roman" w:hAnsi="Times New Roman"/>
          <w:b/>
          <w:bCs/>
          <w:caps/>
          <w:lang w:val="sk-SK"/>
        </w:rPr>
        <w:t>4</w:t>
      </w:r>
    </w:p>
    <w:p w:rsidR="002C3B67" w:rsidRPr="00DA5B8F">
      <w:pPr>
        <w:pStyle w:val="Header"/>
        <w:numPr>
          <w:ilvl w:val="1"/>
          <w:numId w:val="14"/>
        </w:numPr>
        <w:shd w:val="clear" w:color="auto" w:fill="E6E6E6"/>
        <w:tabs>
          <w:tab w:val="clear" w:pos="4703"/>
          <w:tab w:val="clear" w:pos="9406"/>
        </w:tabs>
        <w:bidi w:val="0"/>
        <w:spacing w:before="360" w:after="240"/>
        <w:jc w:val="both"/>
        <w:rPr>
          <w:rFonts w:ascii="Times New Roman" w:hAnsi="Times New Roman"/>
          <w:b/>
          <w:bCs/>
          <w:lang w:val="sk-SK"/>
        </w:rPr>
      </w:pPr>
      <w:bookmarkStart w:id="8" w:name="OLE_LINK13"/>
      <w:r w:rsidRPr="00DA5B8F">
        <w:rPr>
          <w:rFonts w:ascii="Times New Roman" w:hAnsi="Times New Roman"/>
          <w:b/>
          <w:bCs/>
          <w:lang w:val="sk-SK"/>
        </w:rPr>
        <w:t>Príjmy fondu (počítané na báze cash flow)</w:t>
      </w:r>
    </w:p>
    <w:p w:rsidR="002C3B67" w:rsidRPr="00DA5B8F" w:rsidP="00C93F3F">
      <w:pPr>
        <w:pStyle w:val="BodyTextIndent2"/>
        <w:bidi w:val="0"/>
        <w:spacing w:before="120" w:line="264" w:lineRule="auto"/>
        <w:ind w:left="0" w:firstLine="0"/>
        <w:rPr>
          <w:rFonts w:ascii="Times New Roman" w:hAnsi="Times New Roman"/>
        </w:rPr>
      </w:pPr>
      <w:r w:rsidRPr="00DA5B8F">
        <w:rPr>
          <w:rFonts w:ascii="Times New Roman" w:hAnsi="Times New Roman"/>
        </w:rPr>
        <w:t>V roku 201</w:t>
      </w:r>
      <w:r w:rsidRPr="00DA5B8F" w:rsidR="00D54730">
        <w:rPr>
          <w:rFonts w:ascii="Times New Roman" w:hAnsi="Times New Roman"/>
        </w:rPr>
        <w:t>4</w:t>
      </w:r>
      <w:r w:rsidRPr="00DA5B8F">
        <w:rPr>
          <w:rFonts w:ascii="Times New Roman" w:hAnsi="Times New Roman"/>
        </w:rPr>
        <w:t xml:space="preserve"> príjmy fondu dosiahli objem </w:t>
      </w:r>
      <w:r w:rsidRPr="00DA5B8F" w:rsidR="00EB3995">
        <w:rPr>
          <w:rFonts w:ascii="Times New Roman" w:hAnsi="Times New Roman"/>
        </w:rPr>
        <w:t>267</w:t>
      </w:r>
      <w:r w:rsidRPr="00DA5B8F">
        <w:rPr>
          <w:rFonts w:ascii="Times New Roman" w:hAnsi="Times New Roman"/>
        </w:rPr>
        <w:t> </w:t>
      </w:r>
      <w:r w:rsidRPr="00DA5B8F" w:rsidR="00EB3995">
        <w:rPr>
          <w:rFonts w:ascii="Times New Roman" w:hAnsi="Times New Roman"/>
        </w:rPr>
        <w:t>309</w:t>
      </w:r>
      <w:r w:rsidRPr="00DA5B8F">
        <w:rPr>
          <w:rFonts w:ascii="Times New Roman" w:hAnsi="Times New Roman"/>
        </w:rPr>
        <w:t> tis. Eur. Po započítaní zostatku prostriedkov z predchádzajúceho obdobia evidovaného vo výške 1</w:t>
      </w:r>
      <w:r w:rsidRPr="00DA5B8F" w:rsidR="00EB3995">
        <w:rPr>
          <w:rFonts w:ascii="Times New Roman" w:hAnsi="Times New Roman"/>
        </w:rPr>
        <w:t>0</w:t>
      </w:r>
      <w:r w:rsidRPr="00DA5B8F">
        <w:rPr>
          <w:rFonts w:ascii="Times New Roman" w:hAnsi="Times New Roman"/>
        </w:rPr>
        <w:t>2 </w:t>
      </w:r>
      <w:r w:rsidRPr="00DA5B8F" w:rsidR="00EB3995">
        <w:rPr>
          <w:rFonts w:ascii="Times New Roman" w:hAnsi="Times New Roman"/>
        </w:rPr>
        <w:t>484</w:t>
      </w:r>
      <w:r w:rsidRPr="00DA5B8F">
        <w:rPr>
          <w:rFonts w:ascii="Times New Roman" w:hAnsi="Times New Roman"/>
        </w:rPr>
        <w:t> tis. Eur (2</w:t>
      </w:r>
      <w:r w:rsidRPr="00DA5B8F" w:rsidR="00EA159C">
        <w:rPr>
          <w:rFonts w:ascii="Times New Roman" w:hAnsi="Times New Roman"/>
        </w:rPr>
        <w:t>7,71</w:t>
      </w:r>
      <w:r w:rsidRPr="00DA5B8F">
        <w:rPr>
          <w:rFonts w:ascii="Times New Roman" w:hAnsi="Times New Roman"/>
        </w:rPr>
        <w:t> %) zdroje, ktoré mal fond počas roku 201</w:t>
      </w:r>
      <w:r w:rsidRPr="00DA5B8F" w:rsidR="00EB3995">
        <w:rPr>
          <w:rFonts w:ascii="Times New Roman" w:hAnsi="Times New Roman"/>
        </w:rPr>
        <w:t>4</w:t>
      </w:r>
      <w:r w:rsidRPr="00DA5B8F">
        <w:rPr>
          <w:rFonts w:ascii="Times New Roman" w:hAnsi="Times New Roman"/>
        </w:rPr>
        <w:t xml:space="preserve"> k dispozícii na uhrádzanie svojich záväzkov</w:t>
      </w:r>
      <w:r w:rsidRPr="00DA5B8F" w:rsidR="00EB4F66">
        <w:rPr>
          <w:rFonts w:ascii="Times New Roman" w:hAnsi="Times New Roman"/>
        </w:rPr>
        <w:t>,</w:t>
      </w:r>
      <w:r w:rsidRPr="00DA5B8F">
        <w:rPr>
          <w:rFonts w:ascii="Times New Roman" w:hAnsi="Times New Roman"/>
        </w:rPr>
        <w:t xml:space="preserve"> dosiahli objem </w:t>
      </w:r>
      <w:r w:rsidRPr="00DA5B8F" w:rsidR="00EB3995">
        <w:rPr>
          <w:rFonts w:ascii="Times New Roman" w:hAnsi="Times New Roman"/>
        </w:rPr>
        <w:t>369</w:t>
      </w:r>
      <w:r w:rsidRPr="00DA5B8F">
        <w:rPr>
          <w:rFonts w:ascii="Times New Roman" w:hAnsi="Times New Roman"/>
        </w:rPr>
        <w:t> </w:t>
      </w:r>
      <w:r w:rsidRPr="00DA5B8F" w:rsidR="00EB3995">
        <w:rPr>
          <w:rFonts w:ascii="Times New Roman" w:hAnsi="Times New Roman"/>
        </w:rPr>
        <w:t>793</w:t>
      </w:r>
      <w:r w:rsidRPr="00DA5B8F">
        <w:rPr>
          <w:rFonts w:ascii="Times New Roman" w:hAnsi="Times New Roman"/>
        </w:rPr>
        <w:t> tis. Eur.</w:t>
      </w:r>
    </w:p>
    <w:p w:rsidR="002C3B67" w:rsidRPr="00DA5B8F" w:rsidP="00C93F3F">
      <w:pPr>
        <w:pStyle w:val="BodyTextIndent2"/>
        <w:bidi w:val="0"/>
        <w:spacing w:before="120" w:line="264" w:lineRule="auto"/>
        <w:ind w:left="0" w:firstLine="0"/>
        <w:rPr>
          <w:rFonts w:ascii="Times New Roman" w:hAnsi="Times New Roman"/>
        </w:rPr>
      </w:pPr>
      <w:r w:rsidRPr="00DA5B8F">
        <w:rPr>
          <w:rFonts w:ascii="Times New Roman" w:hAnsi="Times New Roman"/>
        </w:rPr>
        <w:t xml:space="preserve">Najvýznamnejšou príjmovou položkou, tak ako po minulé roky, boli aj v tomto období dividendy </w:t>
      </w:r>
      <w:r w:rsidRPr="00DA5B8F" w:rsidR="003E404E">
        <w:rPr>
          <w:rFonts w:ascii="Times New Roman" w:hAnsi="Times New Roman"/>
        </w:rPr>
        <w:t>od</w:t>
      </w:r>
      <w:r w:rsidRPr="00DA5B8F">
        <w:rPr>
          <w:rFonts w:ascii="Times New Roman" w:hAnsi="Times New Roman"/>
        </w:rPr>
        <w:t xml:space="preserve"> spoločností, v ktorých mal fond v predchádzajúcich obdobiach majetkovú účasť. Tieto príjmy tvoria 7</w:t>
      </w:r>
      <w:r w:rsidRPr="00DA5B8F" w:rsidR="00EA159C">
        <w:rPr>
          <w:rFonts w:ascii="Times New Roman" w:hAnsi="Times New Roman"/>
        </w:rPr>
        <w:t>1,94</w:t>
      </w:r>
      <w:r w:rsidRPr="00DA5B8F">
        <w:rPr>
          <w:rFonts w:ascii="Times New Roman" w:hAnsi="Times New Roman"/>
        </w:rPr>
        <w:t> %-ný podiel z celkových príjmov fondu a v súlade s rozhodnutím vlády boli prevedené na účet štátnych finančných aktív. Ďalšie položky ako príjmy zo zmlúv, ktoré fond uzavrel pred rokom 201</w:t>
      </w:r>
      <w:r w:rsidRPr="00DA5B8F" w:rsidR="00000072">
        <w:rPr>
          <w:rFonts w:ascii="Times New Roman" w:hAnsi="Times New Roman"/>
        </w:rPr>
        <w:t>4</w:t>
      </w:r>
      <w:r w:rsidRPr="00DA5B8F">
        <w:rPr>
          <w:rFonts w:ascii="Times New Roman" w:hAnsi="Times New Roman"/>
        </w:rPr>
        <w:t>, úroky z kúpnopredajných zmlúv, sankcie za oneskorené úhrady a iné, predstavujú len nepatrnú časť z celkového objemu zdrojov fondu.</w:t>
      </w:r>
    </w:p>
    <w:p w:rsidR="002C3B67" w:rsidRPr="00DA5B8F" w:rsidP="00C93F3F">
      <w:pPr>
        <w:pStyle w:val="BodyTextIndent2"/>
        <w:bidi w:val="0"/>
        <w:spacing w:before="120" w:line="264" w:lineRule="auto"/>
        <w:ind w:left="0" w:firstLine="0"/>
        <w:rPr>
          <w:rFonts w:ascii="Times New Roman" w:hAnsi="Times New Roman"/>
        </w:rPr>
      </w:pPr>
      <w:r w:rsidRPr="00DA5B8F">
        <w:rPr>
          <w:rFonts w:ascii="Times New Roman" w:hAnsi="Times New Roman"/>
        </w:rPr>
        <w:t>Peňažné prostriedky, ktoré mal fond počas roku na svojich účtoch, až do realizácie úhrad záväzk</w:t>
      </w:r>
      <w:r w:rsidRPr="00DA5B8F" w:rsidR="003E404E">
        <w:rPr>
          <w:rFonts w:ascii="Times New Roman" w:hAnsi="Times New Roman"/>
        </w:rPr>
        <w:t>ov</w:t>
      </w:r>
      <w:r w:rsidRPr="00DA5B8F">
        <w:rPr>
          <w:rFonts w:ascii="Times New Roman" w:hAnsi="Times New Roman"/>
        </w:rPr>
        <w:t xml:space="preserve"> fondu, boli zhodnocované prostredníctvom termínovaných vkladov. Úrokové výnosy vyplácané peňažnými ústavmi počas roku 201</w:t>
      </w:r>
      <w:r w:rsidRPr="00DA5B8F" w:rsidR="00000072">
        <w:rPr>
          <w:rFonts w:ascii="Times New Roman" w:hAnsi="Times New Roman"/>
        </w:rPr>
        <w:t>4</w:t>
      </w:r>
      <w:r w:rsidRPr="00DA5B8F">
        <w:rPr>
          <w:rFonts w:ascii="Times New Roman" w:hAnsi="Times New Roman"/>
        </w:rPr>
        <w:t xml:space="preserve"> ovplyvňoval objem prostriedkov, ktoré mal fond počas roka k dispozícii na svojich účtoch v bankách, ale hlavne základná úroková sadzba vyhlasovaná ECB. Takto získané prostriedky tvorili 0,0</w:t>
      </w:r>
      <w:r w:rsidRPr="00DA5B8F" w:rsidR="00000072">
        <w:rPr>
          <w:rFonts w:ascii="Times New Roman" w:hAnsi="Times New Roman"/>
        </w:rPr>
        <w:t>4</w:t>
      </w:r>
      <w:r w:rsidRPr="00DA5B8F">
        <w:rPr>
          <w:rFonts w:ascii="Times New Roman" w:hAnsi="Times New Roman"/>
        </w:rPr>
        <w:t> %-ný podiel z celkového objemu príjmov fondu v roku 201</w:t>
      </w:r>
      <w:r w:rsidRPr="00DA5B8F" w:rsidR="00000072">
        <w:rPr>
          <w:rFonts w:ascii="Times New Roman" w:hAnsi="Times New Roman"/>
        </w:rPr>
        <w:t>4</w:t>
      </w:r>
      <w:r w:rsidRPr="00DA5B8F">
        <w:rPr>
          <w:rFonts w:ascii="Times New Roman" w:hAnsi="Times New Roman"/>
        </w:rPr>
        <w:t>.</w:t>
      </w:r>
    </w:p>
    <w:p w:rsidR="002C3B67" w:rsidRPr="00DA5B8F">
      <w:pPr>
        <w:pStyle w:val="BodyTextIndent2"/>
        <w:bidi w:val="0"/>
        <w:spacing w:before="240" w:after="120" w:line="264" w:lineRule="auto"/>
        <w:ind w:left="0" w:firstLine="0"/>
        <w:rPr>
          <w:rFonts w:ascii="Times New Roman" w:hAnsi="Times New Roman"/>
          <w:b/>
          <w:bCs/>
        </w:rPr>
      </w:pPr>
      <w:r w:rsidRPr="00DA5B8F">
        <w:rPr>
          <w:rFonts w:ascii="Times New Roman" w:hAnsi="Times New Roman"/>
          <w:b/>
          <w:bCs/>
        </w:rPr>
        <w:t>Príjmy fondu v roku 201</w:t>
      </w:r>
      <w:r w:rsidRPr="00DA5B8F" w:rsidR="00D54730">
        <w:rPr>
          <w:rFonts w:ascii="Times New Roman" w:hAnsi="Times New Roman"/>
          <w:b/>
          <w:bCs/>
        </w:rPr>
        <w:t>4</w:t>
      </w:r>
    </w:p>
    <w:tbl>
      <w:tblPr>
        <w:tblStyle w:val="TableNormal"/>
        <w:tblW w:w="9430" w:type="dxa"/>
        <w:tblBorders>
          <w:top w:val="single" w:sz="4" w:space="0" w:color="999999"/>
          <w:bottom w:val="single" w:sz="4" w:space="0" w:color="999999"/>
          <w:insideH w:val="single" w:sz="4" w:space="0" w:color="999999"/>
        </w:tblBorders>
        <w:tblLayout w:type="fixed"/>
        <w:tblCellMar>
          <w:top w:w="0" w:type="dxa"/>
          <w:left w:w="70" w:type="dxa"/>
          <w:bottom w:w="0" w:type="dxa"/>
          <w:right w:w="70" w:type="dxa"/>
        </w:tblCellMar>
      </w:tblPr>
      <w:tblGrid>
        <w:gridCol w:w="438"/>
        <w:gridCol w:w="2152"/>
        <w:gridCol w:w="3780"/>
        <w:gridCol w:w="1800"/>
        <w:gridCol w:w="1260"/>
      </w:tblGrid>
      <w:tr>
        <w:tblPrEx>
          <w:tblW w:w="9430" w:type="dxa"/>
          <w:tblBorders>
            <w:top w:val="single" w:sz="4" w:space="0" w:color="999999"/>
            <w:bottom w:val="single" w:sz="4" w:space="0" w:color="999999"/>
            <w:insideH w:val="single" w:sz="4" w:space="0" w:color="999999"/>
          </w:tblBorders>
          <w:tblLayout w:type="fixed"/>
          <w:tblCellMar>
            <w:top w:w="0" w:type="dxa"/>
            <w:left w:w="70" w:type="dxa"/>
            <w:bottom w:w="0" w:type="dxa"/>
            <w:right w:w="70" w:type="dxa"/>
          </w:tblCellMar>
        </w:tblPrEx>
        <w:trPr>
          <w:trHeight w:val="567"/>
        </w:trPr>
        <w:tc>
          <w:tcPr>
            <w:tcW w:w="438"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left"/>
              <w:rPr>
                <w:rFonts w:ascii="Times New Roman" w:hAnsi="Times New Roman"/>
              </w:rPr>
            </w:pPr>
          </w:p>
        </w:tc>
        <w:tc>
          <w:tcPr>
            <w:tcW w:w="2152"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rPr>
                <w:rFonts w:ascii="Times New Roman" w:hAnsi="Times New Roman"/>
              </w:rPr>
            </w:pPr>
          </w:p>
        </w:tc>
        <w:tc>
          <w:tcPr>
            <w:tcW w:w="378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left"/>
              <w:rPr>
                <w:rFonts w:ascii="Times New Roman" w:hAnsi="Times New Roman"/>
              </w:rPr>
            </w:pPr>
          </w:p>
        </w:tc>
        <w:tc>
          <w:tcPr>
            <w:tcW w:w="180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center"/>
              <w:rPr>
                <w:rFonts w:ascii="Times New Roman" w:hAnsi="Times New Roman"/>
              </w:rPr>
            </w:pPr>
            <w:r w:rsidRPr="00DA5B8F">
              <w:rPr>
                <w:rFonts w:ascii="Times New Roman" w:hAnsi="Times New Roman"/>
              </w:rPr>
              <w:t>(v Eur)</w:t>
            </w:r>
          </w:p>
        </w:tc>
        <w:tc>
          <w:tcPr>
            <w:tcW w:w="126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center"/>
              <w:rPr>
                <w:rFonts w:ascii="Times New Roman" w:hAnsi="Times New Roman"/>
              </w:rPr>
            </w:pPr>
            <w:r w:rsidRPr="00DA5B8F">
              <w:rPr>
                <w:rFonts w:ascii="Times New Roman" w:hAnsi="Times New Roman"/>
              </w:rPr>
              <w:t>%</w:t>
            </w:r>
          </w:p>
        </w:tc>
      </w:tr>
      <w:tr>
        <w:tblPrEx>
          <w:tblW w:w="9430" w:type="dxa"/>
          <w:tblLayout w:type="fixed"/>
          <w:tblCellMar>
            <w:top w:w="0" w:type="dxa"/>
            <w:left w:w="70" w:type="dxa"/>
            <w:bottom w:w="0" w:type="dxa"/>
            <w:right w:w="70" w:type="dxa"/>
          </w:tblCellMar>
        </w:tblPrEx>
        <w:trPr>
          <w:cantSplit/>
          <w:trHeight w:hRule="exact" w:val="454"/>
        </w:trPr>
        <w:tc>
          <w:tcPr>
            <w:tcW w:w="438" w:type="dxa"/>
            <w:tcBorders>
              <w:top w:val="doub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1.</w:t>
            </w:r>
          </w:p>
        </w:tc>
        <w:tc>
          <w:tcPr>
            <w:tcW w:w="5932" w:type="dxa"/>
            <w:gridSpan w:val="2"/>
            <w:tcBorders>
              <w:top w:val="double" w:sz="4" w:space="0" w:color="999999"/>
              <w:left w:val="nil"/>
              <w:bottom w:val="single" w:sz="4" w:space="0" w:color="999999"/>
              <w:right w:val="nil"/>
            </w:tcBorders>
            <w:textDirection w:val="lrTb"/>
            <w:vAlign w:val="center"/>
          </w:tcPr>
          <w:p w:rsidR="002C3B67" w:rsidRPr="00DA5B8F" w:rsidP="00D54730">
            <w:pPr>
              <w:pStyle w:val="Heading8"/>
              <w:bidi w:val="0"/>
              <w:spacing w:before="0"/>
              <w:jc w:val="left"/>
              <w:rPr>
                <w:rFonts w:ascii="Times New Roman" w:hAnsi="Times New Roman"/>
                <w:b w:val="0"/>
                <w:bCs w:val="0"/>
              </w:rPr>
            </w:pPr>
            <w:r w:rsidRPr="00DA5B8F">
              <w:rPr>
                <w:rFonts w:ascii="Times New Roman" w:hAnsi="Times New Roman"/>
                <w:b w:val="0"/>
                <w:bCs w:val="0"/>
              </w:rPr>
              <w:t>Príjmy z predaja – uzavreté zmluvy pred rokom 201</w:t>
            </w:r>
            <w:r w:rsidRPr="00DA5B8F" w:rsidR="00D54730">
              <w:rPr>
                <w:rFonts w:ascii="Times New Roman" w:hAnsi="Times New Roman"/>
                <w:b w:val="0"/>
                <w:bCs w:val="0"/>
              </w:rPr>
              <w:t>4</w:t>
            </w:r>
          </w:p>
        </w:tc>
        <w:tc>
          <w:tcPr>
            <w:tcW w:w="1800" w:type="dxa"/>
            <w:tcBorders>
              <w:top w:val="double" w:sz="4" w:space="0" w:color="999999"/>
              <w:left w:val="nil"/>
              <w:bottom w:val="single" w:sz="4" w:space="0" w:color="999999"/>
              <w:right w:val="nil"/>
            </w:tcBorders>
            <w:textDirection w:val="lrTb"/>
            <w:vAlign w:val="center"/>
          </w:tcPr>
          <w:p w:rsidR="002C3B67" w:rsidRPr="00DA5B8F" w:rsidP="00A3729B">
            <w:pPr>
              <w:pStyle w:val="Heading8"/>
              <w:bidi w:val="0"/>
              <w:spacing w:before="0"/>
              <w:jc w:val="right"/>
              <w:rPr>
                <w:rFonts w:ascii="Times New Roman" w:hAnsi="Times New Roman"/>
                <w:b w:val="0"/>
                <w:bCs w:val="0"/>
              </w:rPr>
            </w:pPr>
            <w:r w:rsidRPr="00DA5B8F" w:rsidR="00A3729B">
              <w:rPr>
                <w:rFonts w:ascii="Times New Roman" w:hAnsi="Times New Roman"/>
                <w:b w:val="0"/>
                <w:bCs w:val="0"/>
              </w:rPr>
              <w:t>690</w:t>
            </w:r>
            <w:r w:rsidRPr="00DA5B8F">
              <w:rPr>
                <w:rFonts w:ascii="Times New Roman" w:hAnsi="Times New Roman"/>
                <w:b w:val="0"/>
                <w:bCs w:val="0"/>
              </w:rPr>
              <w:t>,00</w:t>
            </w:r>
          </w:p>
        </w:tc>
        <w:tc>
          <w:tcPr>
            <w:tcW w:w="1260" w:type="dxa"/>
            <w:tcBorders>
              <w:top w:val="double" w:sz="4" w:space="0" w:color="999999"/>
              <w:left w:val="nil"/>
              <w:bottom w:val="sing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0,00 %</w:t>
            </w:r>
          </w:p>
        </w:tc>
      </w:tr>
      <w:tr>
        <w:tblPrEx>
          <w:tblW w:w="9430" w:type="dxa"/>
          <w:tblLayout w:type="fixed"/>
          <w:tblCellMar>
            <w:top w:w="0" w:type="dxa"/>
            <w:left w:w="70" w:type="dxa"/>
            <w:bottom w:w="0" w:type="dxa"/>
            <w:right w:w="70" w:type="dxa"/>
          </w:tblCellMar>
        </w:tblPrEx>
        <w:trPr>
          <w:cantSplit/>
          <w:trHeight w:hRule="exact" w:val="454"/>
        </w:trPr>
        <w:tc>
          <w:tcPr>
            <w:tcW w:w="438"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2.</w:t>
            </w:r>
          </w:p>
        </w:tc>
        <w:tc>
          <w:tcPr>
            <w:tcW w:w="5932" w:type="dxa"/>
            <w:gridSpan w:val="2"/>
            <w:tcBorders>
              <w:top w:val="single" w:sz="4" w:space="0" w:color="999999"/>
              <w:left w:val="nil"/>
              <w:bottom w:val="single" w:sz="4" w:space="0" w:color="999999"/>
              <w:right w:val="nil"/>
            </w:tcBorders>
            <w:textDirection w:val="lrTb"/>
            <w:vAlign w:val="center"/>
          </w:tcPr>
          <w:p w:rsidR="002C3B67" w:rsidRPr="00DA5B8F" w:rsidP="00D54730">
            <w:pPr>
              <w:pStyle w:val="Heading8"/>
              <w:bidi w:val="0"/>
              <w:spacing w:before="0"/>
              <w:jc w:val="left"/>
              <w:rPr>
                <w:rFonts w:ascii="Times New Roman" w:hAnsi="Times New Roman"/>
                <w:b w:val="0"/>
                <w:bCs w:val="0"/>
              </w:rPr>
            </w:pPr>
            <w:r w:rsidRPr="00DA5B8F">
              <w:rPr>
                <w:rFonts w:ascii="Times New Roman" w:hAnsi="Times New Roman"/>
                <w:b w:val="0"/>
                <w:bCs w:val="0"/>
              </w:rPr>
              <w:t>Príjmy z predaja – nové zmluvy uzavreté v roku 201</w:t>
            </w:r>
            <w:r w:rsidRPr="00DA5B8F" w:rsidR="00D54730">
              <w:rPr>
                <w:rFonts w:ascii="Times New Roman" w:hAnsi="Times New Roman"/>
                <w:b w:val="0"/>
                <w:bCs w:val="0"/>
              </w:rPr>
              <w:t>4</w:t>
            </w:r>
          </w:p>
        </w:tc>
        <w:tc>
          <w:tcPr>
            <w:tcW w:w="1800" w:type="dxa"/>
            <w:tcBorders>
              <w:top w:val="single" w:sz="4" w:space="0" w:color="999999"/>
              <w:left w:val="nil"/>
              <w:bottom w:val="single" w:sz="4" w:space="0" w:color="999999"/>
              <w:right w:val="nil"/>
            </w:tcBorders>
            <w:textDirection w:val="lrTb"/>
            <w:vAlign w:val="center"/>
          </w:tcPr>
          <w:p w:rsidR="002C3B67" w:rsidRPr="00DA5B8F" w:rsidP="00A3729B">
            <w:pPr>
              <w:pStyle w:val="Heading8"/>
              <w:bidi w:val="0"/>
              <w:spacing w:before="0"/>
              <w:jc w:val="right"/>
              <w:rPr>
                <w:rFonts w:ascii="Times New Roman" w:hAnsi="Times New Roman"/>
                <w:b w:val="0"/>
                <w:bCs w:val="0"/>
              </w:rPr>
            </w:pPr>
            <w:r w:rsidRPr="00DA5B8F" w:rsidR="00A3729B">
              <w:rPr>
                <w:rFonts w:ascii="Times New Roman" w:hAnsi="Times New Roman"/>
                <w:b w:val="0"/>
                <w:bCs w:val="0"/>
              </w:rPr>
              <w:t>0,00</w:t>
            </w:r>
          </w:p>
        </w:tc>
        <w:tc>
          <w:tcPr>
            <w:tcW w:w="12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0,00 %</w:t>
            </w:r>
          </w:p>
        </w:tc>
      </w:tr>
      <w:tr>
        <w:tblPrEx>
          <w:tblW w:w="9430" w:type="dxa"/>
          <w:tblLayout w:type="fixed"/>
          <w:tblCellMar>
            <w:top w:w="0" w:type="dxa"/>
            <w:left w:w="70" w:type="dxa"/>
            <w:bottom w:w="0" w:type="dxa"/>
            <w:right w:w="70" w:type="dxa"/>
          </w:tblCellMar>
        </w:tblPrEx>
        <w:trPr>
          <w:cantSplit/>
          <w:trHeight w:hRule="exact" w:val="454"/>
        </w:trPr>
        <w:tc>
          <w:tcPr>
            <w:tcW w:w="438"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3.</w:t>
            </w:r>
          </w:p>
        </w:tc>
        <w:tc>
          <w:tcPr>
            <w:tcW w:w="5932" w:type="dxa"/>
            <w:gridSpan w:val="2"/>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bookmarkStart w:id="9" w:name="OLE_LINK2"/>
            <w:r w:rsidRPr="00DA5B8F">
              <w:rPr>
                <w:rFonts w:ascii="Times New Roman" w:hAnsi="Times New Roman"/>
                <w:b w:val="0"/>
                <w:bCs w:val="0"/>
              </w:rPr>
              <w:t>Úroky z vkladov v peňažných ústavoch</w:t>
            </w:r>
            <w:bookmarkEnd w:id="9"/>
          </w:p>
        </w:tc>
        <w:tc>
          <w:tcPr>
            <w:tcW w:w="1800" w:type="dxa"/>
            <w:tcBorders>
              <w:top w:val="single" w:sz="4" w:space="0" w:color="999999"/>
              <w:left w:val="nil"/>
              <w:bottom w:val="sing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sidR="00EB3995">
              <w:rPr>
                <w:rFonts w:ascii="Times New Roman" w:hAnsi="Times New Roman"/>
                <w:b w:val="0"/>
                <w:bCs w:val="0"/>
              </w:rPr>
              <w:t>142</w:t>
            </w:r>
            <w:r w:rsidRPr="00DA5B8F">
              <w:rPr>
                <w:rFonts w:ascii="Times New Roman" w:hAnsi="Times New Roman"/>
                <w:b w:val="0"/>
                <w:bCs w:val="0"/>
              </w:rPr>
              <w:t> </w:t>
            </w:r>
            <w:r w:rsidRPr="00DA5B8F" w:rsidR="00EB3995">
              <w:rPr>
                <w:rFonts w:ascii="Times New Roman" w:hAnsi="Times New Roman"/>
                <w:b w:val="0"/>
                <w:bCs w:val="0"/>
              </w:rPr>
              <w:t>856</w:t>
            </w:r>
            <w:r w:rsidRPr="00DA5B8F">
              <w:rPr>
                <w:rFonts w:ascii="Times New Roman" w:hAnsi="Times New Roman"/>
                <w:b w:val="0"/>
                <w:bCs w:val="0"/>
              </w:rPr>
              <w:t>,</w:t>
            </w:r>
            <w:r w:rsidRPr="00DA5B8F" w:rsidR="00EB3995">
              <w:rPr>
                <w:rFonts w:ascii="Times New Roman" w:hAnsi="Times New Roman"/>
                <w:b w:val="0"/>
                <w:bCs w:val="0"/>
              </w:rPr>
              <w:t>07</w:t>
            </w:r>
          </w:p>
        </w:tc>
        <w:tc>
          <w:tcPr>
            <w:tcW w:w="1260" w:type="dxa"/>
            <w:tcBorders>
              <w:top w:val="single" w:sz="4" w:space="0" w:color="999999"/>
              <w:left w:val="nil"/>
              <w:bottom w:val="sing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Pr>
                <w:rFonts w:ascii="Times New Roman" w:hAnsi="Times New Roman"/>
                <w:b w:val="0"/>
                <w:bCs w:val="0"/>
              </w:rPr>
              <w:t>0,0</w:t>
            </w:r>
            <w:r w:rsidRPr="00DA5B8F" w:rsidR="00EB3995">
              <w:rPr>
                <w:rFonts w:ascii="Times New Roman" w:hAnsi="Times New Roman"/>
                <w:b w:val="0"/>
                <w:bCs w:val="0"/>
              </w:rPr>
              <w:t>4</w:t>
            </w:r>
            <w:r w:rsidRPr="00DA5B8F">
              <w:rPr>
                <w:rFonts w:ascii="Times New Roman" w:hAnsi="Times New Roman"/>
                <w:b w:val="0"/>
                <w:bCs w:val="0"/>
              </w:rPr>
              <w:t> %</w:t>
            </w:r>
          </w:p>
        </w:tc>
      </w:tr>
      <w:tr>
        <w:tblPrEx>
          <w:tblW w:w="9430" w:type="dxa"/>
          <w:tblLayout w:type="fixed"/>
          <w:tblCellMar>
            <w:top w:w="0" w:type="dxa"/>
            <w:left w:w="70" w:type="dxa"/>
            <w:bottom w:w="0" w:type="dxa"/>
            <w:right w:w="70" w:type="dxa"/>
          </w:tblCellMar>
        </w:tblPrEx>
        <w:trPr>
          <w:cantSplit/>
          <w:trHeight w:hRule="exact" w:val="454"/>
        </w:trPr>
        <w:tc>
          <w:tcPr>
            <w:tcW w:w="438"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4.</w:t>
            </w:r>
          </w:p>
        </w:tc>
        <w:tc>
          <w:tcPr>
            <w:tcW w:w="5932" w:type="dxa"/>
            <w:gridSpan w:val="2"/>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Dividendy</w:t>
            </w:r>
          </w:p>
        </w:tc>
        <w:tc>
          <w:tcPr>
            <w:tcW w:w="1800" w:type="dxa"/>
            <w:tcBorders>
              <w:top w:val="single" w:sz="4" w:space="0" w:color="999999"/>
              <w:left w:val="nil"/>
              <w:bottom w:val="sing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sidR="00EB3995">
              <w:rPr>
                <w:rFonts w:ascii="Times New Roman" w:hAnsi="Times New Roman"/>
                <w:b w:val="0"/>
                <w:bCs w:val="0"/>
              </w:rPr>
              <w:t>266</w:t>
            </w:r>
            <w:r w:rsidRPr="00DA5B8F">
              <w:rPr>
                <w:rFonts w:ascii="Times New Roman" w:hAnsi="Times New Roman"/>
                <w:b w:val="0"/>
                <w:bCs w:val="0"/>
              </w:rPr>
              <w:t> </w:t>
            </w:r>
            <w:r w:rsidRPr="00DA5B8F" w:rsidR="00EB3995">
              <w:rPr>
                <w:rFonts w:ascii="Times New Roman" w:hAnsi="Times New Roman"/>
                <w:b w:val="0"/>
                <w:bCs w:val="0"/>
              </w:rPr>
              <w:t>031</w:t>
            </w:r>
            <w:r w:rsidRPr="00DA5B8F">
              <w:rPr>
                <w:rFonts w:ascii="Times New Roman" w:hAnsi="Times New Roman"/>
                <w:b w:val="0"/>
                <w:bCs w:val="0"/>
              </w:rPr>
              <w:t> </w:t>
            </w:r>
            <w:r w:rsidRPr="00DA5B8F" w:rsidR="00EB3995">
              <w:rPr>
                <w:rFonts w:ascii="Times New Roman" w:hAnsi="Times New Roman"/>
                <w:b w:val="0"/>
                <w:bCs w:val="0"/>
              </w:rPr>
              <w:t>519</w:t>
            </w:r>
            <w:r w:rsidRPr="00DA5B8F">
              <w:rPr>
                <w:rFonts w:ascii="Times New Roman" w:hAnsi="Times New Roman"/>
                <w:b w:val="0"/>
                <w:bCs w:val="0"/>
              </w:rPr>
              <w:t>,</w:t>
            </w:r>
            <w:r w:rsidRPr="00DA5B8F" w:rsidR="00EB3995">
              <w:rPr>
                <w:rFonts w:ascii="Times New Roman" w:hAnsi="Times New Roman"/>
                <w:b w:val="0"/>
                <w:bCs w:val="0"/>
              </w:rPr>
              <w:t>83</w:t>
            </w:r>
          </w:p>
        </w:tc>
        <w:tc>
          <w:tcPr>
            <w:tcW w:w="1260" w:type="dxa"/>
            <w:tcBorders>
              <w:top w:val="single" w:sz="4" w:space="0" w:color="999999"/>
              <w:left w:val="nil"/>
              <w:bottom w:val="sing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sidR="00EB3995">
              <w:rPr>
                <w:rFonts w:ascii="Times New Roman" w:hAnsi="Times New Roman"/>
                <w:b w:val="0"/>
                <w:bCs w:val="0"/>
              </w:rPr>
              <w:t>71</w:t>
            </w:r>
            <w:r w:rsidRPr="00DA5B8F">
              <w:rPr>
                <w:rFonts w:ascii="Times New Roman" w:hAnsi="Times New Roman"/>
                <w:b w:val="0"/>
                <w:bCs w:val="0"/>
              </w:rPr>
              <w:t>,</w:t>
            </w:r>
            <w:r w:rsidRPr="00DA5B8F" w:rsidR="00EB3995">
              <w:rPr>
                <w:rFonts w:ascii="Times New Roman" w:hAnsi="Times New Roman"/>
                <w:b w:val="0"/>
                <w:bCs w:val="0"/>
              </w:rPr>
              <w:t>94</w:t>
            </w:r>
            <w:r w:rsidRPr="00DA5B8F">
              <w:rPr>
                <w:rFonts w:ascii="Times New Roman" w:hAnsi="Times New Roman"/>
                <w:b w:val="0"/>
                <w:bCs w:val="0"/>
              </w:rPr>
              <w:t> %</w:t>
            </w:r>
          </w:p>
        </w:tc>
      </w:tr>
      <w:tr>
        <w:tblPrEx>
          <w:tblW w:w="9430" w:type="dxa"/>
          <w:tblLayout w:type="fixed"/>
          <w:tblCellMar>
            <w:top w:w="0" w:type="dxa"/>
            <w:left w:w="70" w:type="dxa"/>
            <w:bottom w:w="0" w:type="dxa"/>
            <w:right w:w="70" w:type="dxa"/>
          </w:tblCellMar>
        </w:tblPrEx>
        <w:trPr>
          <w:cantSplit/>
          <w:trHeight w:hRule="exact" w:val="566"/>
        </w:trPr>
        <w:tc>
          <w:tcPr>
            <w:tcW w:w="438" w:type="dxa"/>
            <w:tcBorders>
              <w:top w:val="single" w:sz="4" w:space="0" w:color="999999"/>
              <w:left w:val="nil"/>
              <w:bottom w:val="doub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5.</w:t>
            </w:r>
          </w:p>
        </w:tc>
        <w:tc>
          <w:tcPr>
            <w:tcW w:w="5932" w:type="dxa"/>
            <w:gridSpan w:val="2"/>
            <w:tcBorders>
              <w:top w:val="single" w:sz="4" w:space="0" w:color="999999"/>
              <w:left w:val="nil"/>
              <w:bottom w:val="doub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Ostatné príjmy</w:t>
            </w:r>
          </w:p>
        </w:tc>
        <w:tc>
          <w:tcPr>
            <w:tcW w:w="1800" w:type="dxa"/>
            <w:tcBorders>
              <w:top w:val="single" w:sz="4" w:space="0" w:color="999999"/>
              <w:left w:val="nil"/>
              <w:bottom w:val="double" w:sz="4" w:space="0" w:color="999999"/>
              <w:right w:val="nil"/>
            </w:tcBorders>
            <w:textDirection w:val="lrTb"/>
            <w:vAlign w:val="center"/>
          </w:tcPr>
          <w:p w:rsidR="002C3B67" w:rsidRPr="00DA5B8F" w:rsidP="00E71989">
            <w:pPr>
              <w:pStyle w:val="Heading8"/>
              <w:bidi w:val="0"/>
              <w:spacing w:before="0"/>
              <w:jc w:val="right"/>
              <w:rPr>
                <w:rFonts w:ascii="Times New Roman" w:hAnsi="Times New Roman"/>
                <w:b w:val="0"/>
                <w:bCs w:val="0"/>
              </w:rPr>
            </w:pPr>
            <w:r w:rsidRPr="00DA5B8F" w:rsidR="00EB3995">
              <w:rPr>
                <w:rFonts w:ascii="Times New Roman" w:hAnsi="Times New Roman"/>
                <w:b w:val="0"/>
                <w:bCs w:val="0"/>
              </w:rPr>
              <w:t>1 133</w:t>
            </w:r>
            <w:r w:rsidRPr="00DA5B8F">
              <w:rPr>
                <w:rFonts w:ascii="Times New Roman" w:hAnsi="Times New Roman"/>
                <w:b w:val="0"/>
                <w:bCs w:val="0"/>
              </w:rPr>
              <w:t> </w:t>
            </w:r>
            <w:r w:rsidRPr="00DA5B8F" w:rsidR="00EB3995">
              <w:rPr>
                <w:rFonts w:ascii="Times New Roman" w:hAnsi="Times New Roman"/>
                <w:b w:val="0"/>
                <w:bCs w:val="0"/>
              </w:rPr>
              <w:t>978</w:t>
            </w:r>
            <w:r w:rsidRPr="00DA5B8F">
              <w:rPr>
                <w:rFonts w:ascii="Times New Roman" w:hAnsi="Times New Roman"/>
                <w:b w:val="0"/>
                <w:bCs w:val="0"/>
              </w:rPr>
              <w:t>,</w:t>
            </w:r>
            <w:r w:rsidRPr="00DA5B8F" w:rsidR="00EB3995">
              <w:rPr>
                <w:rFonts w:ascii="Times New Roman" w:hAnsi="Times New Roman"/>
                <w:b w:val="0"/>
                <w:bCs w:val="0"/>
              </w:rPr>
              <w:t>7</w:t>
            </w:r>
            <w:r w:rsidR="00E71989">
              <w:rPr>
                <w:rFonts w:ascii="Times New Roman" w:hAnsi="Times New Roman"/>
                <w:b w:val="0"/>
                <w:bCs w:val="0"/>
              </w:rPr>
              <w:t>5</w:t>
            </w:r>
          </w:p>
        </w:tc>
        <w:tc>
          <w:tcPr>
            <w:tcW w:w="1260" w:type="dxa"/>
            <w:tcBorders>
              <w:top w:val="single" w:sz="4" w:space="0" w:color="999999"/>
              <w:left w:val="nil"/>
              <w:bottom w:val="doub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sidR="00EB3995">
              <w:rPr>
                <w:rFonts w:ascii="Times New Roman" w:hAnsi="Times New Roman"/>
                <w:b w:val="0"/>
                <w:bCs w:val="0"/>
              </w:rPr>
              <w:t>0,31</w:t>
            </w:r>
            <w:r w:rsidRPr="00DA5B8F">
              <w:rPr>
                <w:rFonts w:ascii="Times New Roman" w:hAnsi="Times New Roman"/>
                <w:b w:val="0"/>
                <w:bCs w:val="0"/>
              </w:rPr>
              <w:t> %</w:t>
            </w:r>
          </w:p>
        </w:tc>
      </w:tr>
      <w:tr>
        <w:tblPrEx>
          <w:tblW w:w="9430" w:type="dxa"/>
          <w:tblLayout w:type="fixed"/>
          <w:tblCellMar>
            <w:top w:w="0" w:type="dxa"/>
            <w:left w:w="70" w:type="dxa"/>
            <w:bottom w:w="0" w:type="dxa"/>
            <w:right w:w="70" w:type="dxa"/>
          </w:tblCellMar>
        </w:tblPrEx>
        <w:trPr>
          <w:cantSplit/>
          <w:trHeight w:hRule="exact" w:val="454"/>
        </w:trPr>
        <w:tc>
          <w:tcPr>
            <w:tcW w:w="6370" w:type="dxa"/>
            <w:gridSpan w:val="3"/>
            <w:tcBorders>
              <w:top w:val="double" w:sz="4" w:space="0" w:color="999999"/>
              <w:left w:val="nil"/>
              <w:bottom w:val="single" w:sz="4" w:space="0" w:color="999999"/>
              <w:right w:val="nil"/>
            </w:tcBorders>
            <w:shd w:val="clear" w:color="auto" w:fill="CCCCFF"/>
            <w:textDirection w:val="lrTb"/>
            <w:vAlign w:val="center"/>
          </w:tcPr>
          <w:p w:rsidR="002C3B67" w:rsidRPr="00DA5B8F" w:rsidP="00D54730">
            <w:pPr>
              <w:pStyle w:val="Heading8"/>
              <w:bidi w:val="0"/>
              <w:spacing w:before="0"/>
              <w:jc w:val="left"/>
              <w:rPr>
                <w:rFonts w:ascii="Times New Roman" w:hAnsi="Times New Roman"/>
              </w:rPr>
            </w:pPr>
            <w:r w:rsidRPr="00DA5B8F">
              <w:rPr>
                <w:rFonts w:ascii="Times New Roman" w:hAnsi="Times New Roman"/>
              </w:rPr>
              <w:t>SPOLU – príjmy fondu v roku 201</w:t>
            </w:r>
            <w:r w:rsidRPr="00DA5B8F" w:rsidR="00D54730">
              <w:rPr>
                <w:rFonts w:ascii="Times New Roman" w:hAnsi="Times New Roman"/>
              </w:rPr>
              <w:t>4</w:t>
            </w:r>
          </w:p>
        </w:tc>
        <w:tc>
          <w:tcPr>
            <w:tcW w:w="1800" w:type="dxa"/>
            <w:tcBorders>
              <w:top w:val="double" w:sz="4" w:space="0" w:color="999999"/>
              <w:left w:val="nil"/>
              <w:bottom w:val="single" w:sz="4" w:space="0" w:color="999999"/>
              <w:right w:val="nil"/>
            </w:tcBorders>
            <w:shd w:val="clear" w:color="auto" w:fill="CCCCFF"/>
            <w:textDirection w:val="lrTb"/>
            <w:vAlign w:val="center"/>
          </w:tcPr>
          <w:p w:rsidR="002C3B67" w:rsidRPr="00DA5B8F" w:rsidP="00EB3995">
            <w:pPr>
              <w:pStyle w:val="Heading8"/>
              <w:bidi w:val="0"/>
              <w:spacing w:before="0"/>
              <w:jc w:val="right"/>
              <w:rPr>
                <w:rFonts w:ascii="Times New Roman" w:hAnsi="Times New Roman"/>
              </w:rPr>
            </w:pPr>
            <w:r w:rsidR="00E71989">
              <w:rPr>
                <w:rFonts w:ascii="Times New Roman" w:hAnsi="Times New Roman"/>
              </w:rPr>
              <w:fldChar w:fldCharType="begin"/>
            </w:r>
            <w:r w:rsidR="00E71989">
              <w:rPr>
                <w:rFonts w:ascii="Times New Roman" w:hAnsi="Times New Roman"/>
              </w:rPr>
              <w:instrText xml:space="preserve"> =SUM(ABOVE) </w:instrText>
            </w:r>
            <w:r w:rsidR="00E71989">
              <w:rPr>
                <w:rFonts w:ascii="Times New Roman" w:hAnsi="Times New Roman"/>
              </w:rPr>
              <w:fldChar w:fldCharType="separate"/>
            </w:r>
            <w:r w:rsidR="00E71989">
              <w:rPr>
                <w:rFonts w:ascii="Times New Roman" w:hAnsi="Times New Roman"/>
                <w:noProof/>
              </w:rPr>
              <w:t>267 309 044,65</w:t>
            </w:r>
            <w:r w:rsidR="00E71989">
              <w:rPr>
                <w:rFonts w:ascii="Times New Roman" w:hAnsi="Times New Roman"/>
              </w:rPr>
              <w:fldChar w:fldCharType="end"/>
            </w:r>
          </w:p>
        </w:tc>
        <w:tc>
          <w:tcPr>
            <w:tcW w:w="1260" w:type="dxa"/>
            <w:tcBorders>
              <w:top w:val="double" w:sz="4" w:space="0" w:color="999999"/>
              <w:left w:val="nil"/>
              <w:bottom w:val="single" w:sz="4" w:space="0" w:color="999999"/>
              <w:right w:val="nil"/>
            </w:tcBorders>
            <w:shd w:val="clear" w:color="auto" w:fill="CCCCFF"/>
            <w:textDirection w:val="lrTb"/>
            <w:vAlign w:val="center"/>
          </w:tcPr>
          <w:p w:rsidR="002C3B67" w:rsidRPr="00DA5B8F" w:rsidP="00EB3995">
            <w:pPr>
              <w:pStyle w:val="Heading8"/>
              <w:bidi w:val="0"/>
              <w:spacing w:before="0"/>
              <w:jc w:val="right"/>
              <w:rPr>
                <w:rFonts w:ascii="Times New Roman" w:hAnsi="Times New Roman"/>
              </w:rPr>
            </w:pPr>
            <w:r w:rsidRPr="00DA5B8F">
              <w:rPr>
                <w:rFonts w:ascii="Times New Roman" w:hAnsi="Times New Roman"/>
              </w:rPr>
              <w:fldChar w:fldCharType="begin"/>
            </w:r>
            <w:r w:rsidRPr="00DA5B8F">
              <w:rPr>
                <w:rFonts w:ascii="Times New Roman" w:hAnsi="Times New Roman"/>
              </w:rPr>
              <w:instrText xml:space="preserve"> =SUM(ABOVE)*100 \# "0,00%" </w:instrText>
            </w:r>
            <w:r w:rsidRPr="00DA5B8F">
              <w:rPr>
                <w:rFonts w:ascii="Times New Roman" w:hAnsi="Times New Roman"/>
              </w:rPr>
              <w:fldChar w:fldCharType="separate"/>
            </w:r>
            <w:r w:rsidRPr="00DA5B8F">
              <w:rPr>
                <w:rFonts w:ascii="Times New Roman" w:hAnsi="Times New Roman"/>
                <w:noProof/>
              </w:rPr>
              <w:t>7</w:t>
            </w:r>
            <w:r w:rsidRPr="00DA5B8F" w:rsidR="00EB3995">
              <w:rPr>
                <w:rFonts w:ascii="Times New Roman" w:hAnsi="Times New Roman"/>
                <w:noProof/>
              </w:rPr>
              <w:t>2</w:t>
            </w:r>
            <w:r w:rsidRPr="00DA5B8F">
              <w:rPr>
                <w:rFonts w:ascii="Times New Roman" w:hAnsi="Times New Roman"/>
                <w:noProof/>
              </w:rPr>
              <w:t>,</w:t>
            </w:r>
            <w:r w:rsidRPr="00DA5B8F" w:rsidR="00EB3995">
              <w:rPr>
                <w:rFonts w:ascii="Times New Roman" w:hAnsi="Times New Roman"/>
                <w:noProof/>
              </w:rPr>
              <w:t>29</w:t>
            </w:r>
            <w:r w:rsidRPr="00DA5B8F">
              <w:rPr>
                <w:rFonts w:ascii="Times New Roman" w:hAnsi="Times New Roman"/>
                <w:noProof/>
              </w:rPr>
              <w:t>%</w:t>
            </w:r>
            <w:r w:rsidRPr="00DA5B8F">
              <w:rPr>
                <w:rFonts w:ascii="Times New Roman" w:hAnsi="Times New Roman"/>
              </w:rPr>
              <w:fldChar w:fldCharType="end"/>
            </w:r>
          </w:p>
        </w:tc>
      </w:tr>
      <w:tr>
        <w:tblPrEx>
          <w:tblW w:w="9430" w:type="dxa"/>
          <w:tblLayout w:type="fixed"/>
          <w:tblCellMar>
            <w:top w:w="0" w:type="dxa"/>
            <w:left w:w="70" w:type="dxa"/>
            <w:bottom w:w="0" w:type="dxa"/>
            <w:right w:w="70" w:type="dxa"/>
          </w:tblCellMar>
        </w:tblPrEx>
        <w:trPr>
          <w:cantSplit/>
          <w:trHeight w:hRule="exact" w:val="454"/>
        </w:trPr>
        <w:tc>
          <w:tcPr>
            <w:tcW w:w="438"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p>
        </w:tc>
        <w:tc>
          <w:tcPr>
            <w:tcW w:w="5932" w:type="dxa"/>
            <w:gridSpan w:val="2"/>
            <w:tcBorders>
              <w:top w:val="single" w:sz="4" w:space="0" w:color="999999"/>
              <w:left w:val="nil"/>
              <w:bottom w:val="single" w:sz="4" w:space="0" w:color="999999"/>
              <w:right w:val="nil"/>
            </w:tcBorders>
            <w:textDirection w:val="lrTb"/>
            <w:vAlign w:val="center"/>
          </w:tcPr>
          <w:p w:rsidR="002C3B67" w:rsidRPr="00DA5B8F" w:rsidP="00D54730">
            <w:pPr>
              <w:pStyle w:val="Heading8"/>
              <w:bidi w:val="0"/>
              <w:spacing w:before="0"/>
              <w:jc w:val="left"/>
              <w:rPr>
                <w:rFonts w:ascii="Times New Roman" w:hAnsi="Times New Roman"/>
                <w:b w:val="0"/>
                <w:bCs w:val="0"/>
              </w:rPr>
            </w:pPr>
            <w:r w:rsidRPr="00DA5B8F">
              <w:rPr>
                <w:rFonts w:ascii="Times New Roman" w:hAnsi="Times New Roman"/>
                <w:b w:val="0"/>
                <w:bCs w:val="0"/>
              </w:rPr>
              <w:t>Stav PP k 31. 12. 201</w:t>
            </w:r>
            <w:r w:rsidRPr="00DA5B8F" w:rsidR="00D54730">
              <w:rPr>
                <w:rFonts w:ascii="Times New Roman" w:hAnsi="Times New Roman"/>
                <w:b w:val="0"/>
                <w:bCs w:val="0"/>
              </w:rPr>
              <w:t>3</w:t>
            </w:r>
          </w:p>
        </w:tc>
        <w:tc>
          <w:tcPr>
            <w:tcW w:w="1800" w:type="dxa"/>
            <w:tcBorders>
              <w:top w:val="single" w:sz="4" w:space="0" w:color="999999"/>
              <w:left w:val="nil"/>
              <w:bottom w:val="sing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sidR="00EB3995">
              <w:rPr>
                <w:rFonts w:ascii="Times New Roman" w:hAnsi="Times New Roman"/>
                <w:b w:val="0"/>
                <w:bCs w:val="0"/>
              </w:rPr>
              <w:t>102</w:t>
            </w:r>
            <w:r w:rsidRPr="00DA5B8F">
              <w:rPr>
                <w:rFonts w:ascii="Times New Roman" w:hAnsi="Times New Roman"/>
                <w:b w:val="0"/>
                <w:bCs w:val="0"/>
              </w:rPr>
              <w:t> </w:t>
            </w:r>
            <w:r w:rsidRPr="00DA5B8F" w:rsidR="00EB3995">
              <w:rPr>
                <w:rFonts w:ascii="Times New Roman" w:hAnsi="Times New Roman"/>
                <w:b w:val="0"/>
                <w:bCs w:val="0"/>
              </w:rPr>
              <w:t>483</w:t>
            </w:r>
            <w:r w:rsidRPr="00DA5B8F">
              <w:rPr>
                <w:rFonts w:ascii="Times New Roman" w:hAnsi="Times New Roman"/>
                <w:b w:val="0"/>
                <w:bCs w:val="0"/>
              </w:rPr>
              <w:t> </w:t>
            </w:r>
            <w:r w:rsidRPr="00DA5B8F" w:rsidR="00EB3995">
              <w:rPr>
                <w:rFonts w:ascii="Times New Roman" w:hAnsi="Times New Roman"/>
                <w:b w:val="0"/>
                <w:bCs w:val="0"/>
              </w:rPr>
              <w:t>796</w:t>
            </w:r>
            <w:r w:rsidRPr="00DA5B8F">
              <w:rPr>
                <w:rFonts w:ascii="Times New Roman" w:hAnsi="Times New Roman"/>
                <w:b w:val="0"/>
                <w:bCs w:val="0"/>
              </w:rPr>
              <w:t>,</w:t>
            </w:r>
            <w:r w:rsidRPr="00DA5B8F" w:rsidR="00EB3995">
              <w:rPr>
                <w:rFonts w:ascii="Times New Roman" w:hAnsi="Times New Roman"/>
                <w:b w:val="0"/>
                <w:bCs w:val="0"/>
              </w:rPr>
              <w:t>43</w:t>
            </w:r>
          </w:p>
        </w:tc>
        <w:tc>
          <w:tcPr>
            <w:tcW w:w="1260" w:type="dxa"/>
            <w:tcBorders>
              <w:top w:val="single" w:sz="4" w:space="0" w:color="999999"/>
              <w:left w:val="nil"/>
              <w:bottom w:val="single" w:sz="4" w:space="0" w:color="999999"/>
              <w:right w:val="nil"/>
            </w:tcBorders>
            <w:textDirection w:val="lrTb"/>
            <w:vAlign w:val="center"/>
          </w:tcPr>
          <w:p w:rsidR="002C3B67" w:rsidRPr="00DA5B8F" w:rsidP="00EB3995">
            <w:pPr>
              <w:pStyle w:val="Heading8"/>
              <w:bidi w:val="0"/>
              <w:spacing w:before="0"/>
              <w:jc w:val="right"/>
              <w:rPr>
                <w:rFonts w:ascii="Times New Roman" w:hAnsi="Times New Roman"/>
                <w:b w:val="0"/>
                <w:bCs w:val="0"/>
              </w:rPr>
            </w:pPr>
            <w:r w:rsidRPr="00DA5B8F">
              <w:rPr>
                <w:rFonts w:ascii="Times New Roman" w:hAnsi="Times New Roman"/>
                <w:b w:val="0"/>
                <w:bCs w:val="0"/>
              </w:rPr>
              <w:t>2</w:t>
            </w:r>
            <w:r w:rsidRPr="00DA5B8F" w:rsidR="00EB3995">
              <w:rPr>
                <w:rFonts w:ascii="Times New Roman" w:hAnsi="Times New Roman"/>
                <w:b w:val="0"/>
                <w:bCs w:val="0"/>
              </w:rPr>
              <w:t>7</w:t>
            </w:r>
            <w:r w:rsidRPr="00DA5B8F">
              <w:rPr>
                <w:rFonts w:ascii="Times New Roman" w:hAnsi="Times New Roman"/>
                <w:b w:val="0"/>
                <w:bCs w:val="0"/>
              </w:rPr>
              <w:t>,</w:t>
            </w:r>
            <w:r w:rsidRPr="00DA5B8F" w:rsidR="00EB3995">
              <w:rPr>
                <w:rFonts w:ascii="Times New Roman" w:hAnsi="Times New Roman"/>
                <w:b w:val="0"/>
                <w:bCs w:val="0"/>
              </w:rPr>
              <w:t>71</w:t>
            </w:r>
            <w:r w:rsidRPr="00DA5B8F">
              <w:rPr>
                <w:rFonts w:ascii="Times New Roman" w:hAnsi="Times New Roman"/>
                <w:b w:val="0"/>
                <w:bCs w:val="0"/>
              </w:rPr>
              <w:t> %</w:t>
            </w:r>
          </w:p>
        </w:tc>
      </w:tr>
      <w:tr>
        <w:tblPrEx>
          <w:tblW w:w="9430" w:type="dxa"/>
          <w:tblLayout w:type="fixed"/>
          <w:tblCellMar>
            <w:top w:w="0" w:type="dxa"/>
            <w:left w:w="70" w:type="dxa"/>
            <w:bottom w:w="0" w:type="dxa"/>
            <w:right w:w="70" w:type="dxa"/>
          </w:tblCellMar>
        </w:tblPrEx>
        <w:trPr>
          <w:trHeight w:val="567"/>
        </w:trPr>
        <w:tc>
          <w:tcPr>
            <w:tcW w:w="6370" w:type="dxa"/>
            <w:gridSpan w:val="3"/>
            <w:tcBorders>
              <w:top w:val="double" w:sz="4" w:space="0" w:color="999999"/>
              <w:left w:val="nil"/>
              <w:bottom w:val="single" w:sz="4" w:space="0" w:color="999999"/>
              <w:right w:val="nil"/>
            </w:tcBorders>
            <w:shd w:val="clear" w:color="auto" w:fill="CCCCFF"/>
            <w:textDirection w:val="lrTb"/>
            <w:vAlign w:val="center"/>
          </w:tcPr>
          <w:p w:rsidR="002C3B67" w:rsidRPr="00DA5B8F" w:rsidP="00D54730">
            <w:pPr>
              <w:pStyle w:val="Heading8"/>
              <w:bidi w:val="0"/>
              <w:spacing w:before="0"/>
              <w:jc w:val="left"/>
              <w:rPr>
                <w:rFonts w:ascii="Times New Roman" w:hAnsi="Times New Roman"/>
              </w:rPr>
            </w:pPr>
            <w:r w:rsidRPr="00DA5B8F">
              <w:rPr>
                <w:rFonts w:ascii="Times New Roman" w:hAnsi="Times New Roman"/>
              </w:rPr>
              <w:t>Príjmy fondu v roku 201</w:t>
            </w:r>
            <w:r w:rsidRPr="00DA5B8F" w:rsidR="00D54730">
              <w:rPr>
                <w:rFonts w:ascii="Times New Roman" w:hAnsi="Times New Roman"/>
              </w:rPr>
              <w:t>4</w:t>
            </w:r>
            <w:r w:rsidRPr="00DA5B8F">
              <w:rPr>
                <w:rFonts w:ascii="Times New Roman" w:hAnsi="Times New Roman"/>
              </w:rPr>
              <w:t xml:space="preserve"> + zostatok PP z 31. 12. 201</w:t>
            </w:r>
            <w:r w:rsidRPr="00DA5B8F" w:rsidR="00D54730">
              <w:rPr>
                <w:rFonts w:ascii="Times New Roman" w:hAnsi="Times New Roman"/>
              </w:rPr>
              <w:t>3</w:t>
            </w:r>
          </w:p>
        </w:tc>
        <w:tc>
          <w:tcPr>
            <w:tcW w:w="1800" w:type="dxa"/>
            <w:tcBorders>
              <w:top w:val="double" w:sz="4" w:space="0" w:color="999999"/>
              <w:left w:val="nil"/>
              <w:bottom w:val="single" w:sz="4" w:space="0" w:color="999999"/>
              <w:right w:val="nil"/>
            </w:tcBorders>
            <w:shd w:val="clear" w:color="auto" w:fill="CCCCFF"/>
            <w:textDirection w:val="lrTb"/>
            <w:vAlign w:val="center"/>
          </w:tcPr>
          <w:p w:rsidR="002C3B67" w:rsidRPr="00DA5B8F" w:rsidP="00E71989">
            <w:pPr>
              <w:pStyle w:val="Heading8"/>
              <w:bidi w:val="0"/>
              <w:spacing w:before="0"/>
              <w:jc w:val="center"/>
              <w:rPr>
                <w:rFonts w:ascii="Times New Roman" w:hAnsi="Times New Roman"/>
              </w:rPr>
            </w:pPr>
            <w:r w:rsidRPr="00DA5B8F" w:rsidR="00EB3995">
              <w:rPr>
                <w:rFonts w:ascii="Times New Roman" w:hAnsi="Times New Roman"/>
              </w:rPr>
              <w:t>369</w:t>
            </w:r>
            <w:r w:rsidRPr="00DA5B8F">
              <w:rPr>
                <w:rFonts w:ascii="Times New Roman" w:hAnsi="Times New Roman"/>
              </w:rPr>
              <w:t> </w:t>
            </w:r>
            <w:r w:rsidRPr="00DA5B8F" w:rsidR="00EB3995">
              <w:rPr>
                <w:rFonts w:ascii="Times New Roman" w:hAnsi="Times New Roman"/>
              </w:rPr>
              <w:t>792</w:t>
            </w:r>
            <w:r w:rsidRPr="00DA5B8F">
              <w:rPr>
                <w:rFonts w:ascii="Times New Roman" w:hAnsi="Times New Roman"/>
              </w:rPr>
              <w:t> </w:t>
            </w:r>
            <w:r w:rsidRPr="00DA5B8F" w:rsidR="00EB3995">
              <w:rPr>
                <w:rFonts w:ascii="Times New Roman" w:hAnsi="Times New Roman"/>
              </w:rPr>
              <w:t>841</w:t>
            </w:r>
            <w:r w:rsidRPr="00DA5B8F">
              <w:rPr>
                <w:rFonts w:ascii="Times New Roman" w:hAnsi="Times New Roman"/>
              </w:rPr>
              <w:t>,</w:t>
            </w:r>
            <w:r w:rsidR="00E71989">
              <w:rPr>
                <w:rFonts w:ascii="Times New Roman" w:hAnsi="Times New Roman"/>
              </w:rPr>
              <w:t>08</w:t>
            </w:r>
          </w:p>
        </w:tc>
        <w:tc>
          <w:tcPr>
            <w:tcW w:w="1260" w:type="dxa"/>
            <w:tcBorders>
              <w:top w:val="double" w:sz="4" w:space="0" w:color="999999"/>
              <w:left w:val="nil"/>
              <w:bottom w:val="single" w:sz="4" w:space="0" w:color="999999"/>
              <w:right w:val="nil"/>
            </w:tcBorders>
            <w:shd w:val="clear" w:color="auto" w:fill="CCCCFF"/>
            <w:textDirection w:val="lrTb"/>
            <w:vAlign w:val="center"/>
          </w:tcPr>
          <w:p w:rsidR="002C3B67" w:rsidRPr="00DA5B8F">
            <w:pPr>
              <w:pStyle w:val="Heading8"/>
              <w:bidi w:val="0"/>
              <w:spacing w:before="0"/>
              <w:jc w:val="right"/>
              <w:rPr>
                <w:rFonts w:ascii="Times New Roman" w:hAnsi="Times New Roman"/>
              </w:rPr>
            </w:pPr>
            <w:r w:rsidRPr="00DA5B8F">
              <w:rPr>
                <w:rFonts w:ascii="Times New Roman" w:hAnsi="Times New Roman"/>
              </w:rPr>
              <w:fldChar w:fldCharType="begin"/>
            </w:r>
            <w:r w:rsidRPr="00DA5B8F">
              <w:rPr>
                <w:rFonts w:ascii="Times New Roman" w:hAnsi="Times New Roman"/>
              </w:rPr>
              <w:instrText xml:space="preserve"> =SUM(ABOVE)*100 \# "0,00%" </w:instrText>
            </w:r>
            <w:r w:rsidRPr="00DA5B8F">
              <w:rPr>
                <w:rFonts w:ascii="Times New Roman" w:hAnsi="Times New Roman"/>
              </w:rPr>
              <w:fldChar w:fldCharType="separate"/>
            </w:r>
            <w:r w:rsidRPr="00DA5B8F">
              <w:rPr>
                <w:rFonts w:ascii="Times New Roman" w:hAnsi="Times New Roman"/>
                <w:noProof/>
              </w:rPr>
              <w:t>100,00%</w:t>
            </w:r>
            <w:r w:rsidRPr="00DA5B8F">
              <w:rPr>
                <w:rFonts w:ascii="Times New Roman" w:hAnsi="Times New Roman"/>
              </w:rPr>
              <w:fldChar w:fldCharType="end"/>
            </w:r>
          </w:p>
        </w:tc>
      </w:tr>
    </w:tbl>
    <w:p w:rsidR="002C3B67" w:rsidRPr="00DA5B8F">
      <w:pPr>
        <w:pStyle w:val="BodyTextIndent2"/>
        <w:bidi w:val="0"/>
        <w:spacing w:before="120" w:line="264" w:lineRule="auto"/>
        <w:ind w:left="0" w:firstLine="0"/>
        <w:rPr>
          <w:rFonts w:ascii="Times New Roman" w:hAnsi="Times New Roman"/>
        </w:rPr>
      </w:pPr>
    </w:p>
    <w:p w:rsidR="002C3B67" w:rsidRPr="00DA5B8F" w:rsidP="00C93F3F">
      <w:pPr>
        <w:pStyle w:val="Heading6"/>
        <w:tabs>
          <w:tab w:val="left" w:pos="5745"/>
        </w:tabs>
        <w:overflowPunct w:val="0"/>
        <w:autoSpaceDE w:val="0"/>
        <w:autoSpaceDN w:val="0"/>
        <w:bidi w:val="0"/>
        <w:adjustRightInd w:val="0"/>
        <w:spacing w:line="264" w:lineRule="auto"/>
        <w:jc w:val="left"/>
        <w:rPr>
          <w:rFonts w:ascii="Times New Roman" w:hAnsi="Times New Roman"/>
          <w:sz w:val="24"/>
          <w:szCs w:val="24"/>
        </w:rPr>
      </w:pPr>
      <w:r w:rsidRPr="00DA5B8F">
        <w:rPr>
          <w:rFonts w:ascii="Times New Roman" w:hAnsi="Times New Roman"/>
          <w:sz w:val="24"/>
          <w:szCs w:val="24"/>
        </w:rPr>
        <w:t>Komentár k tabuľke:</w:t>
      </w:r>
    </w:p>
    <w:p w:rsidR="002C3B67" w:rsidRPr="00DA5B8F" w:rsidP="00C93F3F">
      <w:pPr>
        <w:pStyle w:val="Styl2"/>
        <w:tabs>
          <w:tab w:val="num" w:pos="540"/>
          <w:tab w:val="clear" w:pos="927"/>
        </w:tabs>
        <w:bidi w:val="0"/>
        <w:spacing w:line="264" w:lineRule="auto"/>
        <w:ind w:left="539" w:hanging="539"/>
        <w:rPr>
          <w:rFonts w:ascii="Times New Roman" w:hAnsi="Times New Roman"/>
          <w:sz w:val="24"/>
          <w:szCs w:val="24"/>
        </w:rPr>
      </w:pPr>
      <w:r w:rsidRPr="00DA5B8F">
        <w:rPr>
          <w:rFonts w:ascii="Times New Roman" w:hAnsi="Times New Roman"/>
          <w:b/>
          <w:bCs/>
          <w:sz w:val="24"/>
          <w:szCs w:val="24"/>
        </w:rPr>
        <w:t>Príjmy z predaja</w:t>
      </w:r>
      <w:r w:rsidRPr="00DA5B8F">
        <w:rPr>
          <w:rFonts w:ascii="Times New Roman" w:hAnsi="Times New Roman"/>
          <w:sz w:val="24"/>
          <w:szCs w:val="24"/>
        </w:rPr>
        <w:t xml:space="preserve"> - </w:t>
      </w:r>
      <w:r w:rsidRPr="00DA5B8F">
        <w:rPr>
          <w:rFonts w:ascii="Times New Roman" w:hAnsi="Times New Roman"/>
          <w:b/>
          <w:bCs/>
          <w:sz w:val="24"/>
          <w:szCs w:val="24"/>
        </w:rPr>
        <w:t>uzavreté zmluvy pred rokom 201</w:t>
      </w:r>
      <w:r w:rsidRPr="00DA5B8F" w:rsidR="00000072">
        <w:rPr>
          <w:rFonts w:ascii="Times New Roman" w:hAnsi="Times New Roman"/>
          <w:b/>
          <w:bCs/>
          <w:sz w:val="24"/>
          <w:szCs w:val="24"/>
        </w:rPr>
        <w:t>4</w:t>
      </w:r>
      <w:r w:rsidRPr="00DA5B8F">
        <w:rPr>
          <w:rFonts w:ascii="Times New Roman" w:hAnsi="Times New Roman"/>
          <w:sz w:val="24"/>
          <w:szCs w:val="24"/>
        </w:rPr>
        <w:t xml:space="preserve"> - ide o príjmy zo zmlúv, ktoré fond uzavrel v predchádzajúcom období, tzn. do 31. 12. 201</w:t>
      </w:r>
      <w:r w:rsidRPr="00DA5B8F" w:rsidR="00000072">
        <w:rPr>
          <w:rFonts w:ascii="Times New Roman" w:hAnsi="Times New Roman"/>
          <w:sz w:val="24"/>
          <w:szCs w:val="24"/>
        </w:rPr>
        <w:t>3</w:t>
      </w:r>
      <w:r w:rsidRPr="00DA5B8F">
        <w:rPr>
          <w:rFonts w:ascii="Times New Roman" w:hAnsi="Times New Roman"/>
          <w:sz w:val="24"/>
          <w:szCs w:val="24"/>
        </w:rPr>
        <w:t>.</w:t>
      </w:r>
    </w:p>
    <w:p w:rsidR="002C3B67" w:rsidRPr="00DA5B8F" w:rsidP="00C93F3F">
      <w:pPr>
        <w:pStyle w:val="Styl2"/>
        <w:tabs>
          <w:tab w:val="num" w:pos="540"/>
          <w:tab w:val="clear" w:pos="927"/>
        </w:tabs>
        <w:bidi w:val="0"/>
        <w:spacing w:line="264" w:lineRule="auto"/>
        <w:ind w:left="539" w:hanging="539"/>
        <w:rPr>
          <w:rFonts w:ascii="Times New Roman" w:hAnsi="Times New Roman"/>
          <w:sz w:val="24"/>
          <w:szCs w:val="24"/>
        </w:rPr>
      </w:pPr>
      <w:r w:rsidRPr="00DA5B8F">
        <w:rPr>
          <w:rFonts w:ascii="Times New Roman" w:hAnsi="Times New Roman"/>
          <w:b/>
          <w:bCs/>
          <w:sz w:val="24"/>
          <w:szCs w:val="24"/>
        </w:rPr>
        <w:t>Príjmy z predaja - nové zmluvy uzavreté v roku 201</w:t>
      </w:r>
      <w:r w:rsidRPr="00DA5B8F" w:rsidR="00000072">
        <w:rPr>
          <w:rFonts w:ascii="Times New Roman" w:hAnsi="Times New Roman"/>
          <w:b/>
          <w:bCs/>
          <w:sz w:val="24"/>
          <w:szCs w:val="24"/>
        </w:rPr>
        <w:t>4</w:t>
      </w:r>
      <w:r w:rsidRPr="00DA5B8F">
        <w:rPr>
          <w:rFonts w:ascii="Times New Roman" w:hAnsi="Times New Roman"/>
          <w:sz w:val="24"/>
          <w:szCs w:val="24"/>
        </w:rPr>
        <w:t xml:space="preserve"> - ide o príjmy zo zmlúv, ktoré fond uzavrel v priebehu roku 201</w:t>
      </w:r>
      <w:r w:rsidRPr="00DA5B8F" w:rsidR="00000072">
        <w:rPr>
          <w:rFonts w:ascii="Times New Roman" w:hAnsi="Times New Roman"/>
          <w:sz w:val="24"/>
          <w:szCs w:val="24"/>
        </w:rPr>
        <w:t>4</w:t>
      </w:r>
      <w:r w:rsidRPr="00DA5B8F">
        <w:rPr>
          <w:rFonts w:ascii="Times New Roman" w:hAnsi="Times New Roman"/>
          <w:sz w:val="24"/>
          <w:szCs w:val="24"/>
        </w:rPr>
        <w:t xml:space="preserve"> a kúpna cena, resp. jej časť bola zaplatená v tomto období, pričom o predaji majetku fondu rozhoduje vláda, resp. sa o ňom rozhoduje v súlade s dikciou zákona o privatizácii. Počas roku 201</w:t>
      </w:r>
      <w:r w:rsidRPr="00DA5B8F" w:rsidR="00000072">
        <w:rPr>
          <w:rFonts w:ascii="Times New Roman" w:hAnsi="Times New Roman"/>
          <w:sz w:val="24"/>
          <w:szCs w:val="24"/>
        </w:rPr>
        <w:t>4</w:t>
      </w:r>
      <w:r w:rsidRPr="00DA5B8F">
        <w:rPr>
          <w:rFonts w:ascii="Times New Roman" w:hAnsi="Times New Roman"/>
          <w:sz w:val="24"/>
          <w:szCs w:val="24"/>
        </w:rPr>
        <w:t xml:space="preserve"> </w:t>
      </w:r>
      <w:r w:rsidRPr="00DA5B8F" w:rsidR="00000072">
        <w:rPr>
          <w:rFonts w:ascii="Times New Roman" w:hAnsi="Times New Roman"/>
          <w:sz w:val="24"/>
          <w:szCs w:val="24"/>
        </w:rPr>
        <w:t>nebola takáto zmluva uzatvorená.</w:t>
      </w:r>
    </w:p>
    <w:p w:rsidR="002C3B67" w:rsidRPr="00DA5B8F" w:rsidP="00C93F3F">
      <w:pPr>
        <w:pStyle w:val="Styl2"/>
        <w:tabs>
          <w:tab w:val="num" w:pos="540"/>
          <w:tab w:val="clear" w:pos="927"/>
        </w:tabs>
        <w:bidi w:val="0"/>
        <w:spacing w:line="264" w:lineRule="auto"/>
        <w:ind w:left="539" w:hanging="539"/>
        <w:rPr>
          <w:rFonts w:ascii="Times New Roman" w:hAnsi="Times New Roman"/>
          <w:sz w:val="24"/>
          <w:szCs w:val="24"/>
        </w:rPr>
      </w:pPr>
      <w:r w:rsidRPr="00DA5B8F">
        <w:rPr>
          <w:rFonts w:ascii="Times New Roman" w:hAnsi="Times New Roman"/>
          <w:b/>
          <w:bCs/>
          <w:sz w:val="24"/>
          <w:szCs w:val="24"/>
        </w:rPr>
        <w:t>Úroky z vkladov v peňažných ústavoch</w:t>
      </w:r>
      <w:r w:rsidRPr="00DA5B8F">
        <w:rPr>
          <w:rFonts w:ascii="Times New Roman" w:hAnsi="Times New Roman"/>
          <w:sz w:val="24"/>
          <w:szCs w:val="24"/>
        </w:rPr>
        <w:t xml:space="preserve"> - príjmy z vkladov voľných prostriedkov vyplácaných peňažnými ústavmi pri termínovaných vkladoch a bežných účtoch v priebehu roku 201</w:t>
      </w:r>
      <w:r w:rsidRPr="00DA5B8F" w:rsidR="00000072">
        <w:rPr>
          <w:rFonts w:ascii="Times New Roman" w:hAnsi="Times New Roman"/>
          <w:sz w:val="24"/>
          <w:szCs w:val="24"/>
        </w:rPr>
        <w:t>4</w:t>
      </w:r>
      <w:r w:rsidRPr="00DA5B8F">
        <w:rPr>
          <w:rFonts w:ascii="Times New Roman" w:hAnsi="Times New Roman"/>
          <w:sz w:val="24"/>
          <w:szCs w:val="24"/>
        </w:rPr>
        <w:t>. Ich výšku ovplyvňuje objem prostriedkov, ktoré má fond k dispozícii na svojich účtoch v bankách, ako aj základná úroková sadzba vyhlasovaná ECB.</w:t>
      </w:r>
    </w:p>
    <w:p w:rsidR="000A783E" w:rsidRPr="00DA5B8F" w:rsidP="00C93F3F">
      <w:pPr>
        <w:pStyle w:val="Styl2"/>
        <w:tabs>
          <w:tab w:val="num" w:pos="540"/>
          <w:tab w:val="clear" w:pos="927"/>
        </w:tabs>
        <w:bidi w:val="0"/>
        <w:spacing w:line="264" w:lineRule="auto"/>
        <w:ind w:left="539" w:hanging="539"/>
        <w:rPr>
          <w:rFonts w:ascii="Times New Roman" w:hAnsi="Times New Roman"/>
          <w:sz w:val="24"/>
          <w:szCs w:val="24"/>
        </w:rPr>
      </w:pPr>
      <w:r w:rsidRPr="00DA5B8F" w:rsidR="002C3B67">
        <w:rPr>
          <w:rFonts w:ascii="Times New Roman" w:hAnsi="Times New Roman"/>
          <w:b/>
          <w:bCs/>
          <w:sz w:val="24"/>
          <w:szCs w:val="24"/>
        </w:rPr>
        <w:t>Dividendy</w:t>
      </w:r>
      <w:r w:rsidRPr="00DA5B8F" w:rsidR="002C3B67">
        <w:rPr>
          <w:rFonts w:ascii="Times New Roman" w:hAnsi="Times New Roman"/>
          <w:sz w:val="24"/>
          <w:szCs w:val="24"/>
        </w:rPr>
        <w:t xml:space="preserve"> - príjmy z účastí fondu na podnikaní obchodných spoločností, na ktorých má účasť. Výška príjmov fondu z dividend je priamo závislá od vývoja hospodárskeho výsledku najmä prirodzených monopolov a od spôsobu rozdelenia zisku v týchto spoločnostiach. V roku 201</w:t>
      </w:r>
      <w:r w:rsidRPr="00DA5B8F" w:rsidR="00D1597E">
        <w:rPr>
          <w:rFonts w:ascii="Times New Roman" w:hAnsi="Times New Roman"/>
          <w:sz w:val="24"/>
          <w:szCs w:val="24"/>
        </w:rPr>
        <w:t>4</w:t>
      </w:r>
      <w:r w:rsidRPr="00DA5B8F" w:rsidR="002C3B67">
        <w:rPr>
          <w:rFonts w:ascii="Times New Roman" w:hAnsi="Times New Roman"/>
          <w:sz w:val="24"/>
          <w:szCs w:val="24"/>
        </w:rPr>
        <w:t xml:space="preserve"> boli fondu na základe rozhodnutí VZ, vyplatené dividendy v celkovom objeme </w:t>
      </w:r>
      <w:r w:rsidRPr="00DA5B8F" w:rsidR="00D1597E">
        <w:rPr>
          <w:rFonts w:ascii="Times New Roman" w:hAnsi="Times New Roman"/>
          <w:sz w:val="24"/>
          <w:szCs w:val="24"/>
        </w:rPr>
        <w:t>266</w:t>
      </w:r>
      <w:r w:rsidRPr="00DA5B8F" w:rsidR="002C3B67">
        <w:rPr>
          <w:rFonts w:ascii="Times New Roman" w:hAnsi="Times New Roman"/>
          <w:sz w:val="24"/>
          <w:szCs w:val="24"/>
        </w:rPr>
        <w:t> </w:t>
      </w:r>
      <w:r w:rsidRPr="00DA5B8F" w:rsidR="00D1597E">
        <w:rPr>
          <w:rFonts w:ascii="Times New Roman" w:hAnsi="Times New Roman"/>
          <w:sz w:val="24"/>
          <w:szCs w:val="24"/>
        </w:rPr>
        <w:t>032</w:t>
      </w:r>
      <w:r w:rsidRPr="00DA5B8F" w:rsidR="002C3B67">
        <w:rPr>
          <w:rFonts w:ascii="Times New Roman" w:hAnsi="Times New Roman"/>
          <w:sz w:val="24"/>
          <w:szCs w:val="24"/>
        </w:rPr>
        <w:t> tis. Eur (podrobný prehľad uvádzame v časti 3.4). Tieto príjmy fond previedol na účet štátnych finančných aktív v súlade s uzneseniami vlády.</w:t>
      </w:r>
    </w:p>
    <w:p w:rsidR="00E86D19" w:rsidRPr="00DA5B8F" w:rsidP="00C93F3F">
      <w:pPr>
        <w:pStyle w:val="Styl2"/>
        <w:numPr>
          <w:numId w:val="0"/>
        </w:numPr>
        <w:tabs>
          <w:tab w:val="clear" w:pos="927"/>
        </w:tabs>
        <w:bidi w:val="0"/>
        <w:spacing w:line="264" w:lineRule="auto"/>
        <w:ind w:left="539" w:firstLine="0"/>
        <w:rPr>
          <w:rFonts w:ascii="Times New Roman" w:hAnsi="Times New Roman"/>
          <w:sz w:val="24"/>
          <w:szCs w:val="24"/>
        </w:rPr>
      </w:pPr>
      <w:r w:rsidRPr="00DA5B8F" w:rsidR="000A783E">
        <w:rPr>
          <w:rFonts w:ascii="Times New Roman" w:hAnsi="Times New Roman"/>
          <w:sz w:val="24"/>
          <w:szCs w:val="24"/>
        </w:rPr>
        <w:t>V auguste 2014 nadobudla účinnosť novela zákona o privatizácii (zákon č. 197/2014 Z. z.), v zmysle ktorej účastí fondu na podnikaní inej právnickej osoby, uvedené v § 10 ods.</w:t>
      </w:r>
      <w:r w:rsidRPr="00DA5B8F" w:rsidR="00B96C1E">
        <w:rPr>
          <w:rFonts w:ascii="Times New Roman" w:hAnsi="Times New Roman"/>
          <w:sz w:val="24"/>
          <w:szCs w:val="24"/>
        </w:rPr>
        <w:t> </w:t>
      </w:r>
      <w:r w:rsidRPr="00DA5B8F" w:rsidR="000A783E">
        <w:rPr>
          <w:rFonts w:ascii="Times New Roman" w:hAnsi="Times New Roman"/>
          <w:sz w:val="24"/>
          <w:szCs w:val="24"/>
        </w:rPr>
        <w:t>2 písm. a) až d) a j) zákona</w:t>
      </w:r>
      <w:r w:rsidRPr="00DA5B8F">
        <w:rPr>
          <w:rFonts w:ascii="Times New Roman" w:hAnsi="Times New Roman"/>
          <w:sz w:val="24"/>
          <w:szCs w:val="24"/>
        </w:rPr>
        <w:t xml:space="preserve"> o</w:t>
      </w:r>
      <w:r w:rsidRPr="00DA5B8F" w:rsidR="00BF2B83">
        <w:rPr>
          <w:rFonts w:ascii="Times New Roman" w:hAnsi="Times New Roman"/>
          <w:sz w:val="24"/>
          <w:szCs w:val="24"/>
        </w:rPr>
        <w:t> </w:t>
      </w:r>
      <w:r w:rsidRPr="00DA5B8F">
        <w:rPr>
          <w:rFonts w:ascii="Times New Roman" w:hAnsi="Times New Roman"/>
          <w:sz w:val="24"/>
          <w:szCs w:val="24"/>
        </w:rPr>
        <w:t>privatizácii</w:t>
      </w:r>
      <w:r w:rsidRPr="00DA5B8F" w:rsidR="00BF2B83">
        <w:rPr>
          <w:rFonts w:ascii="Times New Roman" w:hAnsi="Times New Roman"/>
          <w:sz w:val="24"/>
          <w:szCs w:val="24"/>
        </w:rPr>
        <w:t xml:space="preserve"> (Západoslovenská energetika, a. s., Stredoslovenská energetika, a. s., Východoslovenská energetika, a. s., Slovenský plynárenský priemysel, a. s. a Slovenské elektrárne, a. s.)</w:t>
      </w:r>
      <w:r w:rsidRPr="00DA5B8F" w:rsidR="000A783E">
        <w:rPr>
          <w:rFonts w:ascii="Times New Roman" w:hAnsi="Times New Roman"/>
          <w:sz w:val="24"/>
          <w:szCs w:val="24"/>
        </w:rPr>
        <w:t>, prešli do vlastníctva štátu</w:t>
      </w:r>
      <w:r w:rsidRPr="00DA5B8F" w:rsidR="00BF2B83">
        <w:rPr>
          <w:rFonts w:ascii="Times New Roman" w:hAnsi="Times New Roman"/>
          <w:sz w:val="24"/>
          <w:szCs w:val="24"/>
        </w:rPr>
        <w:t xml:space="preserve">. V mene štátu koná MH SR. </w:t>
      </w:r>
      <w:r w:rsidRPr="00DA5B8F" w:rsidR="000A783E">
        <w:rPr>
          <w:rFonts w:ascii="Times New Roman" w:hAnsi="Times New Roman"/>
          <w:sz w:val="24"/>
          <w:szCs w:val="24"/>
        </w:rPr>
        <w:t xml:space="preserve">Tento prevod ovplyvnil nielen očakávané príjmy fondu v nasledujúcich obdobiach, ale aj príjmy roku 2014, </w:t>
      </w:r>
      <w:r w:rsidRPr="00DA5B8F" w:rsidR="008C1E33">
        <w:rPr>
          <w:rFonts w:ascii="Times New Roman" w:hAnsi="Times New Roman"/>
          <w:sz w:val="24"/>
          <w:szCs w:val="24"/>
        </w:rPr>
        <w:t xml:space="preserve">keďže akcie SPP, a. s. boli prevedené na účet MH SR, ešte pred rozhodnutím o výplate dividend zo zisku za rok 2013 tzn., že </w:t>
      </w:r>
      <w:r w:rsidRPr="00DA5B8F" w:rsidR="00BF2B83">
        <w:rPr>
          <w:rFonts w:ascii="Times New Roman" w:hAnsi="Times New Roman"/>
          <w:sz w:val="24"/>
          <w:szCs w:val="24"/>
        </w:rPr>
        <w:t xml:space="preserve">tieto </w:t>
      </w:r>
      <w:r w:rsidRPr="00DA5B8F" w:rsidR="008C1E33">
        <w:rPr>
          <w:rFonts w:ascii="Times New Roman" w:hAnsi="Times New Roman"/>
          <w:sz w:val="24"/>
          <w:szCs w:val="24"/>
        </w:rPr>
        <w:t xml:space="preserve">dividendy </w:t>
      </w:r>
      <w:r w:rsidRPr="00DA5B8F" w:rsidR="00BF2B83">
        <w:rPr>
          <w:rFonts w:ascii="Times New Roman" w:hAnsi="Times New Roman"/>
          <w:sz w:val="24"/>
          <w:szCs w:val="24"/>
        </w:rPr>
        <w:t xml:space="preserve">už </w:t>
      </w:r>
      <w:r w:rsidRPr="00DA5B8F" w:rsidR="008C1E33">
        <w:rPr>
          <w:rFonts w:ascii="Times New Roman" w:hAnsi="Times New Roman"/>
          <w:sz w:val="24"/>
          <w:szCs w:val="24"/>
        </w:rPr>
        <w:t>boli vyplatené novému akcionárovi.</w:t>
      </w:r>
    </w:p>
    <w:p w:rsidR="00EB4F66" w:rsidRPr="00DA5B8F" w:rsidP="00C93F3F">
      <w:pPr>
        <w:pStyle w:val="Styl2"/>
        <w:tabs>
          <w:tab w:val="num" w:pos="540"/>
          <w:tab w:val="clear" w:pos="927"/>
        </w:tabs>
        <w:bidi w:val="0"/>
        <w:spacing w:line="264" w:lineRule="auto"/>
        <w:ind w:left="539" w:hanging="539"/>
      </w:pPr>
      <w:r w:rsidRPr="00DA5B8F" w:rsidR="002C3B67">
        <w:rPr>
          <w:rFonts w:ascii="Times New Roman" w:hAnsi="Times New Roman"/>
          <w:b/>
          <w:bCs/>
          <w:sz w:val="24"/>
          <w:szCs w:val="24"/>
        </w:rPr>
        <w:t>Ostatné príjmy</w:t>
      </w:r>
      <w:r w:rsidRPr="00DA5B8F" w:rsidR="002C3B67">
        <w:rPr>
          <w:rFonts w:ascii="Times New Roman" w:hAnsi="Times New Roman"/>
          <w:sz w:val="24"/>
          <w:szCs w:val="24"/>
        </w:rPr>
        <w:t xml:space="preserve"> – napr. úroky z kúpnopredajných zmlúv, z nájomného, z refundácie, z konkurzu, z exekúcie, z náhrad z poistenia a iné.</w:t>
      </w:r>
      <w:r w:rsidRPr="00DA5B8F" w:rsidR="00D1597E">
        <w:rPr>
          <w:rFonts w:ascii="Times New Roman" w:hAnsi="Times New Roman"/>
          <w:sz w:val="24"/>
          <w:szCs w:val="24"/>
        </w:rPr>
        <w:t xml:space="preserve"> Z hľadiska rozsahu najvýznamnejšiu položku predstavuje predaj prebytočného majetku fondu (napr. byty fondu).</w:t>
      </w:r>
    </w:p>
    <w:p w:rsidR="002C3B67" w:rsidRPr="00DA5B8F" w:rsidP="00C93F3F">
      <w:pPr>
        <w:pStyle w:val="Header"/>
        <w:numPr>
          <w:ilvl w:val="1"/>
          <w:numId w:val="14"/>
        </w:numPr>
        <w:shd w:val="clear" w:color="auto" w:fill="E6E6E6"/>
        <w:tabs>
          <w:tab w:val="clear" w:pos="4703"/>
          <w:tab w:val="clear" w:pos="9406"/>
        </w:tabs>
        <w:bidi w:val="0"/>
        <w:spacing w:before="360" w:after="240" w:line="264" w:lineRule="auto"/>
        <w:jc w:val="both"/>
        <w:rPr>
          <w:rFonts w:ascii="Times New Roman" w:hAnsi="Times New Roman"/>
          <w:b/>
          <w:bCs/>
          <w:lang w:val="sk-SK"/>
        </w:rPr>
      </w:pPr>
      <w:r w:rsidRPr="00DA5B8F">
        <w:rPr>
          <w:rFonts w:ascii="Times New Roman" w:hAnsi="Times New Roman"/>
          <w:b/>
          <w:bCs/>
          <w:lang w:val="sk-SK"/>
        </w:rPr>
        <w:t>Výdavky fondu (počítané na báze cash flow)</w:t>
      </w:r>
    </w:p>
    <w:p w:rsidR="002C3B67" w:rsidRPr="00DA5B8F" w:rsidP="00C93F3F">
      <w:pPr>
        <w:pStyle w:val="BodyTextIndent2"/>
        <w:bidi w:val="0"/>
        <w:spacing w:before="120" w:line="264" w:lineRule="auto"/>
        <w:ind w:left="0" w:firstLine="0"/>
        <w:rPr>
          <w:rFonts w:ascii="Times New Roman" w:hAnsi="Times New Roman"/>
        </w:rPr>
      </w:pPr>
      <w:r w:rsidRPr="00DA5B8F">
        <w:rPr>
          <w:rFonts w:ascii="Times New Roman" w:hAnsi="Times New Roman"/>
        </w:rPr>
        <w:t>Použitie majetku fondu vymedzuje § 28 ods. 3 zákona o privatizácii, ktorý taxatívne stanovuje účely, na ktoré môže fond použiť svoje finančné prostriedky. Výdavky fondu zrealizované počas roku 201</w:t>
      </w:r>
      <w:r w:rsidRPr="00DA5B8F" w:rsidR="00A21256">
        <w:rPr>
          <w:rFonts w:ascii="Times New Roman" w:hAnsi="Times New Roman"/>
        </w:rPr>
        <w:t>4</w:t>
      </w:r>
      <w:r w:rsidRPr="00DA5B8F">
        <w:rPr>
          <w:rFonts w:ascii="Times New Roman" w:hAnsi="Times New Roman"/>
        </w:rPr>
        <w:t xml:space="preserve"> boli vyčíslené na čiastku </w:t>
      </w:r>
      <w:r w:rsidRPr="00DA5B8F" w:rsidR="00A21256">
        <w:rPr>
          <w:rFonts w:ascii="Times New Roman" w:hAnsi="Times New Roman"/>
        </w:rPr>
        <w:t>284</w:t>
      </w:r>
      <w:r w:rsidRPr="00DA5B8F">
        <w:rPr>
          <w:rFonts w:ascii="Times New Roman" w:hAnsi="Times New Roman"/>
        </w:rPr>
        <w:t> </w:t>
      </w:r>
      <w:r w:rsidRPr="00DA5B8F" w:rsidR="00A21256">
        <w:rPr>
          <w:rFonts w:ascii="Times New Roman" w:hAnsi="Times New Roman"/>
        </w:rPr>
        <w:t>538</w:t>
      </w:r>
      <w:r w:rsidRPr="00DA5B8F">
        <w:rPr>
          <w:rFonts w:ascii="Times New Roman" w:hAnsi="Times New Roman"/>
        </w:rPr>
        <w:t> tis. Eur.</w:t>
      </w:r>
    </w:p>
    <w:p w:rsidR="002C3B67" w:rsidRPr="00DA5B8F" w:rsidP="00C93F3F">
      <w:pPr>
        <w:pStyle w:val="BodyTextIndent2"/>
        <w:bidi w:val="0"/>
        <w:spacing w:before="60" w:line="264" w:lineRule="auto"/>
        <w:ind w:left="0" w:firstLine="0"/>
        <w:rPr>
          <w:rFonts w:ascii="Times New Roman" w:hAnsi="Times New Roman"/>
        </w:rPr>
      </w:pPr>
      <w:r w:rsidRPr="00DA5B8F">
        <w:rPr>
          <w:rFonts w:ascii="Times New Roman" w:hAnsi="Times New Roman"/>
        </w:rPr>
        <w:t xml:space="preserve">Podstatnú časť týchto výdavkov vo výške </w:t>
      </w:r>
      <w:r w:rsidRPr="00DA5B8F" w:rsidR="00A21256">
        <w:rPr>
          <w:rFonts w:ascii="Times New Roman" w:hAnsi="Times New Roman"/>
        </w:rPr>
        <w:t>266</w:t>
      </w:r>
      <w:r w:rsidRPr="00DA5B8F">
        <w:rPr>
          <w:rFonts w:ascii="Times New Roman" w:hAnsi="Times New Roman"/>
        </w:rPr>
        <w:t> </w:t>
      </w:r>
      <w:r w:rsidRPr="00DA5B8F" w:rsidR="00A21256">
        <w:rPr>
          <w:rFonts w:ascii="Times New Roman" w:hAnsi="Times New Roman"/>
        </w:rPr>
        <w:t>027</w:t>
      </w:r>
      <w:r w:rsidRPr="00DA5B8F">
        <w:rPr>
          <w:rFonts w:ascii="Times New Roman" w:hAnsi="Times New Roman"/>
        </w:rPr>
        <w:t> tis. Eur, zodpovedajú</w:t>
      </w:r>
      <w:r w:rsidRPr="00DA5B8F" w:rsidR="00B4483C">
        <w:rPr>
          <w:rFonts w:ascii="Times New Roman" w:hAnsi="Times New Roman"/>
        </w:rPr>
        <w:t>c</w:t>
      </w:r>
      <w:r w:rsidRPr="00DA5B8F" w:rsidR="00474F35">
        <w:rPr>
          <w:rFonts w:ascii="Times New Roman" w:hAnsi="Times New Roman"/>
        </w:rPr>
        <w:t>u</w:t>
      </w:r>
      <w:r w:rsidRPr="00DA5B8F">
        <w:rPr>
          <w:rFonts w:ascii="Times New Roman" w:hAnsi="Times New Roman"/>
        </w:rPr>
        <w:t xml:space="preserve"> 9</w:t>
      </w:r>
      <w:r w:rsidRPr="00DA5B8F" w:rsidR="00A21256">
        <w:rPr>
          <w:rFonts w:ascii="Times New Roman" w:hAnsi="Times New Roman"/>
        </w:rPr>
        <w:t>3</w:t>
      </w:r>
      <w:r w:rsidRPr="00DA5B8F">
        <w:rPr>
          <w:rFonts w:ascii="Times New Roman" w:hAnsi="Times New Roman"/>
        </w:rPr>
        <w:t>,</w:t>
      </w:r>
      <w:r w:rsidRPr="00DA5B8F" w:rsidR="00B4483C">
        <w:rPr>
          <w:rFonts w:ascii="Times New Roman" w:hAnsi="Times New Roman"/>
        </w:rPr>
        <w:t>49</w:t>
      </w:r>
      <w:r w:rsidRPr="00DA5B8F">
        <w:rPr>
          <w:rFonts w:ascii="Times New Roman" w:hAnsi="Times New Roman"/>
        </w:rPr>
        <w:t xml:space="preserve"> %-nému podielu z celkového objemu výdavkov fondu, tvorili úhrady podľa § 28 ods. 3 písm. b) zákona o privatizácii, </w:t>
      </w:r>
      <w:r w:rsidRPr="00DA5B8F" w:rsidR="00B4483C">
        <w:rPr>
          <w:rFonts w:ascii="Times New Roman" w:hAnsi="Times New Roman"/>
        </w:rPr>
        <w:t>tzn. p</w:t>
      </w:r>
      <w:r w:rsidRPr="00DA5B8F">
        <w:rPr>
          <w:rFonts w:ascii="Times New Roman" w:hAnsi="Times New Roman"/>
        </w:rPr>
        <w:t>oužitie majetku fondu v súlade s rozhodnutiami vlády. Tieto úhrady fond v posledných rokoch realizuje z príjmov, ktoré získava z dividend. Aj v roku 201</w:t>
      </w:r>
      <w:r w:rsidRPr="00DA5B8F" w:rsidR="00B4483C">
        <w:rPr>
          <w:rFonts w:ascii="Times New Roman" w:hAnsi="Times New Roman"/>
        </w:rPr>
        <w:t>4</w:t>
      </w:r>
      <w:r w:rsidRPr="00DA5B8F">
        <w:rPr>
          <w:rFonts w:ascii="Times New Roman" w:hAnsi="Times New Roman"/>
        </w:rPr>
        <w:t xml:space="preserve"> boli takto získané prostriedky transferované na účet štátnych finančných aktív v súlade s rozhodnutiami vlády.</w:t>
      </w:r>
    </w:p>
    <w:p w:rsidR="002C3B67" w:rsidRPr="00DA5B8F" w:rsidP="00C93F3F">
      <w:pPr>
        <w:pStyle w:val="BodyTextIndent2"/>
        <w:bidi w:val="0"/>
        <w:spacing w:before="60" w:line="264" w:lineRule="auto"/>
        <w:ind w:left="0" w:firstLine="0"/>
        <w:rPr>
          <w:rFonts w:ascii="Times New Roman" w:hAnsi="Times New Roman"/>
        </w:rPr>
      </w:pPr>
      <w:r w:rsidRPr="00DA5B8F">
        <w:rPr>
          <w:rFonts w:ascii="Times New Roman" w:hAnsi="Times New Roman"/>
        </w:rPr>
        <w:t xml:space="preserve">Ďalšími položkami, k plneniu ktorých došlo v priebehu daného obdobia, boli náklady na činnosť fondu, náklady spojené so splácaním dlhopisov fondu a ich výnosov, </w:t>
      </w:r>
      <w:r w:rsidRPr="00DA5B8F" w:rsidR="00B4483C">
        <w:rPr>
          <w:rFonts w:ascii="Times New Roman" w:hAnsi="Times New Roman"/>
        </w:rPr>
        <w:t xml:space="preserve">náklady vzniknuté v dôsledku odstúpenia od zmlúv, </w:t>
      </w:r>
      <w:r w:rsidRPr="00DA5B8F">
        <w:rPr>
          <w:rFonts w:ascii="Times New Roman" w:hAnsi="Times New Roman"/>
        </w:rPr>
        <w:t>a iné.</w:t>
      </w:r>
      <w:r w:rsidRPr="00DA5B8F" w:rsidR="00DD5127">
        <w:rPr>
          <w:rFonts w:ascii="Times New Roman" w:hAnsi="Times New Roman"/>
        </w:rPr>
        <w:t xml:space="preserve"> </w:t>
      </w:r>
    </w:p>
    <w:p w:rsidR="002C3B67" w:rsidRPr="00DA5B8F" w:rsidP="00C93F3F">
      <w:pPr>
        <w:pStyle w:val="BodyTextIndent2"/>
        <w:bidi w:val="0"/>
        <w:spacing w:before="60" w:line="264" w:lineRule="auto"/>
        <w:ind w:left="0" w:firstLine="0"/>
        <w:rPr>
          <w:rFonts w:ascii="Times New Roman" w:hAnsi="Times New Roman"/>
        </w:rPr>
      </w:pPr>
      <w:r w:rsidRPr="00DA5B8F">
        <w:rPr>
          <w:rFonts w:ascii="Times New Roman" w:hAnsi="Times New Roman"/>
        </w:rPr>
        <w:t xml:space="preserve">Od roku 2009 </w:t>
      </w:r>
      <w:r w:rsidRPr="00DA5B8F" w:rsidR="00F83CD9">
        <w:rPr>
          <w:rFonts w:ascii="Times New Roman" w:hAnsi="Times New Roman"/>
        </w:rPr>
        <w:t>sú</w:t>
      </w:r>
      <w:r w:rsidRPr="00DA5B8F">
        <w:rPr>
          <w:rFonts w:ascii="Times New Roman" w:hAnsi="Times New Roman"/>
        </w:rPr>
        <w:t xml:space="preserve"> položky </w:t>
      </w:r>
      <w:r w:rsidRPr="00DA5B8F" w:rsidR="00B32700">
        <w:rPr>
          <w:rFonts w:ascii="Times New Roman" w:hAnsi="Times New Roman"/>
        </w:rPr>
        <w:t>použitia</w:t>
      </w:r>
      <w:r w:rsidRPr="00DA5B8F" w:rsidR="00DD5127">
        <w:rPr>
          <w:rFonts w:ascii="Times New Roman" w:hAnsi="Times New Roman"/>
        </w:rPr>
        <w:t xml:space="preserve"> </w:t>
      </w:r>
      <w:r w:rsidRPr="00DA5B8F" w:rsidR="00B32700">
        <w:rPr>
          <w:rFonts w:ascii="Times New Roman" w:hAnsi="Times New Roman"/>
        </w:rPr>
        <w:t xml:space="preserve">majetku fondu podľa </w:t>
      </w:r>
      <w:r w:rsidRPr="00DA5B8F">
        <w:rPr>
          <w:rFonts w:ascii="Times New Roman" w:hAnsi="Times New Roman"/>
        </w:rPr>
        <w:t>§ 28 ods. 3 zákona o privatizácii doplnené o písmeno n), týkajúce sa použitia majetku fondu na úhradu nákladov spojených s cennými papiermi, ktoré boli prevedené na fond fyzickými osobami a nákladov spojených s ich nadobudnutím a prevodom na iné osoby a na úhradu záväzkov zo zmlúv uzavretých podľa § 29 ods. 11 zákona o privatizácii. Práve táto výdavková položka bola v roku 201</w:t>
      </w:r>
      <w:r w:rsidRPr="00DA5B8F" w:rsidR="00B4483C">
        <w:rPr>
          <w:rFonts w:ascii="Times New Roman" w:hAnsi="Times New Roman"/>
        </w:rPr>
        <w:t>4</w:t>
      </w:r>
      <w:r w:rsidRPr="00DA5B8F">
        <w:rPr>
          <w:rFonts w:ascii="Times New Roman" w:hAnsi="Times New Roman"/>
        </w:rPr>
        <w:t xml:space="preserve"> druhou najväčšou položkou vo výdavkoch fondu (</w:t>
      </w:r>
      <w:r w:rsidRPr="00DA5B8F" w:rsidR="00B4483C">
        <w:rPr>
          <w:rFonts w:ascii="Times New Roman" w:hAnsi="Times New Roman"/>
        </w:rPr>
        <w:t>3</w:t>
      </w:r>
      <w:r w:rsidRPr="00DA5B8F">
        <w:rPr>
          <w:rFonts w:ascii="Times New Roman" w:hAnsi="Times New Roman"/>
        </w:rPr>
        <w:t>,</w:t>
      </w:r>
      <w:r w:rsidRPr="00DA5B8F" w:rsidR="00B4483C">
        <w:rPr>
          <w:rFonts w:ascii="Times New Roman" w:hAnsi="Times New Roman"/>
        </w:rPr>
        <w:t>0</w:t>
      </w:r>
      <w:r w:rsidRPr="00DA5B8F">
        <w:rPr>
          <w:rFonts w:ascii="Times New Roman" w:hAnsi="Times New Roman"/>
        </w:rPr>
        <w:t xml:space="preserve">2 %). </w:t>
      </w:r>
      <w:r w:rsidRPr="00DA5B8F" w:rsidR="00B32700">
        <w:rPr>
          <w:rFonts w:ascii="Times New Roman" w:hAnsi="Times New Roman"/>
        </w:rPr>
        <w:t>Ďalšou n</w:t>
      </w:r>
      <w:r w:rsidRPr="00DA5B8F">
        <w:rPr>
          <w:rFonts w:ascii="Times New Roman" w:hAnsi="Times New Roman"/>
        </w:rPr>
        <w:t>ovelou zákona o privatizácii z októbra roku 2012 bolo doplnené použitie majetku fondu na náklady súvisiace s ukončením činnosti fondu podľa § 40a tohto zákona (§ 28 ods. 3 písm. o).</w:t>
      </w:r>
    </w:p>
    <w:p w:rsidR="002C3B67" w:rsidRPr="00DA5B8F">
      <w:pPr>
        <w:pStyle w:val="BodyTextIndent2"/>
        <w:bidi w:val="0"/>
        <w:spacing w:before="240" w:after="120" w:line="264" w:lineRule="auto"/>
        <w:ind w:left="0" w:firstLine="0"/>
        <w:rPr>
          <w:rFonts w:ascii="Times New Roman" w:hAnsi="Times New Roman"/>
          <w:b/>
          <w:bCs/>
        </w:rPr>
      </w:pPr>
      <w:r w:rsidRPr="00DA5B8F">
        <w:rPr>
          <w:rFonts w:ascii="Times New Roman" w:hAnsi="Times New Roman"/>
          <w:b/>
          <w:bCs/>
        </w:rPr>
        <w:t>Výdavky fondu v roku 201</w:t>
      </w:r>
      <w:r w:rsidRPr="00DA5B8F" w:rsidR="00B32700">
        <w:rPr>
          <w:rFonts w:ascii="Times New Roman" w:hAnsi="Times New Roman"/>
          <w:b/>
          <w:bCs/>
        </w:rPr>
        <w:t>4</w:t>
      </w:r>
    </w:p>
    <w:tbl>
      <w:tblPr>
        <w:tblStyle w:val="TableNormal"/>
        <w:tblW w:w="9610" w:type="dxa"/>
        <w:tblBorders>
          <w:top w:val="single" w:sz="4" w:space="0" w:color="999999"/>
          <w:bottom w:val="single" w:sz="4" w:space="0" w:color="999999"/>
          <w:insideH w:val="single" w:sz="4" w:space="0" w:color="999999"/>
        </w:tblBorders>
        <w:tblLayout w:type="fixed"/>
        <w:tblCellMar>
          <w:top w:w="0" w:type="dxa"/>
          <w:left w:w="70" w:type="dxa"/>
          <w:bottom w:w="0" w:type="dxa"/>
          <w:right w:w="70" w:type="dxa"/>
        </w:tblCellMar>
      </w:tblPr>
      <w:tblGrid>
        <w:gridCol w:w="610"/>
        <w:gridCol w:w="2160"/>
        <w:gridCol w:w="3960"/>
        <w:gridCol w:w="1800"/>
        <w:gridCol w:w="1080"/>
      </w:tblGrid>
      <w:tr>
        <w:tblPrEx>
          <w:tblW w:w="9610" w:type="dxa"/>
          <w:tblBorders>
            <w:top w:val="single" w:sz="4" w:space="0" w:color="999999"/>
            <w:bottom w:val="single" w:sz="4" w:space="0" w:color="999999"/>
            <w:insideH w:val="single" w:sz="4" w:space="0" w:color="999999"/>
          </w:tblBorders>
          <w:tblLayout w:type="fixed"/>
          <w:tblCellMar>
            <w:top w:w="0" w:type="dxa"/>
            <w:left w:w="70" w:type="dxa"/>
            <w:bottom w:w="0" w:type="dxa"/>
            <w:right w:w="70" w:type="dxa"/>
          </w:tblCellMar>
        </w:tblPrEx>
        <w:trPr>
          <w:trHeight w:val="567"/>
        </w:trPr>
        <w:tc>
          <w:tcPr>
            <w:tcW w:w="61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left"/>
              <w:rPr>
                <w:rFonts w:ascii="Times New Roman" w:hAnsi="Times New Roman"/>
              </w:rPr>
            </w:pPr>
          </w:p>
        </w:tc>
        <w:tc>
          <w:tcPr>
            <w:tcW w:w="216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rPr>
                <w:rFonts w:ascii="Times New Roman" w:hAnsi="Times New Roman"/>
              </w:rPr>
            </w:pPr>
          </w:p>
        </w:tc>
        <w:tc>
          <w:tcPr>
            <w:tcW w:w="396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left"/>
              <w:rPr>
                <w:rFonts w:ascii="Times New Roman" w:hAnsi="Times New Roman"/>
              </w:rPr>
            </w:pPr>
          </w:p>
        </w:tc>
        <w:tc>
          <w:tcPr>
            <w:tcW w:w="180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center"/>
              <w:rPr>
                <w:rFonts w:ascii="Times New Roman" w:hAnsi="Times New Roman"/>
              </w:rPr>
            </w:pPr>
            <w:r w:rsidRPr="00DA5B8F">
              <w:rPr>
                <w:rFonts w:ascii="Times New Roman" w:hAnsi="Times New Roman"/>
              </w:rPr>
              <w:t>(v Eur)</w:t>
            </w:r>
          </w:p>
        </w:tc>
        <w:tc>
          <w:tcPr>
            <w:tcW w:w="1080" w:type="dxa"/>
            <w:tcBorders>
              <w:top w:val="single" w:sz="4" w:space="0" w:color="999999"/>
              <w:left w:val="nil"/>
              <w:bottom w:val="double" w:sz="4" w:space="0" w:color="999999"/>
              <w:right w:val="nil"/>
            </w:tcBorders>
            <w:shd w:val="clear" w:color="auto" w:fill="CCCCFF"/>
            <w:textDirection w:val="lrTb"/>
            <w:vAlign w:val="top"/>
          </w:tcPr>
          <w:p w:rsidR="002C3B67" w:rsidRPr="00DA5B8F">
            <w:pPr>
              <w:pStyle w:val="Heading8"/>
              <w:bidi w:val="0"/>
              <w:spacing w:before="120"/>
              <w:jc w:val="center"/>
              <w:rPr>
                <w:rFonts w:ascii="Times New Roman" w:hAnsi="Times New Roman"/>
              </w:rPr>
            </w:pPr>
            <w:r w:rsidRPr="00DA5B8F">
              <w:rPr>
                <w:rFonts w:ascii="Times New Roman" w:hAnsi="Times New Roman"/>
              </w:rPr>
              <w:t>%</w:t>
            </w:r>
          </w:p>
        </w:tc>
      </w:tr>
      <w:tr>
        <w:tblPrEx>
          <w:tblW w:w="9610" w:type="dxa"/>
          <w:tblLayout w:type="fixed"/>
          <w:tblCellMar>
            <w:top w:w="0" w:type="dxa"/>
            <w:left w:w="70" w:type="dxa"/>
            <w:bottom w:w="0" w:type="dxa"/>
            <w:right w:w="70" w:type="dxa"/>
          </w:tblCellMar>
        </w:tblPrEx>
        <w:trPr>
          <w:trHeight w:hRule="exact" w:val="454"/>
        </w:trPr>
        <w:tc>
          <w:tcPr>
            <w:tcW w:w="610" w:type="dxa"/>
            <w:tcBorders>
              <w:top w:val="doub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1.</w:t>
            </w:r>
          </w:p>
        </w:tc>
        <w:tc>
          <w:tcPr>
            <w:tcW w:w="2160" w:type="dxa"/>
            <w:tcBorders>
              <w:top w:val="doub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b)</w:t>
            </w:r>
          </w:p>
        </w:tc>
        <w:tc>
          <w:tcPr>
            <w:tcW w:w="3960" w:type="dxa"/>
            <w:tcBorders>
              <w:top w:val="doub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 xml:space="preserve">v súlade s rozhodnutím vlády </w:t>
            </w:r>
          </w:p>
        </w:tc>
        <w:tc>
          <w:tcPr>
            <w:tcW w:w="1800" w:type="dxa"/>
            <w:tcBorders>
              <w:top w:val="double" w:sz="4" w:space="0" w:color="999999"/>
              <w:left w:val="nil"/>
              <w:bottom w:val="single" w:sz="4" w:space="0" w:color="999999"/>
              <w:right w:val="nil"/>
            </w:tcBorders>
            <w:textDirection w:val="lrTb"/>
            <w:vAlign w:val="center"/>
          </w:tcPr>
          <w:p w:rsidR="002C3B67" w:rsidRPr="00DA5B8F" w:rsidP="00B32700">
            <w:pPr>
              <w:pStyle w:val="Heading8"/>
              <w:bidi w:val="0"/>
              <w:spacing w:before="0"/>
              <w:jc w:val="right"/>
              <w:rPr>
                <w:rFonts w:ascii="Times New Roman" w:hAnsi="Times New Roman"/>
                <w:b w:val="0"/>
                <w:bCs w:val="0"/>
              </w:rPr>
            </w:pPr>
            <w:r w:rsidRPr="00DA5B8F" w:rsidR="00B32700">
              <w:rPr>
                <w:rFonts w:ascii="Times New Roman" w:hAnsi="Times New Roman"/>
                <w:b w:val="0"/>
                <w:bCs w:val="0"/>
              </w:rPr>
              <w:t>266</w:t>
            </w:r>
            <w:r w:rsidRPr="00DA5B8F">
              <w:rPr>
                <w:rFonts w:ascii="Times New Roman" w:hAnsi="Times New Roman"/>
                <w:b w:val="0"/>
                <w:bCs w:val="0"/>
              </w:rPr>
              <w:t> </w:t>
            </w:r>
            <w:r w:rsidRPr="00DA5B8F" w:rsidR="00B32700">
              <w:rPr>
                <w:rFonts w:ascii="Times New Roman" w:hAnsi="Times New Roman"/>
                <w:b w:val="0"/>
                <w:bCs w:val="0"/>
              </w:rPr>
              <w:t>027</w:t>
            </w:r>
            <w:r w:rsidRPr="00DA5B8F">
              <w:rPr>
                <w:rFonts w:ascii="Times New Roman" w:hAnsi="Times New Roman"/>
                <w:b w:val="0"/>
                <w:bCs w:val="0"/>
              </w:rPr>
              <w:t> </w:t>
            </w:r>
            <w:r w:rsidRPr="00DA5B8F" w:rsidR="00B32700">
              <w:rPr>
                <w:rFonts w:ascii="Times New Roman" w:hAnsi="Times New Roman"/>
                <w:b w:val="0"/>
                <w:bCs w:val="0"/>
              </w:rPr>
              <w:t>000</w:t>
            </w:r>
            <w:r w:rsidRPr="00DA5B8F">
              <w:rPr>
                <w:rFonts w:ascii="Times New Roman" w:hAnsi="Times New Roman"/>
                <w:b w:val="0"/>
                <w:bCs w:val="0"/>
              </w:rPr>
              <w:t>,</w:t>
            </w:r>
            <w:r w:rsidRPr="00DA5B8F" w:rsidR="00B32700">
              <w:rPr>
                <w:rFonts w:ascii="Times New Roman" w:hAnsi="Times New Roman"/>
                <w:b w:val="0"/>
                <w:bCs w:val="0"/>
              </w:rPr>
              <w:t>00</w:t>
            </w:r>
          </w:p>
        </w:tc>
        <w:tc>
          <w:tcPr>
            <w:tcW w:w="1080" w:type="dxa"/>
            <w:tcBorders>
              <w:top w:val="double" w:sz="4" w:space="0" w:color="999999"/>
              <w:left w:val="nil"/>
              <w:bottom w:val="single" w:sz="4" w:space="0" w:color="999999"/>
              <w:right w:val="nil"/>
            </w:tcBorders>
            <w:textDirection w:val="lrTb"/>
            <w:vAlign w:val="center"/>
          </w:tcPr>
          <w:p w:rsidR="002C3B67" w:rsidRPr="00DA5B8F" w:rsidP="00B32700">
            <w:pPr>
              <w:pStyle w:val="Heading8"/>
              <w:bidi w:val="0"/>
              <w:spacing w:before="0"/>
              <w:jc w:val="right"/>
              <w:rPr>
                <w:rFonts w:ascii="Times New Roman" w:hAnsi="Times New Roman"/>
                <w:b w:val="0"/>
                <w:bCs w:val="0"/>
              </w:rPr>
            </w:pPr>
            <w:r w:rsidRPr="00DA5B8F">
              <w:rPr>
                <w:rFonts w:ascii="Times New Roman" w:hAnsi="Times New Roman"/>
                <w:b w:val="0"/>
                <w:bCs w:val="0"/>
              </w:rPr>
              <w:t>9</w:t>
            </w:r>
            <w:r w:rsidRPr="00DA5B8F" w:rsidR="00B32700">
              <w:rPr>
                <w:rFonts w:ascii="Times New Roman" w:hAnsi="Times New Roman"/>
                <w:b w:val="0"/>
                <w:bCs w:val="0"/>
              </w:rPr>
              <w:t>3</w:t>
            </w:r>
            <w:r w:rsidRPr="00DA5B8F">
              <w:rPr>
                <w:rFonts w:ascii="Times New Roman" w:hAnsi="Times New Roman"/>
                <w:b w:val="0"/>
                <w:bCs w:val="0"/>
              </w:rPr>
              <w:t>,</w:t>
            </w:r>
            <w:r w:rsidRPr="00DA5B8F" w:rsidR="00B32700">
              <w:rPr>
                <w:rFonts w:ascii="Times New Roman" w:hAnsi="Times New Roman"/>
                <w:b w:val="0"/>
                <w:bCs w:val="0"/>
              </w:rPr>
              <w:t>49 </w:t>
            </w:r>
            <w:r w:rsidRPr="00DA5B8F">
              <w:rPr>
                <w:rFonts w:ascii="Times New Roman" w:hAnsi="Times New Roman"/>
                <w:b w:val="0"/>
                <w:bCs w:val="0"/>
              </w:rPr>
              <w:t>%</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2.</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c)</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zvýšenie základného imania</w:t>
            </w:r>
          </w:p>
        </w:tc>
        <w:tc>
          <w:tcPr>
            <w:tcW w:w="1800" w:type="dxa"/>
            <w:tcBorders>
              <w:top w:val="single" w:sz="4" w:space="0" w:color="999999"/>
              <w:left w:val="nil"/>
              <w:bottom w:val="single" w:sz="4" w:space="0" w:color="999999"/>
              <w:right w:val="nil"/>
            </w:tcBorders>
            <w:textDirection w:val="lrTb"/>
            <w:vAlign w:val="center"/>
          </w:tcPr>
          <w:p w:rsidR="002C3B67" w:rsidRPr="00DA5B8F" w:rsidP="00B32700">
            <w:pPr>
              <w:pStyle w:val="Heading8"/>
              <w:bidi w:val="0"/>
              <w:spacing w:before="0"/>
              <w:jc w:val="right"/>
              <w:rPr>
                <w:rFonts w:ascii="Times New Roman" w:hAnsi="Times New Roman"/>
                <w:b w:val="0"/>
                <w:bCs w:val="0"/>
              </w:rPr>
            </w:pPr>
            <w:r w:rsidRPr="00DA5B8F" w:rsidR="00B32700">
              <w:rPr>
                <w:rFonts w:ascii="Times New Roman" w:hAnsi="Times New Roman"/>
                <w:b w:val="0"/>
                <w:bCs w:val="0"/>
              </w:rPr>
              <w:t>0</w:t>
            </w:r>
            <w:r w:rsidRPr="00DA5B8F">
              <w:rPr>
                <w:rFonts w:ascii="Times New Roman" w:hAnsi="Times New Roman"/>
                <w:b w:val="0"/>
                <w:bCs w:val="0"/>
              </w:rPr>
              <w:t>,00</w:t>
            </w:r>
          </w:p>
        </w:tc>
        <w:tc>
          <w:tcPr>
            <w:tcW w:w="1080" w:type="dxa"/>
            <w:tcBorders>
              <w:top w:val="single" w:sz="4" w:space="0" w:color="999999"/>
              <w:left w:val="nil"/>
              <w:bottom w:val="single" w:sz="4" w:space="0" w:color="999999"/>
              <w:right w:val="nil"/>
            </w:tcBorders>
            <w:textDirection w:val="lrTb"/>
            <w:vAlign w:val="center"/>
          </w:tcPr>
          <w:p w:rsidR="002C3B67" w:rsidRPr="00DA5B8F" w:rsidP="00B32700">
            <w:pPr>
              <w:pStyle w:val="Heading8"/>
              <w:bidi w:val="0"/>
              <w:spacing w:before="0"/>
              <w:jc w:val="right"/>
              <w:rPr>
                <w:rFonts w:ascii="Times New Roman" w:hAnsi="Times New Roman"/>
                <w:b w:val="0"/>
                <w:bCs w:val="0"/>
              </w:rPr>
            </w:pPr>
            <w:r w:rsidRPr="00DA5B8F">
              <w:rPr>
                <w:rFonts w:ascii="Times New Roman" w:hAnsi="Times New Roman"/>
                <w:b w:val="0"/>
                <w:bCs w:val="0"/>
              </w:rPr>
              <w:t>0,</w:t>
            </w:r>
            <w:r w:rsidRPr="00DA5B8F" w:rsidR="00B32700">
              <w:rPr>
                <w:rFonts w:ascii="Times New Roman" w:hAnsi="Times New Roman"/>
                <w:b w:val="0"/>
                <w:bCs w:val="0"/>
              </w:rPr>
              <w:t>00</w:t>
            </w:r>
            <w:r w:rsidRPr="00DA5B8F">
              <w:rPr>
                <w:rFonts w:ascii="Times New Roman" w:hAnsi="Times New Roman"/>
                <w:b w:val="0"/>
                <w:bCs w:val="0"/>
              </w:rPr>
              <w:t>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3.</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d)</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náklady na činnosť fondu</w:t>
            </w:r>
          </w:p>
        </w:tc>
        <w:tc>
          <w:tcPr>
            <w:tcW w:w="1800" w:type="dxa"/>
            <w:tcBorders>
              <w:top w:val="single" w:sz="4" w:space="0" w:color="999999"/>
              <w:left w:val="nil"/>
              <w:bottom w:val="single" w:sz="4" w:space="0" w:color="999999"/>
              <w:right w:val="nil"/>
            </w:tcBorders>
            <w:textDirection w:val="lrTb"/>
            <w:vAlign w:val="center"/>
          </w:tcPr>
          <w:p w:rsidR="002C3B67" w:rsidRPr="00DA5B8F" w:rsidP="00B32700">
            <w:pPr>
              <w:pStyle w:val="Heading8"/>
              <w:bidi w:val="0"/>
              <w:spacing w:before="0"/>
              <w:jc w:val="right"/>
              <w:rPr>
                <w:rFonts w:ascii="Times New Roman" w:hAnsi="Times New Roman"/>
                <w:b w:val="0"/>
                <w:bCs w:val="0"/>
              </w:rPr>
            </w:pPr>
            <w:r w:rsidRPr="00DA5B8F" w:rsidR="00B32700">
              <w:rPr>
                <w:rFonts w:ascii="Times New Roman" w:hAnsi="Times New Roman"/>
                <w:b w:val="0"/>
                <w:bCs w:val="0"/>
              </w:rPr>
              <w:t>1</w:t>
            </w:r>
            <w:r w:rsidRPr="00DA5B8F">
              <w:rPr>
                <w:rFonts w:ascii="Times New Roman" w:hAnsi="Times New Roman"/>
                <w:b w:val="0"/>
                <w:bCs w:val="0"/>
              </w:rPr>
              <w:t> </w:t>
            </w:r>
            <w:r w:rsidRPr="00DA5B8F" w:rsidR="00B32700">
              <w:rPr>
                <w:rFonts w:ascii="Times New Roman" w:hAnsi="Times New Roman"/>
                <w:b w:val="0"/>
                <w:bCs w:val="0"/>
              </w:rPr>
              <w:t>900</w:t>
            </w:r>
            <w:r w:rsidRPr="00DA5B8F">
              <w:rPr>
                <w:rFonts w:ascii="Times New Roman" w:hAnsi="Times New Roman"/>
                <w:b w:val="0"/>
                <w:bCs w:val="0"/>
              </w:rPr>
              <w:t> </w:t>
            </w:r>
            <w:r w:rsidRPr="00DA5B8F" w:rsidR="00B32700">
              <w:rPr>
                <w:rFonts w:ascii="Times New Roman" w:hAnsi="Times New Roman"/>
                <w:b w:val="0"/>
                <w:bCs w:val="0"/>
              </w:rPr>
              <w:t>364</w:t>
            </w:r>
            <w:r w:rsidRPr="00DA5B8F">
              <w:rPr>
                <w:rFonts w:ascii="Times New Roman" w:hAnsi="Times New Roman"/>
                <w:b w:val="0"/>
                <w:bCs w:val="0"/>
              </w:rPr>
              <w:t>,</w:t>
            </w:r>
            <w:r w:rsidRPr="00DA5B8F" w:rsidR="00B32700">
              <w:rPr>
                <w:rFonts w:ascii="Times New Roman" w:hAnsi="Times New Roman"/>
                <w:b w:val="0"/>
                <w:bCs w:val="0"/>
              </w:rPr>
              <w:t>01</w:t>
            </w:r>
          </w:p>
        </w:tc>
        <w:tc>
          <w:tcPr>
            <w:tcW w:w="1080" w:type="dxa"/>
            <w:tcBorders>
              <w:top w:val="single" w:sz="4" w:space="0" w:color="999999"/>
              <w:left w:val="nil"/>
              <w:bottom w:val="single" w:sz="4" w:space="0" w:color="999999"/>
              <w:right w:val="nil"/>
            </w:tcBorders>
            <w:textDirection w:val="lrTb"/>
            <w:vAlign w:val="center"/>
          </w:tcPr>
          <w:p w:rsidR="002C3B67" w:rsidRPr="00DA5B8F" w:rsidP="00B32700">
            <w:pPr>
              <w:pStyle w:val="Heading8"/>
              <w:bidi w:val="0"/>
              <w:spacing w:before="0"/>
              <w:jc w:val="right"/>
              <w:rPr>
                <w:rFonts w:ascii="Times New Roman" w:hAnsi="Times New Roman"/>
                <w:b w:val="0"/>
                <w:bCs w:val="0"/>
              </w:rPr>
            </w:pPr>
            <w:r w:rsidRPr="00DA5B8F">
              <w:rPr>
                <w:rFonts w:ascii="Times New Roman" w:hAnsi="Times New Roman"/>
                <w:b w:val="0"/>
                <w:bCs w:val="0"/>
              </w:rPr>
              <w:t>0,</w:t>
            </w:r>
            <w:r w:rsidRPr="00DA5B8F" w:rsidR="00B32700">
              <w:rPr>
                <w:rFonts w:ascii="Times New Roman" w:hAnsi="Times New Roman"/>
                <w:b w:val="0"/>
                <w:bCs w:val="0"/>
              </w:rPr>
              <w:t>67</w:t>
            </w:r>
            <w:r w:rsidRPr="00DA5B8F">
              <w:rPr>
                <w:rFonts w:ascii="Times New Roman" w:hAnsi="Times New Roman"/>
                <w:b w:val="0"/>
                <w:bCs w:val="0"/>
              </w:rPr>
              <w:t>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4.</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f)</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náklady spojené s</w:t>
            </w:r>
            <w:r w:rsidRPr="00DA5B8F" w:rsidR="00E73663">
              <w:rPr>
                <w:rFonts w:ascii="Times New Roman" w:hAnsi="Times New Roman"/>
                <w:b w:val="0"/>
                <w:bCs w:val="0"/>
              </w:rPr>
              <w:t> </w:t>
            </w:r>
            <w:r w:rsidRPr="00DA5B8F">
              <w:rPr>
                <w:rFonts w:ascii="Times New Roman" w:hAnsi="Times New Roman"/>
                <w:b w:val="0"/>
                <w:bCs w:val="0"/>
              </w:rPr>
              <w:t>privatizáciou</w:t>
            </w:r>
          </w:p>
        </w:tc>
        <w:tc>
          <w:tcPr>
            <w:tcW w:w="180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B32700">
              <w:rPr>
                <w:rFonts w:ascii="Times New Roman" w:hAnsi="Times New Roman"/>
                <w:b w:val="0"/>
                <w:bCs w:val="0"/>
              </w:rPr>
              <w:t>1 440 366</w:t>
            </w:r>
            <w:r w:rsidRPr="00DA5B8F">
              <w:rPr>
                <w:rFonts w:ascii="Times New Roman" w:hAnsi="Times New Roman"/>
                <w:b w:val="0"/>
                <w:bCs w:val="0"/>
              </w:rPr>
              <w:t>,</w:t>
            </w:r>
            <w:r w:rsidRPr="00DA5B8F" w:rsidR="00A30825">
              <w:rPr>
                <w:rFonts w:ascii="Times New Roman" w:hAnsi="Times New Roman"/>
                <w:b w:val="0"/>
                <w:bCs w:val="0"/>
              </w:rPr>
              <w:t>80</w:t>
            </w:r>
          </w:p>
        </w:tc>
        <w:tc>
          <w:tcPr>
            <w:tcW w:w="108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Pr>
                <w:rFonts w:ascii="Times New Roman" w:hAnsi="Times New Roman"/>
                <w:b w:val="0"/>
                <w:bCs w:val="0"/>
              </w:rPr>
              <w:t>0,</w:t>
            </w:r>
            <w:r w:rsidRPr="00DA5B8F" w:rsidR="00A30825">
              <w:rPr>
                <w:rFonts w:ascii="Times New Roman" w:hAnsi="Times New Roman"/>
                <w:b w:val="0"/>
                <w:bCs w:val="0"/>
              </w:rPr>
              <w:t>51</w:t>
            </w:r>
            <w:r w:rsidRPr="00DA5B8F">
              <w:rPr>
                <w:rFonts w:ascii="Times New Roman" w:hAnsi="Times New Roman"/>
                <w:b w:val="0"/>
                <w:bCs w:val="0"/>
              </w:rPr>
              <w:t>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5.</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h)</w:t>
            </w:r>
          </w:p>
        </w:tc>
        <w:tc>
          <w:tcPr>
            <w:tcW w:w="3960" w:type="dxa"/>
            <w:tcBorders>
              <w:top w:val="single" w:sz="4" w:space="0" w:color="999999"/>
              <w:left w:val="nil"/>
              <w:bottom w:val="single" w:sz="4" w:space="0" w:color="999999"/>
              <w:right w:val="nil"/>
            </w:tcBorders>
            <w:textDirection w:val="lrTb"/>
            <w:vAlign w:val="center"/>
          </w:tcPr>
          <w:p w:rsidR="002C3B67" w:rsidRPr="00DA5B8F" w:rsidP="007B78C1">
            <w:pPr>
              <w:pStyle w:val="Heading8"/>
              <w:bidi w:val="0"/>
              <w:spacing w:before="0"/>
              <w:jc w:val="left"/>
              <w:rPr>
                <w:rFonts w:ascii="Times New Roman" w:hAnsi="Times New Roman"/>
                <w:b w:val="0"/>
                <w:bCs w:val="0"/>
              </w:rPr>
            </w:pPr>
            <w:r w:rsidRPr="00DA5B8F">
              <w:rPr>
                <w:rFonts w:ascii="Times New Roman" w:hAnsi="Times New Roman"/>
                <w:b w:val="0"/>
                <w:bCs w:val="0"/>
              </w:rPr>
              <w:t xml:space="preserve">na uspokojovanie nárokov opráv. </w:t>
            </w:r>
            <w:r w:rsidR="007B78C1">
              <w:rPr>
                <w:rFonts w:ascii="Times New Roman" w:hAnsi="Times New Roman"/>
                <w:b w:val="0"/>
                <w:bCs w:val="0"/>
              </w:rPr>
              <w:t>o</w:t>
            </w:r>
            <w:r w:rsidRPr="00DA5B8F">
              <w:rPr>
                <w:rFonts w:ascii="Times New Roman" w:hAnsi="Times New Roman"/>
                <w:b w:val="0"/>
                <w:bCs w:val="0"/>
              </w:rPr>
              <w:t>sôb</w:t>
            </w:r>
          </w:p>
        </w:tc>
        <w:tc>
          <w:tcPr>
            <w:tcW w:w="180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w:t>
            </w:r>
          </w:p>
        </w:tc>
        <w:tc>
          <w:tcPr>
            <w:tcW w:w="108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6.</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k)</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splatenie dlhopisov fondu</w:t>
            </w:r>
          </w:p>
        </w:tc>
        <w:tc>
          <w:tcPr>
            <w:tcW w:w="180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160</w:t>
            </w:r>
            <w:r w:rsidRPr="00DA5B8F">
              <w:rPr>
                <w:rFonts w:ascii="Times New Roman" w:hAnsi="Times New Roman"/>
                <w:b w:val="0"/>
                <w:bCs w:val="0"/>
              </w:rPr>
              <w:t> </w:t>
            </w:r>
            <w:r w:rsidRPr="00DA5B8F" w:rsidR="00A30825">
              <w:rPr>
                <w:rFonts w:ascii="Times New Roman" w:hAnsi="Times New Roman"/>
                <w:b w:val="0"/>
                <w:bCs w:val="0"/>
              </w:rPr>
              <w:t>189</w:t>
            </w:r>
            <w:r w:rsidRPr="00DA5B8F">
              <w:rPr>
                <w:rFonts w:ascii="Times New Roman" w:hAnsi="Times New Roman"/>
                <w:b w:val="0"/>
                <w:bCs w:val="0"/>
              </w:rPr>
              <w:t>,</w:t>
            </w:r>
            <w:r w:rsidRPr="00DA5B8F" w:rsidR="00A30825">
              <w:rPr>
                <w:rFonts w:ascii="Times New Roman" w:hAnsi="Times New Roman"/>
                <w:b w:val="0"/>
                <w:bCs w:val="0"/>
              </w:rPr>
              <w:t>61</w:t>
            </w:r>
          </w:p>
        </w:tc>
        <w:tc>
          <w:tcPr>
            <w:tcW w:w="108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0,0</w:t>
            </w:r>
            <w:r w:rsidRPr="00DA5B8F">
              <w:rPr>
                <w:rFonts w:ascii="Times New Roman" w:hAnsi="Times New Roman"/>
                <w:b w:val="0"/>
                <w:bCs w:val="0"/>
              </w:rPr>
              <w:t>6 %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7.</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l)</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náklady z odstúpenia od zmlúv</w:t>
            </w:r>
          </w:p>
        </w:tc>
        <w:tc>
          <w:tcPr>
            <w:tcW w:w="180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3</w:t>
            </w:r>
            <w:r w:rsidRPr="00DA5B8F">
              <w:rPr>
                <w:rFonts w:ascii="Times New Roman" w:hAnsi="Times New Roman"/>
                <w:b w:val="0"/>
                <w:bCs w:val="0"/>
              </w:rPr>
              <w:t> </w:t>
            </w:r>
            <w:r w:rsidRPr="00DA5B8F" w:rsidR="00A30825">
              <w:rPr>
                <w:rFonts w:ascii="Times New Roman" w:hAnsi="Times New Roman"/>
                <w:b w:val="0"/>
                <w:bCs w:val="0"/>
              </w:rPr>
              <w:t>521</w:t>
            </w:r>
            <w:r w:rsidRPr="00DA5B8F">
              <w:rPr>
                <w:rFonts w:ascii="Times New Roman" w:hAnsi="Times New Roman"/>
                <w:b w:val="0"/>
                <w:bCs w:val="0"/>
              </w:rPr>
              <w:t> </w:t>
            </w:r>
            <w:r w:rsidRPr="00DA5B8F" w:rsidR="00A30825">
              <w:rPr>
                <w:rFonts w:ascii="Times New Roman" w:hAnsi="Times New Roman"/>
                <w:b w:val="0"/>
                <w:bCs w:val="0"/>
              </w:rPr>
              <w:t>144</w:t>
            </w:r>
            <w:r w:rsidRPr="00DA5B8F">
              <w:rPr>
                <w:rFonts w:ascii="Times New Roman" w:hAnsi="Times New Roman"/>
                <w:b w:val="0"/>
                <w:bCs w:val="0"/>
              </w:rPr>
              <w:t>,</w:t>
            </w:r>
            <w:r w:rsidRPr="00DA5B8F" w:rsidR="00A30825">
              <w:rPr>
                <w:rFonts w:ascii="Times New Roman" w:hAnsi="Times New Roman"/>
                <w:b w:val="0"/>
                <w:bCs w:val="0"/>
              </w:rPr>
              <w:t>26</w:t>
            </w:r>
          </w:p>
        </w:tc>
        <w:tc>
          <w:tcPr>
            <w:tcW w:w="108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1,24</w:t>
            </w:r>
            <w:r w:rsidRPr="00DA5B8F">
              <w:rPr>
                <w:rFonts w:ascii="Times New Roman" w:hAnsi="Times New Roman"/>
                <w:b w:val="0"/>
                <w:bCs w:val="0"/>
              </w:rPr>
              <w:t>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8.</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n)</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náklady na CP prevedené na fond ...</w:t>
            </w:r>
          </w:p>
        </w:tc>
        <w:tc>
          <w:tcPr>
            <w:tcW w:w="180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8</w:t>
            </w:r>
            <w:r w:rsidRPr="00DA5B8F">
              <w:rPr>
                <w:rFonts w:ascii="Times New Roman" w:hAnsi="Times New Roman"/>
                <w:b w:val="0"/>
                <w:bCs w:val="0"/>
              </w:rPr>
              <w:t> </w:t>
            </w:r>
            <w:r w:rsidRPr="00DA5B8F" w:rsidR="00A30825">
              <w:rPr>
                <w:rFonts w:ascii="Times New Roman" w:hAnsi="Times New Roman"/>
                <w:b w:val="0"/>
                <w:bCs w:val="0"/>
              </w:rPr>
              <w:t>604</w:t>
            </w:r>
            <w:r w:rsidRPr="00DA5B8F">
              <w:rPr>
                <w:rFonts w:ascii="Times New Roman" w:hAnsi="Times New Roman"/>
                <w:b w:val="0"/>
                <w:bCs w:val="0"/>
              </w:rPr>
              <w:t> </w:t>
            </w:r>
            <w:r w:rsidRPr="00DA5B8F" w:rsidR="00A30825">
              <w:rPr>
                <w:rFonts w:ascii="Times New Roman" w:hAnsi="Times New Roman"/>
                <w:b w:val="0"/>
                <w:bCs w:val="0"/>
              </w:rPr>
              <w:t>112</w:t>
            </w:r>
            <w:r w:rsidRPr="00DA5B8F">
              <w:rPr>
                <w:rFonts w:ascii="Times New Roman" w:hAnsi="Times New Roman"/>
                <w:b w:val="0"/>
                <w:bCs w:val="0"/>
              </w:rPr>
              <w:t>,</w:t>
            </w:r>
            <w:r w:rsidRPr="00DA5B8F" w:rsidR="00A30825">
              <w:rPr>
                <w:rFonts w:ascii="Times New Roman" w:hAnsi="Times New Roman"/>
                <w:b w:val="0"/>
                <w:bCs w:val="0"/>
              </w:rPr>
              <w:t>13</w:t>
            </w:r>
          </w:p>
        </w:tc>
        <w:tc>
          <w:tcPr>
            <w:tcW w:w="108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3</w:t>
            </w:r>
            <w:r w:rsidRPr="00DA5B8F">
              <w:rPr>
                <w:rFonts w:ascii="Times New Roman" w:hAnsi="Times New Roman"/>
                <w:b w:val="0"/>
                <w:bCs w:val="0"/>
              </w:rPr>
              <w:t>,</w:t>
            </w:r>
            <w:r w:rsidRPr="00DA5B8F" w:rsidR="00A30825">
              <w:rPr>
                <w:rFonts w:ascii="Times New Roman" w:hAnsi="Times New Roman"/>
                <w:b w:val="0"/>
                <w:bCs w:val="0"/>
              </w:rPr>
              <w:t>02</w:t>
            </w:r>
            <w:r w:rsidRPr="00DA5B8F">
              <w:rPr>
                <w:rFonts w:ascii="Times New Roman" w:hAnsi="Times New Roman"/>
                <w:b w:val="0"/>
                <w:bCs w:val="0"/>
              </w:rPr>
              <w:t>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9.</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28 ods. 3 písm. o)</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na náklady na ukončenie činnosti fondu</w:t>
            </w:r>
          </w:p>
        </w:tc>
        <w:tc>
          <w:tcPr>
            <w:tcW w:w="180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2</w:t>
            </w:r>
            <w:r w:rsidRPr="00DA5B8F">
              <w:rPr>
                <w:rFonts w:ascii="Times New Roman" w:hAnsi="Times New Roman"/>
                <w:b w:val="0"/>
                <w:bCs w:val="0"/>
              </w:rPr>
              <w:t> </w:t>
            </w:r>
            <w:r w:rsidRPr="00DA5B8F" w:rsidR="00A30825">
              <w:rPr>
                <w:rFonts w:ascii="Times New Roman" w:hAnsi="Times New Roman"/>
                <w:b w:val="0"/>
                <w:bCs w:val="0"/>
              </w:rPr>
              <w:t>883</w:t>
            </w:r>
            <w:r w:rsidRPr="00DA5B8F">
              <w:rPr>
                <w:rFonts w:ascii="Times New Roman" w:hAnsi="Times New Roman"/>
                <w:b w:val="0"/>
                <w:bCs w:val="0"/>
              </w:rPr>
              <w:t> </w:t>
            </w:r>
            <w:r w:rsidRPr="00DA5B8F" w:rsidR="00A30825">
              <w:rPr>
                <w:rFonts w:ascii="Times New Roman" w:hAnsi="Times New Roman"/>
                <w:b w:val="0"/>
                <w:bCs w:val="0"/>
              </w:rPr>
              <w:t>698</w:t>
            </w:r>
            <w:r w:rsidRPr="00DA5B8F">
              <w:rPr>
                <w:rFonts w:ascii="Times New Roman" w:hAnsi="Times New Roman"/>
                <w:b w:val="0"/>
                <w:bCs w:val="0"/>
              </w:rPr>
              <w:t>,</w:t>
            </w:r>
            <w:r w:rsidRPr="00DA5B8F" w:rsidR="00A30825">
              <w:rPr>
                <w:rFonts w:ascii="Times New Roman" w:hAnsi="Times New Roman"/>
                <w:b w:val="0"/>
                <w:bCs w:val="0"/>
              </w:rPr>
              <w:t>06</w:t>
            </w:r>
          </w:p>
        </w:tc>
        <w:tc>
          <w:tcPr>
            <w:tcW w:w="1080" w:type="dxa"/>
            <w:tcBorders>
              <w:top w:val="single" w:sz="4" w:space="0" w:color="999999"/>
              <w:left w:val="nil"/>
              <w:bottom w:val="sing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1</w:t>
            </w:r>
            <w:r w:rsidRPr="00DA5B8F">
              <w:rPr>
                <w:rFonts w:ascii="Times New Roman" w:hAnsi="Times New Roman"/>
                <w:b w:val="0"/>
                <w:bCs w:val="0"/>
              </w:rPr>
              <w:t>,</w:t>
            </w:r>
            <w:r w:rsidRPr="00DA5B8F" w:rsidR="00A30825">
              <w:rPr>
                <w:rFonts w:ascii="Times New Roman" w:hAnsi="Times New Roman"/>
                <w:b w:val="0"/>
                <w:bCs w:val="0"/>
              </w:rPr>
              <w:t>01</w:t>
            </w:r>
            <w:r w:rsidRPr="00DA5B8F">
              <w:rPr>
                <w:rFonts w:ascii="Times New Roman" w:hAnsi="Times New Roman"/>
                <w:b w:val="0"/>
                <w:bCs w:val="0"/>
              </w:rPr>
              <w:t>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10.</w:t>
            </w:r>
          </w:p>
        </w:tc>
        <w:tc>
          <w:tcPr>
            <w:tcW w:w="21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 15 a § 30</w:t>
            </w:r>
          </w:p>
        </w:tc>
        <w:tc>
          <w:tcPr>
            <w:tcW w:w="396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p>
        </w:tc>
        <w:tc>
          <w:tcPr>
            <w:tcW w:w="180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w:t>
            </w:r>
          </w:p>
        </w:tc>
        <w:tc>
          <w:tcPr>
            <w:tcW w:w="1080" w:type="dxa"/>
            <w:tcBorders>
              <w:top w:val="single" w:sz="4" w:space="0" w:color="999999"/>
              <w:left w:val="nil"/>
              <w:bottom w:val="sing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0,00 %</w:t>
            </w:r>
          </w:p>
        </w:tc>
      </w:tr>
      <w:tr>
        <w:tblPrEx>
          <w:tblW w:w="9610" w:type="dxa"/>
          <w:tblLayout w:type="fixed"/>
          <w:tblCellMar>
            <w:top w:w="0" w:type="dxa"/>
            <w:left w:w="70" w:type="dxa"/>
            <w:bottom w:w="0" w:type="dxa"/>
            <w:right w:w="70" w:type="dxa"/>
          </w:tblCellMar>
        </w:tblPrEx>
        <w:trPr>
          <w:trHeight w:hRule="exact" w:val="454"/>
        </w:trPr>
        <w:tc>
          <w:tcPr>
            <w:tcW w:w="610" w:type="dxa"/>
            <w:tcBorders>
              <w:top w:val="single" w:sz="4" w:space="0" w:color="999999"/>
              <w:left w:val="nil"/>
              <w:bottom w:val="doub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r w:rsidRPr="00DA5B8F">
              <w:rPr>
                <w:rFonts w:ascii="Times New Roman" w:hAnsi="Times New Roman"/>
                <w:b w:val="0"/>
                <w:bCs w:val="0"/>
              </w:rPr>
              <w:t>11.</w:t>
            </w:r>
          </w:p>
        </w:tc>
        <w:tc>
          <w:tcPr>
            <w:tcW w:w="2160" w:type="dxa"/>
            <w:tcBorders>
              <w:top w:val="single" w:sz="4" w:space="0" w:color="999999"/>
              <w:left w:val="nil"/>
              <w:bottom w:val="double" w:sz="4" w:space="0" w:color="999999"/>
              <w:right w:val="nil"/>
            </w:tcBorders>
            <w:textDirection w:val="lrTb"/>
            <w:vAlign w:val="center"/>
          </w:tcPr>
          <w:p w:rsidR="002C3B67" w:rsidRPr="00DA5B8F">
            <w:pPr>
              <w:pStyle w:val="Heading8"/>
              <w:bidi w:val="0"/>
              <w:spacing w:before="0"/>
              <w:rPr>
                <w:rFonts w:ascii="Times New Roman" w:hAnsi="Times New Roman"/>
                <w:b w:val="0"/>
                <w:bCs w:val="0"/>
              </w:rPr>
            </w:pPr>
            <w:r w:rsidRPr="00DA5B8F">
              <w:rPr>
                <w:rFonts w:ascii="Times New Roman" w:hAnsi="Times New Roman"/>
                <w:b w:val="0"/>
                <w:bCs w:val="0"/>
              </w:rPr>
              <w:t>Ostatné</w:t>
            </w:r>
          </w:p>
        </w:tc>
        <w:tc>
          <w:tcPr>
            <w:tcW w:w="3960" w:type="dxa"/>
            <w:tcBorders>
              <w:top w:val="single" w:sz="4" w:space="0" w:color="999999"/>
              <w:left w:val="nil"/>
              <w:bottom w:val="double" w:sz="4" w:space="0" w:color="999999"/>
              <w:right w:val="nil"/>
            </w:tcBorders>
            <w:textDirection w:val="lrTb"/>
            <w:vAlign w:val="center"/>
          </w:tcPr>
          <w:p w:rsidR="002C3B67" w:rsidRPr="00DA5B8F">
            <w:pPr>
              <w:pStyle w:val="Heading8"/>
              <w:bidi w:val="0"/>
              <w:spacing w:before="0"/>
              <w:jc w:val="left"/>
              <w:rPr>
                <w:rFonts w:ascii="Times New Roman" w:hAnsi="Times New Roman"/>
                <w:b w:val="0"/>
                <w:bCs w:val="0"/>
              </w:rPr>
            </w:pPr>
          </w:p>
        </w:tc>
        <w:tc>
          <w:tcPr>
            <w:tcW w:w="1800" w:type="dxa"/>
            <w:tcBorders>
              <w:top w:val="single" w:sz="4" w:space="0" w:color="999999"/>
              <w:left w:val="nil"/>
              <w:bottom w:val="double" w:sz="4" w:space="0" w:color="999999"/>
              <w:right w:val="nil"/>
            </w:tcBorders>
            <w:textDirection w:val="lrTb"/>
            <w:vAlign w:val="center"/>
          </w:tcPr>
          <w:p w:rsidR="002C3B67" w:rsidRPr="00DA5B8F" w:rsidP="00A30825">
            <w:pPr>
              <w:pStyle w:val="Heading8"/>
              <w:bidi w:val="0"/>
              <w:spacing w:before="0"/>
              <w:jc w:val="right"/>
              <w:rPr>
                <w:rFonts w:ascii="Times New Roman" w:hAnsi="Times New Roman"/>
                <w:b w:val="0"/>
                <w:bCs w:val="0"/>
              </w:rPr>
            </w:pPr>
            <w:r w:rsidRPr="00DA5B8F" w:rsidR="00A30825">
              <w:rPr>
                <w:rFonts w:ascii="Times New Roman" w:hAnsi="Times New Roman"/>
                <w:b w:val="0"/>
                <w:bCs w:val="0"/>
              </w:rPr>
              <w:t>1 435</w:t>
            </w:r>
            <w:r w:rsidRPr="00DA5B8F">
              <w:rPr>
                <w:rFonts w:ascii="Times New Roman" w:hAnsi="Times New Roman"/>
                <w:b w:val="0"/>
                <w:bCs w:val="0"/>
              </w:rPr>
              <w:t>,</w:t>
            </w:r>
            <w:r w:rsidRPr="00DA5B8F" w:rsidR="00A30825">
              <w:rPr>
                <w:rFonts w:ascii="Times New Roman" w:hAnsi="Times New Roman"/>
                <w:b w:val="0"/>
                <w:bCs w:val="0"/>
              </w:rPr>
              <w:t>64</w:t>
            </w:r>
          </w:p>
        </w:tc>
        <w:tc>
          <w:tcPr>
            <w:tcW w:w="1080" w:type="dxa"/>
            <w:tcBorders>
              <w:top w:val="single" w:sz="4" w:space="0" w:color="999999"/>
              <w:left w:val="nil"/>
              <w:bottom w:val="double" w:sz="4" w:space="0" w:color="999999"/>
              <w:right w:val="nil"/>
            </w:tcBorders>
            <w:textDirection w:val="lrTb"/>
            <w:vAlign w:val="center"/>
          </w:tcPr>
          <w:p w:rsidR="002C3B67" w:rsidRPr="00DA5B8F">
            <w:pPr>
              <w:pStyle w:val="Heading8"/>
              <w:bidi w:val="0"/>
              <w:spacing w:before="0"/>
              <w:jc w:val="right"/>
              <w:rPr>
                <w:rFonts w:ascii="Times New Roman" w:hAnsi="Times New Roman"/>
                <w:b w:val="0"/>
                <w:bCs w:val="0"/>
              </w:rPr>
            </w:pPr>
            <w:r w:rsidRPr="00DA5B8F">
              <w:rPr>
                <w:rFonts w:ascii="Times New Roman" w:hAnsi="Times New Roman"/>
                <w:b w:val="0"/>
                <w:bCs w:val="0"/>
              </w:rPr>
              <w:t>0,00 %</w:t>
            </w:r>
          </w:p>
        </w:tc>
      </w:tr>
      <w:tr>
        <w:tblPrEx>
          <w:tblW w:w="9610" w:type="dxa"/>
          <w:tblLayout w:type="fixed"/>
          <w:tblCellMar>
            <w:top w:w="0" w:type="dxa"/>
            <w:left w:w="70" w:type="dxa"/>
            <w:bottom w:w="0" w:type="dxa"/>
            <w:right w:w="70" w:type="dxa"/>
          </w:tblCellMar>
        </w:tblPrEx>
        <w:trPr>
          <w:trHeight w:val="567"/>
        </w:trPr>
        <w:tc>
          <w:tcPr>
            <w:tcW w:w="6730" w:type="dxa"/>
            <w:gridSpan w:val="3"/>
            <w:tcBorders>
              <w:top w:val="double" w:sz="4" w:space="0" w:color="999999"/>
              <w:left w:val="nil"/>
              <w:bottom w:val="single" w:sz="4" w:space="0" w:color="999999"/>
              <w:right w:val="nil"/>
            </w:tcBorders>
            <w:shd w:val="clear" w:color="auto" w:fill="CCCCFF"/>
            <w:textDirection w:val="lrTb"/>
            <w:vAlign w:val="center"/>
          </w:tcPr>
          <w:p w:rsidR="002C3B67" w:rsidRPr="00DA5B8F" w:rsidP="00B32700">
            <w:pPr>
              <w:pStyle w:val="Heading8"/>
              <w:bidi w:val="0"/>
              <w:spacing w:before="0"/>
              <w:jc w:val="left"/>
              <w:rPr>
                <w:rFonts w:ascii="Times New Roman" w:hAnsi="Times New Roman"/>
              </w:rPr>
            </w:pPr>
            <w:r w:rsidRPr="00DA5B8F">
              <w:rPr>
                <w:rFonts w:ascii="Times New Roman" w:hAnsi="Times New Roman"/>
              </w:rPr>
              <w:t>SPOLU – výdavky fondu v roku 201</w:t>
            </w:r>
            <w:r w:rsidRPr="00DA5B8F" w:rsidR="00B32700">
              <w:rPr>
                <w:rFonts w:ascii="Times New Roman" w:hAnsi="Times New Roman"/>
              </w:rPr>
              <w:t>4</w:t>
            </w:r>
          </w:p>
        </w:tc>
        <w:tc>
          <w:tcPr>
            <w:tcW w:w="1800" w:type="dxa"/>
            <w:tcBorders>
              <w:top w:val="double" w:sz="4" w:space="0" w:color="999999"/>
              <w:left w:val="nil"/>
              <w:bottom w:val="single" w:sz="4" w:space="0" w:color="999999"/>
              <w:right w:val="nil"/>
            </w:tcBorders>
            <w:shd w:val="clear" w:color="auto" w:fill="CCCCFF"/>
            <w:textDirection w:val="lrTb"/>
            <w:vAlign w:val="center"/>
          </w:tcPr>
          <w:p w:rsidR="002C3B67" w:rsidRPr="00DA5B8F" w:rsidP="00A30825">
            <w:pPr>
              <w:pStyle w:val="Heading8"/>
              <w:bidi w:val="0"/>
              <w:spacing w:before="0"/>
              <w:jc w:val="center"/>
              <w:rPr>
                <w:rFonts w:ascii="Times New Roman" w:hAnsi="Times New Roman"/>
              </w:rPr>
            </w:pPr>
            <w:r w:rsidRPr="00DA5B8F" w:rsidR="00DD5127">
              <w:rPr>
                <w:rFonts w:ascii="Times New Roman" w:hAnsi="Times New Roman"/>
              </w:rPr>
              <w:fldChar w:fldCharType="begin"/>
            </w:r>
            <w:r w:rsidRPr="00DA5B8F" w:rsidR="00DD5127">
              <w:rPr>
                <w:rFonts w:ascii="Times New Roman" w:hAnsi="Times New Roman"/>
              </w:rPr>
              <w:instrText xml:space="preserve"> =SUM(ABOVE) </w:instrText>
            </w:r>
            <w:r w:rsidRPr="00DA5B8F" w:rsidR="00DD5127">
              <w:rPr>
                <w:rFonts w:ascii="Times New Roman" w:hAnsi="Times New Roman"/>
              </w:rPr>
              <w:fldChar w:fldCharType="separate"/>
            </w:r>
            <w:r w:rsidRPr="00DA5B8F" w:rsidR="00DD5127">
              <w:rPr>
                <w:rFonts w:ascii="Times New Roman" w:hAnsi="Times New Roman"/>
                <w:noProof/>
              </w:rPr>
              <w:t>284 538 310,51</w:t>
            </w:r>
            <w:r w:rsidRPr="00DA5B8F" w:rsidR="00DD5127">
              <w:rPr>
                <w:rFonts w:ascii="Times New Roman" w:hAnsi="Times New Roman"/>
              </w:rPr>
              <w:fldChar w:fldCharType="end"/>
            </w:r>
          </w:p>
        </w:tc>
        <w:tc>
          <w:tcPr>
            <w:tcW w:w="1080" w:type="dxa"/>
            <w:tcBorders>
              <w:top w:val="double" w:sz="4" w:space="0" w:color="999999"/>
              <w:left w:val="nil"/>
              <w:bottom w:val="single" w:sz="4" w:space="0" w:color="999999"/>
              <w:right w:val="nil"/>
            </w:tcBorders>
            <w:shd w:val="clear" w:color="auto" w:fill="CCCCFF"/>
            <w:textDirection w:val="lrTb"/>
            <w:vAlign w:val="center"/>
          </w:tcPr>
          <w:p w:rsidR="002C3B67" w:rsidRPr="00DA5B8F">
            <w:pPr>
              <w:pStyle w:val="Heading8"/>
              <w:bidi w:val="0"/>
              <w:spacing w:before="0"/>
              <w:jc w:val="right"/>
              <w:rPr>
                <w:rFonts w:ascii="Times New Roman" w:hAnsi="Times New Roman"/>
              </w:rPr>
            </w:pPr>
            <w:r w:rsidRPr="00DA5B8F" w:rsidR="00A30825">
              <w:rPr>
                <w:rFonts w:ascii="Times New Roman" w:hAnsi="Times New Roman"/>
              </w:rPr>
              <w:fldChar w:fldCharType="begin"/>
            </w:r>
            <w:r w:rsidRPr="00DA5B8F" w:rsidR="00A30825">
              <w:rPr>
                <w:rFonts w:ascii="Times New Roman" w:hAnsi="Times New Roman"/>
              </w:rPr>
              <w:instrText xml:space="preserve"> =SUM(ABOVE)*100 \# "0,00%" </w:instrText>
            </w:r>
            <w:r w:rsidRPr="00DA5B8F" w:rsidR="00A30825">
              <w:rPr>
                <w:rFonts w:ascii="Times New Roman" w:hAnsi="Times New Roman"/>
              </w:rPr>
              <w:fldChar w:fldCharType="separate"/>
            </w:r>
            <w:r w:rsidRPr="00DA5B8F" w:rsidR="00A30825">
              <w:rPr>
                <w:rFonts w:ascii="Times New Roman" w:hAnsi="Times New Roman"/>
                <w:noProof/>
              </w:rPr>
              <w:t>100,00%</w:t>
            </w:r>
            <w:r w:rsidRPr="00DA5B8F" w:rsidR="00A30825">
              <w:rPr>
                <w:rFonts w:ascii="Times New Roman" w:hAnsi="Times New Roman"/>
              </w:rPr>
              <w:fldChar w:fldCharType="end"/>
            </w:r>
          </w:p>
        </w:tc>
      </w:tr>
    </w:tbl>
    <w:p w:rsidR="002C3B67" w:rsidRPr="00DA5B8F">
      <w:pPr>
        <w:overflowPunct w:val="0"/>
        <w:autoSpaceDE w:val="0"/>
        <w:autoSpaceDN w:val="0"/>
        <w:bidi w:val="0"/>
        <w:adjustRightInd w:val="0"/>
        <w:spacing w:before="60" w:after="120"/>
        <w:jc w:val="both"/>
        <w:rPr>
          <w:rFonts w:ascii="Times New Roman" w:hAnsi="Times New Roman"/>
          <w:lang w:val="sk-SK"/>
        </w:rPr>
      </w:pPr>
    </w:p>
    <w:p w:rsidR="002C3B67" w:rsidRPr="00DA5B8F" w:rsidP="00C93F3F">
      <w:pPr>
        <w:pStyle w:val="BodyTextIndent2"/>
        <w:bidi w:val="0"/>
        <w:spacing w:before="120" w:line="264" w:lineRule="auto"/>
        <w:ind w:left="0" w:firstLine="0"/>
        <w:rPr>
          <w:rFonts w:ascii="Times New Roman" w:hAnsi="Times New Roman"/>
          <w:b/>
          <w:bCs/>
        </w:rPr>
      </w:pPr>
      <w:r w:rsidRPr="00DA5B8F">
        <w:rPr>
          <w:rFonts w:ascii="Times New Roman" w:hAnsi="Times New Roman"/>
          <w:b/>
          <w:bCs/>
        </w:rPr>
        <w:t>Komentár k tabuľke</w:t>
      </w:r>
    </w:p>
    <w:p w:rsidR="002C3B67" w:rsidRPr="00DA5B8F" w:rsidP="00C93F3F">
      <w:pPr>
        <w:pStyle w:val="Styl2"/>
        <w:numPr>
          <w:numId w:val="12"/>
        </w:numPr>
        <w:tabs>
          <w:tab w:val="clear" w:pos="927"/>
        </w:tabs>
        <w:bidi w:val="0"/>
        <w:spacing w:line="264" w:lineRule="auto"/>
        <w:rPr>
          <w:rFonts w:ascii="Times New Roman" w:hAnsi="Times New Roman"/>
          <w:sz w:val="24"/>
          <w:szCs w:val="24"/>
        </w:rPr>
      </w:pPr>
      <w:r w:rsidRPr="00DA5B8F">
        <w:rPr>
          <w:rFonts w:ascii="Times New Roman" w:hAnsi="Times New Roman"/>
          <w:b/>
          <w:bCs/>
          <w:sz w:val="24"/>
          <w:szCs w:val="24"/>
        </w:rPr>
        <w:t xml:space="preserve">§ 28 ods. 3 písm. b) zákona o privatizácii </w:t>
      </w:r>
      <w:r w:rsidRPr="00DA5B8F">
        <w:rPr>
          <w:rFonts w:ascii="Times New Roman" w:hAnsi="Times New Roman"/>
          <w:sz w:val="24"/>
          <w:szCs w:val="24"/>
        </w:rPr>
        <w:t>– v súlade s rozhodnutím vlády:</w:t>
      </w:r>
    </w:p>
    <w:p w:rsidR="00F83CD9" w:rsidRPr="00DA5B8F" w:rsidP="00C93F3F">
      <w:pPr>
        <w:pStyle w:val="Odsek1"/>
        <w:tabs>
          <w:tab w:val="clear" w:pos="720"/>
          <w:tab w:val="num" w:pos="900"/>
        </w:tabs>
        <w:bidi w:val="0"/>
        <w:spacing w:line="264" w:lineRule="auto"/>
        <w:ind w:left="924" w:hanging="357"/>
        <w:jc w:val="both"/>
        <w:rPr>
          <w:rFonts w:ascii="Times New Roman" w:hAnsi="Times New Roman"/>
          <w:lang w:val="sk-SK"/>
        </w:rPr>
      </w:pPr>
      <w:r w:rsidRPr="00DA5B8F" w:rsidR="002C3B67">
        <w:rPr>
          <w:rFonts w:ascii="Times New Roman" w:hAnsi="Times New Roman"/>
          <w:u w:val="single" w:color="999999"/>
          <w:lang w:val="sk-SK"/>
        </w:rPr>
        <w:t>uznesením č. 5</w:t>
      </w:r>
      <w:r w:rsidRPr="00DA5B8F" w:rsidR="0076698C">
        <w:rPr>
          <w:rFonts w:ascii="Times New Roman" w:hAnsi="Times New Roman"/>
          <w:u w:val="single" w:color="999999"/>
          <w:lang w:val="sk-SK"/>
        </w:rPr>
        <w:t>88</w:t>
      </w:r>
      <w:r w:rsidRPr="00DA5B8F" w:rsidR="002C3B67">
        <w:rPr>
          <w:rFonts w:ascii="Times New Roman" w:hAnsi="Times New Roman"/>
          <w:u w:val="single" w:color="999999"/>
          <w:lang w:val="sk-SK"/>
        </w:rPr>
        <w:t xml:space="preserve"> z 10. 10. 201</w:t>
      </w:r>
      <w:r w:rsidRPr="00DA5B8F" w:rsidR="0076698C">
        <w:rPr>
          <w:rFonts w:ascii="Times New Roman" w:hAnsi="Times New Roman"/>
          <w:u w:val="single" w:color="999999"/>
          <w:lang w:val="sk-SK"/>
        </w:rPr>
        <w:t>3</w:t>
      </w:r>
      <w:r w:rsidRPr="00DA5B8F" w:rsidR="002C3B67">
        <w:rPr>
          <w:rFonts w:ascii="Times New Roman" w:hAnsi="Times New Roman"/>
          <w:lang w:val="sk-SK"/>
        </w:rPr>
        <w:t xml:space="preserve"> vláda odsúhlasila použitie majetku fondu v roku 201</w:t>
      </w:r>
      <w:r w:rsidRPr="00DA5B8F" w:rsidR="0076698C">
        <w:rPr>
          <w:rFonts w:ascii="Times New Roman" w:hAnsi="Times New Roman"/>
          <w:lang w:val="sk-SK"/>
        </w:rPr>
        <w:t>4</w:t>
      </w:r>
      <w:r w:rsidRPr="00DA5B8F" w:rsidR="002C3B67">
        <w:rPr>
          <w:rFonts w:ascii="Times New Roman" w:hAnsi="Times New Roman"/>
          <w:lang w:val="sk-SK"/>
        </w:rPr>
        <w:t xml:space="preserve"> v súlade s § 28 ods.</w:t>
      </w:r>
      <w:r w:rsidRPr="00DA5B8F" w:rsidR="00F46371">
        <w:rPr>
          <w:rFonts w:ascii="Times New Roman" w:hAnsi="Times New Roman"/>
          <w:lang w:val="sk-SK"/>
        </w:rPr>
        <w:t> </w:t>
      </w:r>
      <w:r w:rsidRPr="00DA5B8F" w:rsidR="002C3B67">
        <w:rPr>
          <w:rFonts w:ascii="Times New Roman" w:hAnsi="Times New Roman"/>
          <w:lang w:val="sk-SK"/>
        </w:rPr>
        <w:t>3 písm.</w:t>
      </w:r>
      <w:r w:rsidRPr="00DA5B8F" w:rsidR="00F46371">
        <w:rPr>
          <w:rFonts w:ascii="Times New Roman" w:hAnsi="Times New Roman"/>
          <w:lang w:val="sk-SK"/>
        </w:rPr>
        <w:t> </w:t>
      </w:r>
      <w:r w:rsidRPr="00DA5B8F" w:rsidR="002C3B67">
        <w:rPr>
          <w:rFonts w:ascii="Times New Roman" w:hAnsi="Times New Roman"/>
          <w:lang w:val="sk-SK"/>
        </w:rPr>
        <w:t>b) bod</w:t>
      </w:r>
      <w:r w:rsidRPr="00DA5B8F" w:rsidR="00F46371">
        <w:rPr>
          <w:rFonts w:ascii="Times New Roman" w:hAnsi="Times New Roman"/>
          <w:lang w:val="sk-SK"/>
        </w:rPr>
        <w:t> </w:t>
      </w:r>
      <w:r w:rsidRPr="00DA5B8F" w:rsidR="002C3B67">
        <w:rPr>
          <w:rFonts w:ascii="Times New Roman" w:hAnsi="Times New Roman"/>
          <w:lang w:val="sk-SK"/>
        </w:rPr>
        <w:t xml:space="preserve">9 zákona o privatizácii vo výške </w:t>
      </w:r>
      <w:r w:rsidRPr="00DA5B8F" w:rsidR="0076698C">
        <w:rPr>
          <w:rFonts w:ascii="Times New Roman" w:hAnsi="Times New Roman"/>
          <w:lang w:val="sk-SK"/>
        </w:rPr>
        <w:t>823</w:t>
      </w:r>
      <w:r w:rsidRPr="00DA5B8F" w:rsidR="002C3B67">
        <w:rPr>
          <w:rFonts w:ascii="Times New Roman" w:hAnsi="Times New Roman"/>
          <w:lang w:val="sk-SK"/>
        </w:rPr>
        <w:t> </w:t>
      </w:r>
      <w:r w:rsidRPr="00DA5B8F" w:rsidR="0076698C">
        <w:rPr>
          <w:rFonts w:ascii="Times New Roman" w:hAnsi="Times New Roman"/>
          <w:lang w:val="sk-SK"/>
        </w:rPr>
        <w:t>764</w:t>
      </w:r>
      <w:r w:rsidRPr="00DA5B8F" w:rsidR="002C3B67">
        <w:rPr>
          <w:rFonts w:ascii="Times New Roman" w:hAnsi="Times New Roman"/>
          <w:lang w:val="sk-SK"/>
        </w:rPr>
        <w:t> tis. Eur na posilnenie štátnych finančných aktív s tým, že v zmysle bodu E. 1 predmetného uznesenia odporučila predsedovi výkonného výboru zabezpečiť z rozpočtu fondu na rok 201</w:t>
      </w:r>
      <w:r w:rsidRPr="00DA5B8F" w:rsidR="0076698C">
        <w:rPr>
          <w:rFonts w:ascii="Times New Roman" w:hAnsi="Times New Roman"/>
          <w:lang w:val="sk-SK"/>
        </w:rPr>
        <w:t>4</w:t>
      </w:r>
      <w:r w:rsidRPr="00DA5B8F" w:rsidR="002C3B67">
        <w:rPr>
          <w:rFonts w:ascii="Times New Roman" w:hAnsi="Times New Roman"/>
          <w:lang w:val="sk-SK"/>
        </w:rPr>
        <w:t xml:space="preserve"> prostriedky z dividend, ktoré v spoločnostiach s majetkovou účasťou fondu vznikli z výkonu ich činnosti</w:t>
      </w:r>
      <w:r w:rsidRPr="00DA5B8F" w:rsidR="00F46371">
        <w:rPr>
          <w:rFonts w:ascii="Times New Roman" w:hAnsi="Times New Roman"/>
          <w:lang w:val="sk-SK"/>
        </w:rPr>
        <w:t>,</w:t>
      </w:r>
      <w:r w:rsidRPr="00DA5B8F" w:rsidR="002C3B67">
        <w:rPr>
          <w:rFonts w:ascii="Times New Roman" w:hAnsi="Times New Roman"/>
          <w:lang w:val="sk-SK"/>
        </w:rPr>
        <w:t xml:space="preserve"> v sume </w:t>
      </w:r>
      <w:r w:rsidRPr="00DA5B8F" w:rsidR="0076698C">
        <w:rPr>
          <w:rFonts w:ascii="Times New Roman" w:hAnsi="Times New Roman"/>
          <w:lang w:val="sk-SK"/>
        </w:rPr>
        <w:t>823</w:t>
      </w:r>
      <w:r w:rsidRPr="00DA5B8F" w:rsidR="002C3B67">
        <w:rPr>
          <w:rFonts w:ascii="Times New Roman" w:hAnsi="Times New Roman"/>
          <w:lang w:val="sk-SK"/>
        </w:rPr>
        <w:t> </w:t>
      </w:r>
      <w:r w:rsidRPr="00DA5B8F" w:rsidR="0076698C">
        <w:rPr>
          <w:rFonts w:ascii="Times New Roman" w:hAnsi="Times New Roman"/>
          <w:lang w:val="sk-SK"/>
        </w:rPr>
        <w:t>764</w:t>
      </w:r>
      <w:r w:rsidRPr="00DA5B8F" w:rsidR="002C3B67">
        <w:rPr>
          <w:rFonts w:ascii="Times New Roman" w:hAnsi="Times New Roman"/>
          <w:lang w:val="sk-SK"/>
        </w:rPr>
        <w:t> tis. Eur. NR SR schválila tento rámec pre použitie majetku fondu v súlade s</w:t>
      </w:r>
      <w:r w:rsidRPr="00DA5B8F" w:rsidR="00F46371">
        <w:rPr>
          <w:rFonts w:ascii="Times New Roman" w:hAnsi="Times New Roman"/>
          <w:lang w:val="sk-SK"/>
        </w:rPr>
        <w:t xml:space="preserve"> citovaným </w:t>
      </w:r>
      <w:r w:rsidRPr="00DA5B8F" w:rsidR="002C3B67">
        <w:rPr>
          <w:rFonts w:ascii="Times New Roman" w:hAnsi="Times New Roman"/>
          <w:lang w:val="sk-SK"/>
        </w:rPr>
        <w:t>uznesen</w:t>
      </w:r>
      <w:r w:rsidRPr="00DA5B8F" w:rsidR="0076698C">
        <w:rPr>
          <w:rFonts w:ascii="Times New Roman" w:hAnsi="Times New Roman"/>
          <w:lang w:val="sk-SK"/>
        </w:rPr>
        <w:t>ím</w:t>
      </w:r>
      <w:r w:rsidRPr="00DA5B8F" w:rsidR="002C3B67">
        <w:rPr>
          <w:rFonts w:ascii="Times New Roman" w:hAnsi="Times New Roman"/>
          <w:lang w:val="sk-SK"/>
        </w:rPr>
        <w:t xml:space="preserve"> vlády</w:t>
      </w:r>
      <w:r w:rsidRPr="00DA5B8F">
        <w:rPr>
          <w:rFonts w:ascii="Times New Roman" w:hAnsi="Times New Roman"/>
          <w:lang w:val="sk-SK"/>
        </w:rPr>
        <w:t xml:space="preserve"> uznesením č. 962 dňa 17. 12. 2013.</w:t>
      </w:r>
    </w:p>
    <w:p w:rsidR="002C3B67" w:rsidRPr="00DA5B8F" w:rsidP="00C93F3F">
      <w:pPr>
        <w:pStyle w:val="Odsek1"/>
        <w:tabs>
          <w:tab w:val="clear" w:pos="720"/>
          <w:tab w:val="num" w:pos="900"/>
        </w:tabs>
        <w:bidi w:val="0"/>
        <w:spacing w:line="264" w:lineRule="auto"/>
        <w:ind w:left="924" w:hanging="357"/>
        <w:jc w:val="both"/>
        <w:rPr>
          <w:rFonts w:ascii="Times New Roman" w:eastAsia="Arial Unicode MS" w:hAnsi="Times New Roman"/>
          <w:lang w:val="sk-SK"/>
        </w:rPr>
      </w:pPr>
      <w:r w:rsidRPr="00DA5B8F">
        <w:rPr>
          <w:rFonts w:ascii="Times New Roman" w:hAnsi="Times New Roman"/>
          <w:u w:val="single" w:color="999999"/>
          <w:lang w:val="sk-SK"/>
        </w:rPr>
        <w:t>uznesením č. 5</w:t>
      </w:r>
      <w:r w:rsidRPr="00DA5B8F" w:rsidR="0076698C">
        <w:rPr>
          <w:rFonts w:ascii="Times New Roman" w:hAnsi="Times New Roman"/>
          <w:u w:val="single" w:color="999999"/>
          <w:lang w:val="sk-SK"/>
        </w:rPr>
        <w:t>08</w:t>
      </w:r>
      <w:r w:rsidRPr="00DA5B8F">
        <w:rPr>
          <w:rFonts w:ascii="Times New Roman" w:hAnsi="Times New Roman"/>
          <w:u w:val="single" w:color="999999"/>
          <w:lang w:val="sk-SK"/>
        </w:rPr>
        <w:t xml:space="preserve"> z 1</w:t>
      </w:r>
      <w:r w:rsidRPr="00DA5B8F" w:rsidR="00E66D6E">
        <w:rPr>
          <w:rFonts w:ascii="Times New Roman" w:hAnsi="Times New Roman"/>
          <w:u w:val="single" w:color="999999"/>
          <w:lang w:val="sk-SK"/>
        </w:rPr>
        <w:t>5</w:t>
      </w:r>
      <w:r w:rsidRPr="00DA5B8F">
        <w:rPr>
          <w:rFonts w:ascii="Times New Roman" w:hAnsi="Times New Roman"/>
          <w:u w:val="single" w:color="999999"/>
          <w:lang w:val="sk-SK"/>
        </w:rPr>
        <w:t>. 10. 201</w:t>
      </w:r>
      <w:r w:rsidRPr="00DA5B8F" w:rsidR="00E66D6E">
        <w:rPr>
          <w:rFonts w:ascii="Times New Roman" w:hAnsi="Times New Roman"/>
          <w:u w:val="single" w:color="999999"/>
          <w:lang w:val="sk-SK"/>
        </w:rPr>
        <w:t>4</w:t>
      </w:r>
      <w:r w:rsidRPr="00DA5B8F">
        <w:rPr>
          <w:rFonts w:ascii="Times New Roman" w:hAnsi="Times New Roman"/>
          <w:lang w:val="sk-SK"/>
        </w:rPr>
        <w:t xml:space="preserve"> vláda</w:t>
      </w:r>
      <w:r w:rsidRPr="00DA5B8F" w:rsidR="00474F35">
        <w:rPr>
          <w:rFonts w:ascii="Times New Roman" w:hAnsi="Times New Roman"/>
          <w:lang w:val="sk-SK"/>
        </w:rPr>
        <w:t>,</w:t>
      </w:r>
      <w:r w:rsidRPr="00DA5B8F" w:rsidR="00E66D6E">
        <w:rPr>
          <w:rFonts w:ascii="Times New Roman" w:hAnsi="Times New Roman"/>
          <w:lang w:val="sk-SK"/>
        </w:rPr>
        <w:t xml:space="preserve"> v dôsledku poklesu príjmov fondu z dividend,</w:t>
      </w:r>
      <w:r w:rsidRPr="00DA5B8F">
        <w:rPr>
          <w:rFonts w:ascii="Times New Roman" w:hAnsi="Times New Roman"/>
          <w:lang w:val="sk-SK"/>
        </w:rPr>
        <w:t xml:space="preserve"> odsúhlasila zmenu uznesenia vlády č. 5</w:t>
      </w:r>
      <w:r w:rsidRPr="00DA5B8F" w:rsidR="00E66D6E">
        <w:rPr>
          <w:rFonts w:ascii="Times New Roman" w:hAnsi="Times New Roman"/>
          <w:lang w:val="sk-SK"/>
        </w:rPr>
        <w:t>88</w:t>
      </w:r>
      <w:r w:rsidRPr="00DA5B8F">
        <w:rPr>
          <w:rFonts w:ascii="Times New Roman" w:hAnsi="Times New Roman"/>
          <w:lang w:val="sk-SK"/>
        </w:rPr>
        <w:t xml:space="preserve"> z 10. 10. 201</w:t>
      </w:r>
      <w:r w:rsidRPr="00DA5B8F" w:rsidR="00E66D6E">
        <w:rPr>
          <w:rFonts w:ascii="Times New Roman" w:hAnsi="Times New Roman"/>
          <w:lang w:val="sk-SK"/>
        </w:rPr>
        <w:t>3</w:t>
      </w:r>
      <w:r w:rsidRPr="00DA5B8F">
        <w:rPr>
          <w:rFonts w:ascii="Times New Roman" w:hAnsi="Times New Roman"/>
          <w:lang w:val="sk-SK"/>
        </w:rPr>
        <w:t xml:space="preserve"> a schválenú čiastku </w:t>
      </w:r>
      <w:r w:rsidRPr="00DA5B8F" w:rsidR="00E66D6E">
        <w:rPr>
          <w:rFonts w:ascii="Times New Roman" w:hAnsi="Times New Roman"/>
          <w:lang w:val="sk-SK"/>
        </w:rPr>
        <w:t>823</w:t>
      </w:r>
      <w:r w:rsidRPr="00DA5B8F">
        <w:rPr>
          <w:rFonts w:ascii="Times New Roman" w:hAnsi="Times New Roman"/>
          <w:lang w:val="sk-SK"/>
        </w:rPr>
        <w:t> 7</w:t>
      </w:r>
      <w:r w:rsidRPr="00DA5B8F" w:rsidR="00E66D6E">
        <w:rPr>
          <w:rFonts w:ascii="Times New Roman" w:hAnsi="Times New Roman"/>
          <w:lang w:val="sk-SK"/>
        </w:rPr>
        <w:t>64</w:t>
      </w:r>
      <w:r w:rsidRPr="00DA5B8F">
        <w:rPr>
          <w:rFonts w:ascii="Times New Roman" w:hAnsi="Times New Roman"/>
          <w:lang w:val="sk-SK"/>
        </w:rPr>
        <w:t xml:space="preserve"> tis. Eur </w:t>
      </w:r>
      <w:r w:rsidRPr="00DA5B8F" w:rsidR="00E66D6E">
        <w:rPr>
          <w:rFonts w:ascii="Times New Roman" w:hAnsi="Times New Roman"/>
          <w:lang w:val="sk-SK"/>
        </w:rPr>
        <w:t>znížila</w:t>
      </w:r>
      <w:r w:rsidRPr="00DA5B8F">
        <w:rPr>
          <w:rFonts w:ascii="Times New Roman" w:hAnsi="Times New Roman"/>
          <w:lang w:val="sk-SK"/>
        </w:rPr>
        <w:t xml:space="preserve"> o </w:t>
      </w:r>
      <w:r w:rsidRPr="00DA5B8F" w:rsidR="00E66D6E">
        <w:rPr>
          <w:rFonts w:ascii="Times New Roman" w:hAnsi="Times New Roman"/>
          <w:lang w:val="sk-SK"/>
        </w:rPr>
        <w:t>557</w:t>
      </w:r>
      <w:r w:rsidRPr="00DA5B8F">
        <w:rPr>
          <w:rFonts w:ascii="Times New Roman" w:hAnsi="Times New Roman"/>
          <w:lang w:val="sk-SK"/>
        </w:rPr>
        <w:t> </w:t>
      </w:r>
      <w:r w:rsidRPr="00DA5B8F" w:rsidR="00E66D6E">
        <w:rPr>
          <w:rFonts w:ascii="Times New Roman" w:hAnsi="Times New Roman"/>
          <w:lang w:val="sk-SK"/>
        </w:rPr>
        <w:t>737</w:t>
      </w:r>
      <w:r w:rsidRPr="00DA5B8F">
        <w:rPr>
          <w:rFonts w:ascii="Times New Roman" w:hAnsi="Times New Roman"/>
          <w:lang w:val="sk-SK"/>
        </w:rPr>
        <w:t xml:space="preserve"> tis. Eur na celkový objem do výšky </w:t>
      </w:r>
      <w:r w:rsidRPr="00DA5B8F" w:rsidR="00E66D6E">
        <w:rPr>
          <w:rFonts w:ascii="Times New Roman" w:hAnsi="Times New Roman"/>
          <w:lang w:val="sk-SK"/>
        </w:rPr>
        <w:t>266</w:t>
      </w:r>
      <w:r w:rsidRPr="00DA5B8F">
        <w:rPr>
          <w:rFonts w:ascii="Times New Roman" w:hAnsi="Times New Roman"/>
          <w:lang w:val="sk-SK"/>
        </w:rPr>
        <w:t> </w:t>
      </w:r>
      <w:r w:rsidRPr="00DA5B8F" w:rsidR="00E66D6E">
        <w:rPr>
          <w:rFonts w:ascii="Times New Roman" w:hAnsi="Times New Roman"/>
          <w:lang w:val="sk-SK"/>
        </w:rPr>
        <w:t>027</w:t>
      </w:r>
      <w:r w:rsidRPr="00DA5B8F">
        <w:rPr>
          <w:rFonts w:ascii="Times New Roman" w:hAnsi="Times New Roman"/>
          <w:lang w:val="sk-SK"/>
        </w:rPr>
        <w:t> tis. Eur rovnako na posilnenie štátnych finančných aktív. Nový rámec schválila NR SR uznesením č. </w:t>
      </w:r>
      <w:r w:rsidRPr="00DA5B8F" w:rsidR="00E66D6E">
        <w:rPr>
          <w:rFonts w:ascii="Times New Roman" w:hAnsi="Times New Roman"/>
          <w:lang w:val="sk-SK"/>
        </w:rPr>
        <w:t>1451</w:t>
      </w:r>
      <w:r w:rsidRPr="00DA5B8F">
        <w:rPr>
          <w:rFonts w:ascii="Times New Roman" w:hAnsi="Times New Roman"/>
          <w:lang w:val="sk-SK"/>
        </w:rPr>
        <w:t xml:space="preserve"> zo </w:t>
      </w:r>
      <w:r w:rsidRPr="00DA5B8F" w:rsidR="00E66D6E">
        <w:rPr>
          <w:rFonts w:ascii="Times New Roman" w:hAnsi="Times New Roman"/>
          <w:lang w:val="sk-SK"/>
        </w:rPr>
        <w:t>4</w:t>
      </w:r>
      <w:r w:rsidRPr="00DA5B8F">
        <w:rPr>
          <w:rFonts w:ascii="Times New Roman" w:hAnsi="Times New Roman"/>
          <w:lang w:val="sk-SK"/>
        </w:rPr>
        <w:t>. 12. 201</w:t>
      </w:r>
      <w:r w:rsidRPr="00DA5B8F" w:rsidR="00E66D6E">
        <w:rPr>
          <w:rFonts w:ascii="Times New Roman" w:hAnsi="Times New Roman"/>
          <w:lang w:val="sk-SK"/>
        </w:rPr>
        <w:t>4</w:t>
      </w:r>
      <w:r w:rsidRPr="00DA5B8F">
        <w:rPr>
          <w:rFonts w:ascii="Times New Roman" w:hAnsi="Times New Roman"/>
          <w:lang w:val="sk-SK"/>
        </w:rPr>
        <w:t>.</w:t>
      </w:r>
    </w:p>
    <w:p w:rsidR="002C3B67" w:rsidRPr="00DA5B8F" w:rsidP="00C93F3F">
      <w:pPr>
        <w:pStyle w:val="ostavec2"/>
        <w:tabs>
          <w:tab w:val="num" w:pos="540"/>
          <w:tab w:val="clear" w:pos="927"/>
        </w:tabs>
        <w:bidi w:val="0"/>
        <w:spacing w:after="120" w:line="264" w:lineRule="auto"/>
        <w:ind w:left="540" w:firstLine="0"/>
        <w:rPr>
          <w:rFonts w:ascii="Times New Roman" w:hAnsi="Times New Roman"/>
        </w:rPr>
      </w:pPr>
      <w:r w:rsidRPr="00DA5B8F">
        <w:rPr>
          <w:rFonts w:ascii="Times New Roman" w:hAnsi="Times New Roman"/>
        </w:rPr>
        <w:t xml:space="preserve">Fond na účet štátnych finančných aktív poukázal čiastku vo výške </w:t>
      </w:r>
      <w:r w:rsidRPr="00DA5B8F" w:rsidR="00E66D6E">
        <w:rPr>
          <w:rFonts w:ascii="Times New Roman" w:hAnsi="Times New Roman"/>
        </w:rPr>
        <w:t>266</w:t>
      </w:r>
      <w:r w:rsidRPr="00DA5B8F">
        <w:rPr>
          <w:rFonts w:ascii="Times New Roman" w:hAnsi="Times New Roman"/>
        </w:rPr>
        <w:t> </w:t>
      </w:r>
      <w:r w:rsidRPr="00DA5B8F" w:rsidR="00E66D6E">
        <w:rPr>
          <w:rFonts w:ascii="Times New Roman" w:hAnsi="Times New Roman"/>
        </w:rPr>
        <w:t>027</w:t>
      </w:r>
      <w:r w:rsidRPr="00DA5B8F">
        <w:rPr>
          <w:rFonts w:ascii="Times New Roman" w:hAnsi="Times New Roman"/>
        </w:rPr>
        <w:t> tis. Eur</w:t>
      </w:r>
      <w:r w:rsidRPr="00DA5B8F" w:rsidR="00474F35">
        <w:rPr>
          <w:rFonts w:ascii="Times New Roman" w:hAnsi="Times New Roman"/>
        </w:rPr>
        <w:t xml:space="preserve"> v súlade so</w:t>
      </w:r>
      <w:r w:rsidRPr="00DA5B8F">
        <w:rPr>
          <w:rFonts w:ascii="Times New Roman" w:hAnsi="Times New Roman"/>
        </w:rPr>
        <w:t> zmluvami o poskytnutí finančných prostriedkov, ktoré uzatvoril s MF SR</w:t>
      </w:r>
      <w:r w:rsidRPr="00DA5B8F" w:rsidR="00F83CD9">
        <w:rPr>
          <w:rFonts w:ascii="Times New Roman" w:hAnsi="Times New Roman"/>
        </w:rPr>
        <w:t xml:space="preserve"> -</w:t>
      </w:r>
      <w:r w:rsidRPr="00DA5B8F">
        <w:rPr>
          <w:rFonts w:ascii="Times New Roman" w:hAnsi="Times New Roman"/>
        </w:rPr>
        <w:t xml:space="preserve"> príjemc</w:t>
      </w:r>
      <w:r w:rsidRPr="00DA5B8F" w:rsidR="00176DEC">
        <w:rPr>
          <w:rFonts w:ascii="Times New Roman" w:hAnsi="Times New Roman"/>
        </w:rPr>
        <w:t>om</w:t>
      </w:r>
      <w:r w:rsidRPr="00DA5B8F">
        <w:rPr>
          <w:rFonts w:ascii="Times New Roman" w:hAnsi="Times New Roman"/>
        </w:rPr>
        <w:t xml:space="preserve"> týchto prostriedkov.</w:t>
      </w:r>
    </w:p>
    <w:p w:rsidR="002C3B67" w:rsidRPr="00DA5B8F" w:rsidP="00C93F3F">
      <w:pPr>
        <w:pStyle w:val="Styl2"/>
        <w:numPr>
          <w:numId w:val="10"/>
        </w:numPr>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28 ods. 3 písm. c) zákona o privatizácii</w:t>
      </w:r>
      <w:r w:rsidRPr="00DA5B8F">
        <w:rPr>
          <w:rFonts w:ascii="Times New Roman" w:hAnsi="Times New Roman"/>
          <w:sz w:val="24"/>
          <w:szCs w:val="24"/>
        </w:rPr>
        <w:t xml:space="preserve"> - na zvýšenie základného imania </w:t>
      </w:r>
      <w:bookmarkStart w:id="10" w:name="OLE_LINK10"/>
      <w:r w:rsidRPr="00DA5B8F">
        <w:rPr>
          <w:rFonts w:ascii="Times New Roman" w:hAnsi="Times New Roman"/>
          <w:sz w:val="24"/>
          <w:szCs w:val="24"/>
        </w:rPr>
        <w:t>obchodných spoločností, ktorých akcionárom alebo spoločníkom je fond</w:t>
      </w:r>
      <w:bookmarkEnd w:id="10"/>
      <w:r w:rsidRPr="00DA5B8F" w:rsidR="00BC7B96">
        <w:rPr>
          <w:rFonts w:ascii="Times New Roman" w:hAnsi="Times New Roman"/>
          <w:sz w:val="24"/>
          <w:szCs w:val="24"/>
        </w:rPr>
        <w:t>.</w:t>
      </w:r>
      <w:r w:rsidRPr="00DA5B8F" w:rsidR="00474F35">
        <w:rPr>
          <w:rFonts w:ascii="Times New Roman" w:hAnsi="Times New Roman"/>
          <w:sz w:val="24"/>
          <w:szCs w:val="24"/>
        </w:rPr>
        <w:t xml:space="preserve"> V roku 2014 z tejto položky </w:t>
      </w:r>
      <w:r w:rsidRPr="00DA5B8F" w:rsidR="00434F76">
        <w:rPr>
          <w:rFonts w:ascii="Times New Roman" w:hAnsi="Times New Roman"/>
          <w:sz w:val="24"/>
          <w:szCs w:val="24"/>
        </w:rPr>
        <w:t>neboli čerpané</w:t>
      </w:r>
      <w:r w:rsidRPr="00DA5B8F" w:rsidR="00474F35">
        <w:rPr>
          <w:rFonts w:ascii="Times New Roman" w:hAnsi="Times New Roman"/>
          <w:sz w:val="24"/>
          <w:szCs w:val="24"/>
        </w:rPr>
        <w:t xml:space="preserve"> žiadne prostriedky.</w:t>
      </w:r>
    </w:p>
    <w:p w:rsidR="00E73663" w:rsidRPr="00DA5B8F" w:rsidP="00C93F3F">
      <w:pPr>
        <w:pStyle w:val="Styl2"/>
        <w:numPr>
          <w:numId w:val="10"/>
        </w:numPr>
        <w:tabs>
          <w:tab w:val="num" w:pos="540"/>
          <w:tab w:val="clear" w:pos="927"/>
        </w:tabs>
        <w:bidi w:val="0"/>
        <w:spacing w:line="264" w:lineRule="auto"/>
        <w:ind w:left="540" w:hanging="540"/>
      </w:pPr>
      <w:r w:rsidRPr="00DA5B8F" w:rsidR="002C3B67">
        <w:rPr>
          <w:rFonts w:ascii="Times New Roman" w:hAnsi="Times New Roman"/>
          <w:b/>
          <w:bCs/>
          <w:sz w:val="24"/>
          <w:szCs w:val="24"/>
        </w:rPr>
        <w:t>§ 28 ods. 3 písm. d) zákona o privatizácii</w:t>
      </w:r>
      <w:r w:rsidRPr="00DA5B8F" w:rsidR="002C3B67">
        <w:rPr>
          <w:rFonts w:ascii="Times New Roman" w:hAnsi="Times New Roman"/>
          <w:sz w:val="24"/>
          <w:szCs w:val="24"/>
        </w:rPr>
        <w:t xml:space="preserve"> - výdavky na náklady spojené s činnosťou fondu v rozsahu určenom rozpočtom, ktorý fond samostatne predkladá na schválenie NR SR. Návrh rozpočtu nákladov na činnosť fondu na rok 201</w:t>
      </w:r>
      <w:r w:rsidRPr="00DA5B8F">
        <w:rPr>
          <w:rFonts w:ascii="Times New Roman" w:hAnsi="Times New Roman"/>
          <w:sz w:val="24"/>
          <w:szCs w:val="24"/>
        </w:rPr>
        <w:t>4</w:t>
      </w:r>
      <w:r w:rsidRPr="00DA5B8F" w:rsidR="002C3B67">
        <w:rPr>
          <w:rFonts w:ascii="Times New Roman" w:hAnsi="Times New Roman"/>
          <w:sz w:val="24"/>
          <w:szCs w:val="24"/>
        </w:rPr>
        <w:t xml:space="preserve"> schválila NR SR dňa 1</w:t>
      </w:r>
      <w:r w:rsidRPr="00DA5B8F">
        <w:rPr>
          <w:rFonts w:ascii="Times New Roman" w:hAnsi="Times New Roman"/>
          <w:sz w:val="24"/>
          <w:szCs w:val="24"/>
        </w:rPr>
        <w:t>7</w:t>
      </w:r>
      <w:r w:rsidRPr="00DA5B8F" w:rsidR="002C3B67">
        <w:rPr>
          <w:rFonts w:ascii="Times New Roman" w:hAnsi="Times New Roman"/>
          <w:sz w:val="24"/>
          <w:szCs w:val="24"/>
        </w:rPr>
        <w:t>. 12. 201</w:t>
      </w:r>
      <w:r w:rsidRPr="00DA5B8F">
        <w:rPr>
          <w:rFonts w:ascii="Times New Roman" w:hAnsi="Times New Roman"/>
          <w:sz w:val="24"/>
          <w:szCs w:val="24"/>
        </w:rPr>
        <w:t>3</w:t>
      </w:r>
      <w:r w:rsidRPr="00DA5B8F" w:rsidR="002C3B67">
        <w:rPr>
          <w:rFonts w:ascii="Times New Roman" w:hAnsi="Times New Roman"/>
          <w:sz w:val="24"/>
          <w:szCs w:val="24"/>
        </w:rPr>
        <w:t xml:space="preserve"> uznesením č.</w:t>
      </w:r>
      <w:r w:rsidRPr="00DA5B8F">
        <w:rPr>
          <w:rFonts w:ascii="Times New Roman" w:hAnsi="Times New Roman"/>
          <w:sz w:val="24"/>
          <w:szCs w:val="24"/>
        </w:rPr>
        <w:t> 963</w:t>
      </w:r>
      <w:r w:rsidRPr="00DA5B8F" w:rsidR="002C3B67">
        <w:rPr>
          <w:rFonts w:ascii="Times New Roman" w:hAnsi="Times New Roman"/>
          <w:sz w:val="24"/>
          <w:szCs w:val="24"/>
        </w:rPr>
        <w:t xml:space="preserve"> vo výške 2 </w:t>
      </w:r>
      <w:r w:rsidRPr="00DA5B8F">
        <w:rPr>
          <w:rFonts w:ascii="Times New Roman" w:hAnsi="Times New Roman"/>
          <w:sz w:val="24"/>
          <w:szCs w:val="24"/>
        </w:rPr>
        <w:t>071</w:t>
      </w:r>
      <w:r w:rsidRPr="00DA5B8F" w:rsidR="002C3B67">
        <w:rPr>
          <w:rFonts w:ascii="Times New Roman" w:hAnsi="Times New Roman"/>
          <w:sz w:val="24"/>
          <w:szCs w:val="24"/>
        </w:rPr>
        <w:t> tis. Eur. K 31. 12. 201</w:t>
      </w:r>
      <w:r w:rsidRPr="00DA5B8F">
        <w:rPr>
          <w:rFonts w:ascii="Times New Roman" w:hAnsi="Times New Roman"/>
          <w:sz w:val="24"/>
          <w:szCs w:val="24"/>
        </w:rPr>
        <w:t>4</w:t>
      </w:r>
      <w:r w:rsidRPr="00DA5B8F" w:rsidR="002C3B67">
        <w:rPr>
          <w:rFonts w:ascii="Times New Roman" w:hAnsi="Times New Roman"/>
          <w:sz w:val="24"/>
          <w:szCs w:val="24"/>
        </w:rPr>
        <w:t xml:space="preserve"> fond čerpal z tejto položky prostriedky v objeme </w:t>
      </w:r>
      <w:r w:rsidRPr="00DA5B8F">
        <w:rPr>
          <w:rFonts w:ascii="Times New Roman" w:hAnsi="Times New Roman"/>
          <w:sz w:val="24"/>
          <w:szCs w:val="24"/>
        </w:rPr>
        <w:t>1</w:t>
      </w:r>
      <w:r w:rsidRPr="00DA5B8F" w:rsidR="002C3B67">
        <w:rPr>
          <w:rFonts w:ascii="Times New Roman" w:hAnsi="Times New Roman"/>
          <w:sz w:val="24"/>
          <w:szCs w:val="24"/>
        </w:rPr>
        <w:t> </w:t>
      </w:r>
      <w:r w:rsidRPr="00DA5B8F">
        <w:rPr>
          <w:rFonts w:ascii="Times New Roman" w:hAnsi="Times New Roman"/>
          <w:sz w:val="24"/>
          <w:szCs w:val="24"/>
        </w:rPr>
        <w:t>900</w:t>
      </w:r>
      <w:r w:rsidRPr="00DA5B8F" w:rsidR="002C3B67">
        <w:rPr>
          <w:rFonts w:ascii="Times New Roman" w:hAnsi="Times New Roman"/>
          <w:sz w:val="24"/>
          <w:szCs w:val="24"/>
        </w:rPr>
        <w:t xml:space="preserve"> tis. Eur, čo predstavuje </w:t>
      </w:r>
      <w:r w:rsidRPr="00DA5B8F">
        <w:rPr>
          <w:rFonts w:ascii="Times New Roman" w:hAnsi="Times New Roman"/>
          <w:sz w:val="24"/>
          <w:szCs w:val="24"/>
        </w:rPr>
        <w:t>91</w:t>
      </w:r>
      <w:r w:rsidRPr="00DA5B8F" w:rsidR="002C3B67">
        <w:rPr>
          <w:rFonts w:ascii="Times New Roman" w:hAnsi="Times New Roman"/>
          <w:sz w:val="24"/>
          <w:szCs w:val="24"/>
        </w:rPr>
        <w:t>,</w:t>
      </w:r>
      <w:r w:rsidRPr="00DA5B8F">
        <w:rPr>
          <w:rFonts w:ascii="Times New Roman" w:hAnsi="Times New Roman"/>
          <w:sz w:val="24"/>
          <w:szCs w:val="24"/>
        </w:rPr>
        <w:t>52</w:t>
      </w:r>
      <w:r w:rsidRPr="00DA5B8F" w:rsidR="002C3B67">
        <w:rPr>
          <w:rFonts w:ascii="Times New Roman" w:hAnsi="Times New Roman"/>
          <w:sz w:val="24"/>
          <w:szCs w:val="24"/>
        </w:rPr>
        <w:t> %-ný podiel zo schválenej sumy.</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28 ods. 3 písm. f) zákona o privatizácii</w:t>
      </w:r>
      <w:r w:rsidRPr="00DA5B8F">
        <w:rPr>
          <w:rFonts w:ascii="Times New Roman" w:hAnsi="Times New Roman"/>
          <w:sz w:val="24"/>
          <w:szCs w:val="24"/>
        </w:rPr>
        <w:t xml:space="preserve"> - výdavky na úhradu nákladov fondu spojených s podporou privatizácie, v tejto položke sú okrem výdavkov na privatizačných poradcov zahrnuté aj výdavky na právne a všeobecné služby, ako aj daňové výdavky</w:t>
      </w:r>
      <w:r w:rsidRPr="00DA5B8F" w:rsidR="0068047B">
        <w:rPr>
          <w:rFonts w:ascii="Times New Roman" w:hAnsi="Times New Roman"/>
          <w:sz w:val="24"/>
          <w:szCs w:val="24"/>
        </w:rPr>
        <w:t xml:space="preserve"> a poplatky</w:t>
      </w:r>
      <w:r w:rsidRPr="00DA5B8F">
        <w:rPr>
          <w:rFonts w:ascii="Times New Roman" w:hAnsi="Times New Roman"/>
          <w:sz w:val="24"/>
          <w:szCs w:val="24"/>
        </w:rPr>
        <w:t>.</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28 ods. 3 písm. h) zákona o privatizácii</w:t>
      </w:r>
      <w:r w:rsidRPr="00DA5B8F">
        <w:rPr>
          <w:rFonts w:ascii="Times New Roman" w:hAnsi="Times New Roman"/>
          <w:sz w:val="24"/>
          <w:szCs w:val="24"/>
        </w:rPr>
        <w:t xml:space="preserve"> - výdavky na uspokojovanie nárokov oprávnených osôb podľa osobitných predpisov a na úhradu reštitučných a privatizačných súdnych sporov, ktoré je fond povinný uhradiť, prípadne na úhradu súvisiacich škôd spôsobených fondom. V roku 201</w:t>
      </w:r>
      <w:r w:rsidRPr="00DA5B8F" w:rsidR="00474F35">
        <w:rPr>
          <w:rFonts w:ascii="Times New Roman" w:hAnsi="Times New Roman"/>
          <w:sz w:val="24"/>
          <w:szCs w:val="24"/>
        </w:rPr>
        <w:t>4</w:t>
      </w:r>
      <w:r w:rsidRPr="00DA5B8F">
        <w:rPr>
          <w:rFonts w:ascii="Times New Roman" w:hAnsi="Times New Roman"/>
          <w:sz w:val="24"/>
          <w:szCs w:val="24"/>
        </w:rPr>
        <w:t xml:space="preserve"> z tejto položky neboli čerpané žiadne prostriedky a splatnosť týchto záväzkov sa presúva do nasledujúceho obdobia.</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28 ods. 3 písm. k) zákona o privatizácii</w:t>
      </w:r>
      <w:r w:rsidRPr="00DA5B8F">
        <w:rPr>
          <w:rFonts w:ascii="Times New Roman" w:hAnsi="Times New Roman"/>
          <w:sz w:val="24"/>
          <w:szCs w:val="24"/>
        </w:rPr>
        <w:t xml:space="preserve"> – výdavky na úhradu nákladov spojených so splatením dlhopisov fondu a ich výnosov. Neuhradené dlhopisy fondu predstavovali k 31. 12. 201</w:t>
      </w:r>
      <w:r w:rsidRPr="00DA5B8F" w:rsidR="00B3168A">
        <w:rPr>
          <w:rFonts w:ascii="Times New Roman" w:hAnsi="Times New Roman"/>
          <w:sz w:val="24"/>
          <w:szCs w:val="24"/>
        </w:rPr>
        <w:t>4</w:t>
      </w:r>
      <w:r w:rsidRPr="00DA5B8F">
        <w:rPr>
          <w:rFonts w:ascii="Times New Roman" w:hAnsi="Times New Roman"/>
          <w:sz w:val="24"/>
          <w:szCs w:val="24"/>
        </w:rPr>
        <w:t xml:space="preserve"> možný záväzok fondu vo výške 15 </w:t>
      </w:r>
      <w:r w:rsidRPr="00DA5B8F" w:rsidR="00B3168A">
        <w:rPr>
          <w:rFonts w:ascii="Times New Roman" w:hAnsi="Times New Roman"/>
          <w:sz w:val="24"/>
          <w:szCs w:val="24"/>
        </w:rPr>
        <w:t>415</w:t>
      </w:r>
      <w:r w:rsidRPr="00DA5B8F">
        <w:rPr>
          <w:rFonts w:ascii="Times New Roman" w:hAnsi="Times New Roman"/>
          <w:sz w:val="24"/>
          <w:szCs w:val="24"/>
        </w:rPr>
        <w:t> tis. Eur.</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28 ods. 3 písm. l) zákona o privatizácii</w:t>
      </w:r>
      <w:r w:rsidRPr="00DA5B8F">
        <w:rPr>
          <w:rFonts w:ascii="Times New Roman" w:hAnsi="Times New Roman"/>
          <w:sz w:val="24"/>
          <w:szCs w:val="24"/>
        </w:rPr>
        <w:t xml:space="preserve"> - na úhradu nákladov vzniknutých v dôsledku odstúpenia od zmluvy vrátane nákladov na uspokojovanie pracovnoprávnych nárokov zamestnancov alebo na uzatváranie zmlúv o nájme takto získaného majetku.</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bookmarkStart w:id="11" w:name="OLE_LINK38"/>
      <w:r w:rsidRPr="00DA5B8F">
        <w:rPr>
          <w:rFonts w:ascii="Times New Roman" w:hAnsi="Times New Roman"/>
          <w:b/>
          <w:bCs/>
          <w:sz w:val="24"/>
          <w:szCs w:val="24"/>
        </w:rPr>
        <w:t>§ 28 ods. 3 písm. n) zákona o privatizácii</w:t>
      </w:r>
      <w:r w:rsidRPr="00DA5B8F">
        <w:rPr>
          <w:rFonts w:ascii="Times New Roman" w:hAnsi="Times New Roman"/>
          <w:sz w:val="24"/>
          <w:szCs w:val="24"/>
        </w:rPr>
        <w:t xml:space="preserve"> </w:t>
      </w:r>
      <w:bookmarkEnd w:id="11"/>
      <w:r w:rsidRPr="00DA5B8F">
        <w:rPr>
          <w:rFonts w:ascii="Times New Roman" w:hAnsi="Times New Roman"/>
          <w:sz w:val="24"/>
          <w:szCs w:val="24"/>
        </w:rPr>
        <w:t>– výdavky na úhradu nákladov spojených s cennými papiermi, ktoré boli prevedené na fond fyzickými osobami, a nákladov spojených s ich nadobudnutím a prevodom na iné osoby a na úhradu záväzkov zo zmlúv uzavretých podľa § 29 ods. 11 zákona o privatizácii.</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28 ods. 3 písm. o) zákona o privatizácii</w:t>
      </w:r>
      <w:r w:rsidRPr="00DA5B8F">
        <w:rPr>
          <w:rFonts w:ascii="Times New Roman" w:hAnsi="Times New Roman"/>
          <w:sz w:val="24"/>
          <w:szCs w:val="24"/>
        </w:rPr>
        <w:t xml:space="preserve"> - na úhradu nákladov spojených s ukončením činnosti fondu podľa § 40a zákona o privatizácii.</w:t>
      </w:r>
    </w:p>
    <w:p w:rsidR="002C3B67" w:rsidRPr="00DA5B8F" w:rsidP="00C93F3F">
      <w:pPr>
        <w:pStyle w:val="Styl2"/>
        <w:tabs>
          <w:tab w:val="num" w:pos="540"/>
          <w:tab w:val="clear" w:pos="927"/>
        </w:tabs>
        <w:bidi w:val="0"/>
        <w:spacing w:line="264" w:lineRule="auto"/>
        <w:ind w:left="540" w:hanging="540"/>
        <w:rPr>
          <w:rFonts w:ascii="Times New Roman" w:hAnsi="Times New Roman"/>
          <w:sz w:val="24"/>
          <w:szCs w:val="24"/>
        </w:rPr>
      </w:pPr>
      <w:r w:rsidRPr="00DA5B8F">
        <w:rPr>
          <w:rFonts w:ascii="Times New Roman" w:hAnsi="Times New Roman"/>
          <w:b/>
          <w:bCs/>
          <w:sz w:val="24"/>
          <w:szCs w:val="24"/>
        </w:rPr>
        <w:t xml:space="preserve">§ 15 a § 30 zákona o privatizácii </w:t>
      </w:r>
      <w:r w:rsidRPr="00DA5B8F">
        <w:rPr>
          <w:rFonts w:ascii="Times New Roman" w:hAnsi="Times New Roman"/>
          <w:sz w:val="24"/>
          <w:szCs w:val="24"/>
        </w:rPr>
        <w:t>- podľa § 15 zákona o privatizácii fond ručí svojím majetkom za splnenie záväzkov nadobúdateľom privatizovaného majetku. Podobne je tomu aj v prípade § 30, v zmysle ktorého fond, ktorému pri uskutočňovaní činností uvedených v § 28 vznikajú rôzne práva a záväzky, môže byť žalovaný za nesplnenie svojich záväzkov alebo iných povinností, za ktorých porušenie zodpovedá celým svojím majetkom. Plnenie týchto záväzkov nezávisí od rozhodnutí fondu, ale v prevažnej miere od rozhodnutí súdu.</w:t>
      </w:r>
    </w:p>
    <w:p w:rsidR="002C3B67" w:rsidRPr="00DA5B8F" w:rsidP="00C93F3F">
      <w:pPr>
        <w:pStyle w:val="Styl2"/>
        <w:tabs>
          <w:tab w:val="num" w:pos="540"/>
          <w:tab w:val="clear" w:pos="927"/>
        </w:tabs>
        <w:bidi w:val="0"/>
        <w:spacing w:line="264" w:lineRule="auto"/>
        <w:ind w:left="540" w:hanging="540"/>
      </w:pPr>
      <w:r w:rsidRPr="00DA5B8F">
        <w:rPr>
          <w:rFonts w:ascii="Times New Roman" w:hAnsi="Times New Roman"/>
          <w:b/>
          <w:bCs/>
          <w:sz w:val="24"/>
          <w:szCs w:val="24"/>
        </w:rPr>
        <w:t>Ostatné</w:t>
      </w:r>
      <w:r w:rsidRPr="00DA5B8F">
        <w:rPr>
          <w:rFonts w:ascii="Times New Roman" w:hAnsi="Times New Roman"/>
          <w:sz w:val="24"/>
          <w:szCs w:val="24"/>
        </w:rPr>
        <w:t xml:space="preserve"> - kolkové známky, poštové služby, vrátenie príjmov z minulých rokov a iné.</w:t>
      </w:r>
    </w:p>
    <w:p w:rsidR="002C3B67" w:rsidRPr="00DA5B8F" w:rsidP="00C93F3F">
      <w:pPr>
        <w:pStyle w:val="Header"/>
        <w:numPr>
          <w:ilvl w:val="1"/>
          <w:numId w:val="14"/>
        </w:numPr>
        <w:shd w:val="clear" w:color="auto" w:fill="E6E6E6"/>
        <w:tabs>
          <w:tab w:val="clear" w:pos="4703"/>
          <w:tab w:val="clear" w:pos="9406"/>
        </w:tabs>
        <w:bidi w:val="0"/>
        <w:spacing w:before="360" w:after="240" w:line="264" w:lineRule="auto"/>
        <w:jc w:val="both"/>
        <w:rPr>
          <w:rFonts w:ascii="Times New Roman" w:hAnsi="Times New Roman"/>
          <w:b/>
          <w:bCs/>
          <w:lang w:val="sk-SK"/>
        </w:rPr>
      </w:pPr>
      <w:r w:rsidRPr="00DA5B8F">
        <w:rPr>
          <w:rFonts w:ascii="Times New Roman" w:hAnsi="Times New Roman"/>
          <w:b/>
          <w:bCs/>
          <w:lang w:val="sk-SK"/>
        </w:rPr>
        <w:t>Bilancia príjmov a výdavkov fondu k 31. 12. 201</w:t>
      </w:r>
      <w:r w:rsidRPr="00DA5B8F" w:rsidR="00B3168A">
        <w:rPr>
          <w:rFonts w:ascii="Times New Roman" w:hAnsi="Times New Roman"/>
          <w:b/>
          <w:bCs/>
          <w:lang w:val="sk-SK"/>
        </w:rPr>
        <w:t>4</w:t>
      </w:r>
      <w:r w:rsidRPr="00DA5B8F">
        <w:rPr>
          <w:rFonts w:ascii="Times New Roman" w:hAnsi="Times New Roman"/>
          <w:b/>
          <w:bCs/>
          <w:lang w:val="sk-SK"/>
        </w:rPr>
        <w:t xml:space="preserve"> </w:t>
      </w:r>
      <w:bookmarkStart w:id="12" w:name="OLE_LINK4"/>
      <w:r w:rsidRPr="00DA5B8F">
        <w:rPr>
          <w:rFonts w:ascii="Times New Roman" w:hAnsi="Times New Roman"/>
          <w:b/>
          <w:bCs/>
          <w:lang w:val="sk-SK"/>
        </w:rPr>
        <w:t>(počítaná na báze cash flow)</w:t>
      </w:r>
      <w:bookmarkEnd w:id="12"/>
    </w:p>
    <w:p w:rsidR="002C3B67" w:rsidRPr="00DA5B8F" w:rsidP="00C93F3F">
      <w:pPr>
        <w:pStyle w:val="BodyTextIndent2"/>
        <w:bidi w:val="0"/>
        <w:spacing w:before="120" w:line="264" w:lineRule="auto"/>
        <w:ind w:left="0" w:firstLine="0"/>
        <w:rPr>
          <w:rFonts w:ascii="Times New Roman" w:hAnsi="Times New Roman"/>
        </w:rPr>
      </w:pPr>
      <w:r w:rsidRPr="00DA5B8F">
        <w:rPr>
          <w:rFonts w:ascii="Times New Roman" w:hAnsi="Times New Roman"/>
        </w:rPr>
        <w:t>K 1. 1. 201</w:t>
      </w:r>
      <w:r w:rsidRPr="00DA5B8F" w:rsidR="00B3168A">
        <w:rPr>
          <w:rFonts w:ascii="Times New Roman" w:hAnsi="Times New Roman"/>
        </w:rPr>
        <w:t>4</w:t>
      </w:r>
      <w:r w:rsidRPr="00DA5B8F">
        <w:rPr>
          <w:rFonts w:ascii="Times New Roman" w:hAnsi="Times New Roman"/>
        </w:rPr>
        <w:t xml:space="preserve"> mal fond na svojich účtoch použiteľné peňažné prostriedky vo výške 1</w:t>
      </w:r>
      <w:r w:rsidRPr="00DA5B8F" w:rsidR="00137834">
        <w:rPr>
          <w:rFonts w:ascii="Times New Roman" w:hAnsi="Times New Roman"/>
        </w:rPr>
        <w:t>02 484</w:t>
      </w:r>
      <w:r w:rsidRPr="00DA5B8F">
        <w:rPr>
          <w:rFonts w:ascii="Times New Roman" w:hAnsi="Times New Roman"/>
        </w:rPr>
        <w:t xml:space="preserve"> tis. Eur. Celkové príjmy v sledovanom období dosiahli čiastku </w:t>
      </w:r>
      <w:r w:rsidRPr="00DA5B8F" w:rsidR="00363CB7">
        <w:rPr>
          <w:rFonts w:ascii="Times New Roman" w:hAnsi="Times New Roman"/>
        </w:rPr>
        <w:t>267</w:t>
      </w:r>
      <w:r w:rsidRPr="00DA5B8F">
        <w:rPr>
          <w:rFonts w:ascii="Times New Roman" w:hAnsi="Times New Roman"/>
        </w:rPr>
        <w:t> </w:t>
      </w:r>
      <w:r w:rsidRPr="00DA5B8F" w:rsidR="00363CB7">
        <w:rPr>
          <w:rFonts w:ascii="Times New Roman" w:hAnsi="Times New Roman"/>
        </w:rPr>
        <w:t>309</w:t>
      </w:r>
      <w:r w:rsidRPr="00DA5B8F">
        <w:rPr>
          <w:rFonts w:ascii="Times New Roman" w:hAnsi="Times New Roman"/>
        </w:rPr>
        <w:t> tis. Eur. Z uvedeného vyplýva, že v priebehu roku 201</w:t>
      </w:r>
      <w:r w:rsidRPr="00DA5B8F" w:rsidR="00363CB7">
        <w:rPr>
          <w:rFonts w:ascii="Times New Roman" w:hAnsi="Times New Roman"/>
        </w:rPr>
        <w:t>4</w:t>
      </w:r>
      <w:r w:rsidRPr="00DA5B8F">
        <w:rPr>
          <w:rFonts w:ascii="Times New Roman" w:hAnsi="Times New Roman"/>
        </w:rPr>
        <w:t xml:space="preserve"> mal fond na uhrádzanie svojich záväzkov peňažné zdroje v celkovom objeme </w:t>
      </w:r>
      <w:r w:rsidRPr="00DA5B8F" w:rsidR="00363CB7">
        <w:rPr>
          <w:rFonts w:ascii="Times New Roman" w:hAnsi="Times New Roman"/>
        </w:rPr>
        <w:t>369</w:t>
      </w:r>
      <w:r w:rsidRPr="00DA5B8F">
        <w:rPr>
          <w:rFonts w:ascii="Times New Roman" w:hAnsi="Times New Roman"/>
        </w:rPr>
        <w:t> </w:t>
      </w:r>
      <w:r w:rsidRPr="00DA5B8F" w:rsidR="00363CB7">
        <w:rPr>
          <w:rFonts w:ascii="Times New Roman" w:hAnsi="Times New Roman"/>
        </w:rPr>
        <w:t>793</w:t>
      </w:r>
      <w:r w:rsidRPr="00DA5B8F">
        <w:rPr>
          <w:rFonts w:ascii="Times New Roman" w:hAnsi="Times New Roman"/>
        </w:rPr>
        <w:t> tis. Eur. Z týchto prostriedkov fond v roku 201</w:t>
      </w:r>
      <w:r w:rsidRPr="00DA5B8F" w:rsidR="00363CB7">
        <w:rPr>
          <w:rFonts w:ascii="Times New Roman" w:hAnsi="Times New Roman"/>
        </w:rPr>
        <w:t>4</w:t>
      </w:r>
      <w:r w:rsidRPr="00DA5B8F">
        <w:rPr>
          <w:rFonts w:ascii="Times New Roman" w:hAnsi="Times New Roman"/>
        </w:rPr>
        <w:t xml:space="preserve"> priebežne uhrádzal všetky svoje záväzky v termínoch splatnosti, pričom ich celková výška dosiahla objem </w:t>
      </w:r>
      <w:r w:rsidRPr="00DA5B8F" w:rsidR="00363CB7">
        <w:rPr>
          <w:rFonts w:ascii="Times New Roman" w:hAnsi="Times New Roman"/>
        </w:rPr>
        <w:t>284</w:t>
      </w:r>
      <w:r w:rsidRPr="00DA5B8F">
        <w:rPr>
          <w:rFonts w:ascii="Times New Roman" w:hAnsi="Times New Roman"/>
        </w:rPr>
        <w:t> </w:t>
      </w:r>
      <w:r w:rsidRPr="00DA5B8F" w:rsidR="00363CB7">
        <w:rPr>
          <w:rFonts w:ascii="Times New Roman" w:hAnsi="Times New Roman"/>
        </w:rPr>
        <w:t>538</w:t>
      </w:r>
      <w:r w:rsidRPr="00DA5B8F">
        <w:rPr>
          <w:rFonts w:ascii="Times New Roman" w:hAnsi="Times New Roman"/>
        </w:rPr>
        <w:t> tis. Eur.</w:t>
      </w:r>
    </w:p>
    <w:p w:rsidR="002C3B67" w:rsidRPr="00DA5B8F">
      <w:pPr>
        <w:tabs>
          <w:tab w:val="right" w:pos="9214"/>
        </w:tabs>
        <w:bidi w:val="0"/>
        <w:spacing w:before="480" w:after="120"/>
        <w:ind w:left="284" w:hanging="284"/>
        <w:jc w:val="both"/>
        <w:rPr>
          <w:rFonts w:ascii="Times New Roman" w:hAnsi="Times New Roman"/>
          <w:b/>
          <w:bCs/>
          <w:lang w:val="sk-SK"/>
        </w:rPr>
      </w:pPr>
      <w:r w:rsidRPr="00DA5B8F">
        <w:rPr>
          <w:rFonts w:ascii="Times New Roman" w:hAnsi="Times New Roman"/>
          <w:b/>
          <w:bCs/>
          <w:lang w:val="sk-SK"/>
        </w:rPr>
        <w:t>Peňažné prostriedky k 31. 12. 201</w:t>
      </w:r>
      <w:r w:rsidRPr="00DA5B8F" w:rsidR="00363CB7">
        <w:rPr>
          <w:rFonts w:ascii="Times New Roman" w:hAnsi="Times New Roman"/>
          <w:b/>
          <w:bCs/>
          <w:lang w:val="sk-SK"/>
        </w:rPr>
        <w:t>4</w:t>
      </w:r>
      <w:r w:rsidRPr="00DA5B8F">
        <w:rPr>
          <w:rFonts w:ascii="Times New Roman" w:hAnsi="Times New Roman"/>
          <w:b/>
          <w:bCs/>
          <w:lang w:val="sk-SK"/>
        </w:rPr>
        <w:tab/>
        <w:t>(v Eur)</w:t>
      </w:r>
    </w:p>
    <w:tbl>
      <w:tblPr>
        <w:tblStyle w:val="TableNormal"/>
        <w:tblW w:w="0" w:type="auto"/>
        <w:tblBorders>
          <w:top w:val="single" w:sz="4" w:space="0" w:color="999999"/>
          <w:bottom w:val="single" w:sz="4" w:space="0" w:color="999999"/>
          <w:insideH w:val="double" w:sz="4" w:space="0" w:color="999999"/>
        </w:tblBorders>
        <w:tblCellMar>
          <w:top w:w="0" w:type="dxa"/>
          <w:left w:w="70" w:type="dxa"/>
          <w:bottom w:w="0" w:type="dxa"/>
          <w:right w:w="70" w:type="dxa"/>
        </w:tblCellMar>
      </w:tblPr>
      <w:tblGrid>
        <w:gridCol w:w="2389"/>
        <w:gridCol w:w="2389"/>
        <w:gridCol w:w="2390"/>
        <w:gridCol w:w="2390"/>
      </w:tblGrid>
      <w:tr>
        <w:tblPrEx>
          <w:tblW w:w="0" w:type="auto"/>
          <w:tblBorders>
            <w:top w:val="single" w:sz="4" w:space="0" w:color="999999"/>
            <w:bottom w:val="single" w:sz="4" w:space="0" w:color="999999"/>
            <w:insideH w:val="double" w:sz="4" w:space="0" w:color="999999"/>
          </w:tblBorders>
          <w:tblCellMar>
            <w:top w:w="0" w:type="dxa"/>
            <w:left w:w="70" w:type="dxa"/>
            <w:bottom w:w="0" w:type="dxa"/>
            <w:right w:w="70" w:type="dxa"/>
          </w:tblCellMar>
        </w:tblPrEx>
        <w:trPr>
          <w:trHeight w:hRule="exact" w:val="680"/>
        </w:trPr>
        <w:tc>
          <w:tcPr>
            <w:tcW w:w="2389"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Počiatočný stav</w:t>
            </w:r>
          </w:p>
        </w:tc>
        <w:tc>
          <w:tcPr>
            <w:tcW w:w="2389"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Príjmy</w:t>
            </w:r>
          </w:p>
        </w:tc>
        <w:tc>
          <w:tcPr>
            <w:tcW w:w="2390"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Výdavky</w:t>
            </w:r>
          </w:p>
        </w:tc>
        <w:tc>
          <w:tcPr>
            <w:tcW w:w="2390"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Konečný stav</w:t>
            </w:r>
          </w:p>
        </w:tc>
      </w:tr>
      <w:tr>
        <w:tblPrEx>
          <w:tblW w:w="0" w:type="auto"/>
          <w:tblCellMar>
            <w:top w:w="0" w:type="dxa"/>
            <w:left w:w="70" w:type="dxa"/>
            <w:bottom w:w="0" w:type="dxa"/>
            <w:right w:w="70" w:type="dxa"/>
          </w:tblCellMar>
        </w:tblPrEx>
        <w:trPr>
          <w:trHeight w:hRule="exact" w:val="680"/>
        </w:trPr>
        <w:tc>
          <w:tcPr>
            <w:tcW w:w="2389" w:type="dxa"/>
            <w:tcBorders>
              <w:top w:val="double" w:sz="4" w:space="0" w:color="999999"/>
              <w:left w:val="nil"/>
              <w:bottom w:val="single" w:sz="4" w:space="0" w:color="999999"/>
              <w:right w:val="nil"/>
            </w:tcBorders>
            <w:textDirection w:val="lrTb"/>
            <w:vAlign w:val="center"/>
          </w:tcPr>
          <w:p w:rsidR="002C3B67" w:rsidRPr="00DA5B8F" w:rsidP="00363CB7">
            <w:pPr>
              <w:pStyle w:val="BodyTextIndent2"/>
              <w:bidi w:val="0"/>
              <w:spacing w:before="120" w:line="264" w:lineRule="auto"/>
              <w:ind w:left="0" w:firstLine="0"/>
              <w:jc w:val="center"/>
              <w:rPr>
                <w:rFonts w:ascii="Times New Roman" w:hAnsi="Times New Roman"/>
              </w:rPr>
            </w:pPr>
            <w:r w:rsidRPr="00DA5B8F">
              <w:rPr>
                <w:rFonts w:ascii="Times New Roman" w:hAnsi="Times New Roman"/>
              </w:rPr>
              <w:t>1</w:t>
            </w:r>
            <w:r w:rsidRPr="00DA5B8F" w:rsidR="00363CB7">
              <w:rPr>
                <w:rFonts w:ascii="Times New Roman" w:hAnsi="Times New Roman"/>
              </w:rPr>
              <w:t>02</w:t>
            </w:r>
            <w:r w:rsidRPr="00DA5B8F">
              <w:rPr>
                <w:rFonts w:ascii="Times New Roman" w:hAnsi="Times New Roman"/>
              </w:rPr>
              <w:t> </w:t>
            </w:r>
            <w:r w:rsidRPr="00DA5B8F" w:rsidR="00363CB7">
              <w:rPr>
                <w:rFonts w:ascii="Times New Roman" w:hAnsi="Times New Roman"/>
              </w:rPr>
              <w:t>483</w:t>
            </w:r>
            <w:r w:rsidRPr="00DA5B8F">
              <w:rPr>
                <w:rFonts w:ascii="Times New Roman" w:hAnsi="Times New Roman"/>
              </w:rPr>
              <w:t> </w:t>
            </w:r>
            <w:r w:rsidRPr="00DA5B8F" w:rsidR="00363CB7">
              <w:rPr>
                <w:rFonts w:ascii="Times New Roman" w:hAnsi="Times New Roman"/>
              </w:rPr>
              <w:t>796</w:t>
            </w:r>
            <w:r w:rsidRPr="00DA5B8F">
              <w:rPr>
                <w:rFonts w:ascii="Times New Roman" w:hAnsi="Times New Roman"/>
              </w:rPr>
              <w:t>,</w:t>
            </w:r>
            <w:r w:rsidRPr="00DA5B8F" w:rsidR="00363CB7">
              <w:rPr>
                <w:rFonts w:ascii="Times New Roman" w:hAnsi="Times New Roman"/>
              </w:rPr>
              <w:t>43</w:t>
            </w:r>
          </w:p>
        </w:tc>
        <w:tc>
          <w:tcPr>
            <w:tcW w:w="2389" w:type="dxa"/>
            <w:tcBorders>
              <w:top w:val="double" w:sz="4" w:space="0" w:color="999999"/>
              <w:left w:val="nil"/>
              <w:bottom w:val="single" w:sz="4" w:space="0" w:color="999999"/>
              <w:right w:val="nil"/>
            </w:tcBorders>
            <w:textDirection w:val="lrTb"/>
            <w:vAlign w:val="center"/>
          </w:tcPr>
          <w:p w:rsidR="002C3B67" w:rsidRPr="00DA5B8F" w:rsidP="007F3231">
            <w:pPr>
              <w:pStyle w:val="BodyTextIndent2"/>
              <w:bidi w:val="0"/>
              <w:spacing w:before="120" w:line="264" w:lineRule="auto"/>
              <w:ind w:left="0" w:firstLine="0"/>
              <w:jc w:val="center"/>
              <w:rPr>
                <w:rFonts w:ascii="Times New Roman" w:hAnsi="Times New Roman"/>
              </w:rPr>
            </w:pPr>
            <w:r w:rsidRPr="00DA5B8F" w:rsidR="00363CB7">
              <w:rPr>
                <w:rFonts w:ascii="Times New Roman" w:hAnsi="Times New Roman"/>
              </w:rPr>
              <w:t>267</w:t>
            </w:r>
            <w:r w:rsidRPr="00DA5B8F">
              <w:rPr>
                <w:rFonts w:ascii="Times New Roman" w:hAnsi="Times New Roman"/>
              </w:rPr>
              <w:t> </w:t>
            </w:r>
            <w:r w:rsidRPr="00DA5B8F" w:rsidR="00363CB7">
              <w:rPr>
                <w:rFonts w:ascii="Times New Roman" w:hAnsi="Times New Roman"/>
              </w:rPr>
              <w:t>309</w:t>
            </w:r>
            <w:r w:rsidRPr="00DA5B8F">
              <w:rPr>
                <w:rFonts w:ascii="Times New Roman" w:hAnsi="Times New Roman"/>
              </w:rPr>
              <w:t> </w:t>
            </w:r>
            <w:r w:rsidRPr="00DA5B8F" w:rsidR="00363CB7">
              <w:rPr>
                <w:rFonts w:ascii="Times New Roman" w:hAnsi="Times New Roman"/>
              </w:rPr>
              <w:t>044</w:t>
            </w:r>
            <w:r w:rsidRPr="00DA5B8F">
              <w:rPr>
                <w:rFonts w:ascii="Times New Roman" w:hAnsi="Times New Roman"/>
              </w:rPr>
              <w:t>,</w:t>
            </w:r>
            <w:r w:rsidRPr="00DA5B8F" w:rsidR="00363CB7">
              <w:rPr>
                <w:rFonts w:ascii="Times New Roman" w:hAnsi="Times New Roman"/>
              </w:rPr>
              <w:t>6</w:t>
            </w:r>
            <w:r w:rsidRPr="00DA5B8F" w:rsidR="007F3231">
              <w:rPr>
                <w:rFonts w:ascii="Times New Roman" w:hAnsi="Times New Roman"/>
              </w:rPr>
              <w:t>5</w:t>
            </w:r>
          </w:p>
        </w:tc>
        <w:tc>
          <w:tcPr>
            <w:tcW w:w="2390" w:type="dxa"/>
            <w:tcBorders>
              <w:top w:val="double" w:sz="4" w:space="0" w:color="999999"/>
              <w:left w:val="nil"/>
              <w:bottom w:val="single" w:sz="4" w:space="0" w:color="999999"/>
              <w:right w:val="nil"/>
            </w:tcBorders>
            <w:textDirection w:val="lrTb"/>
            <w:vAlign w:val="center"/>
          </w:tcPr>
          <w:p w:rsidR="002C3B67" w:rsidRPr="00DA5B8F" w:rsidP="00363CB7">
            <w:pPr>
              <w:pStyle w:val="BodyTextIndent2"/>
              <w:bidi w:val="0"/>
              <w:spacing w:before="120" w:line="264" w:lineRule="auto"/>
              <w:ind w:left="0" w:firstLine="0"/>
              <w:jc w:val="center"/>
              <w:rPr>
                <w:rFonts w:ascii="Times New Roman" w:hAnsi="Times New Roman"/>
              </w:rPr>
            </w:pPr>
            <w:r w:rsidRPr="00DA5B8F">
              <w:rPr>
                <w:rFonts w:ascii="Times New Roman" w:hAnsi="Times New Roman"/>
              </w:rPr>
              <w:t>-</w:t>
            </w:r>
            <w:r w:rsidRPr="00DA5B8F" w:rsidR="00363CB7">
              <w:rPr>
                <w:rFonts w:ascii="Times New Roman" w:hAnsi="Times New Roman"/>
              </w:rPr>
              <w:t>284</w:t>
            </w:r>
            <w:r w:rsidRPr="00DA5B8F">
              <w:rPr>
                <w:rFonts w:ascii="Times New Roman" w:hAnsi="Times New Roman"/>
              </w:rPr>
              <w:t> </w:t>
            </w:r>
            <w:r w:rsidRPr="00DA5B8F" w:rsidR="00363CB7">
              <w:rPr>
                <w:rFonts w:ascii="Times New Roman" w:hAnsi="Times New Roman"/>
              </w:rPr>
              <w:t>538</w:t>
            </w:r>
            <w:r w:rsidRPr="00DA5B8F">
              <w:rPr>
                <w:rFonts w:ascii="Times New Roman" w:hAnsi="Times New Roman"/>
              </w:rPr>
              <w:t> </w:t>
            </w:r>
            <w:r w:rsidRPr="00DA5B8F" w:rsidR="00363CB7">
              <w:rPr>
                <w:rFonts w:ascii="Times New Roman" w:hAnsi="Times New Roman"/>
              </w:rPr>
              <w:t>310</w:t>
            </w:r>
            <w:r w:rsidRPr="00DA5B8F">
              <w:rPr>
                <w:rFonts w:ascii="Times New Roman" w:hAnsi="Times New Roman"/>
              </w:rPr>
              <w:t>,</w:t>
            </w:r>
            <w:r w:rsidRPr="00DA5B8F" w:rsidR="00363CB7">
              <w:rPr>
                <w:rFonts w:ascii="Times New Roman" w:hAnsi="Times New Roman"/>
              </w:rPr>
              <w:t>51</w:t>
            </w:r>
          </w:p>
        </w:tc>
        <w:tc>
          <w:tcPr>
            <w:tcW w:w="2390" w:type="dxa"/>
            <w:tcBorders>
              <w:top w:val="double" w:sz="4" w:space="0" w:color="999999"/>
              <w:left w:val="nil"/>
              <w:bottom w:val="single" w:sz="4" w:space="0" w:color="999999"/>
              <w:right w:val="nil"/>
            </w:tcBorders>
            <w:textDirection w:val="lrTb"/>
            <w:vAlign w:val="center"/>
          </w:tcPr>
          <w:p w:rsidR="002C3B67" w:rsidRPr="00DA5B8F">
            <w:pPr>
              <w:pStyle w:val="BodyTextIndent2"/>
              <w:bidi w:val="0"/>
              <w:spacing w:before="120" w:line="264" w:lineRule="auto"/>
              <w:ind w:left="0" w:firstLine="0"/>
              <w:jc w:val="center"/>
              <w:rPr>
                <w:rFonts w:ascii="Times New Roman" w:hAnsi="Times New Roman"/>
              </w:rPr>
            </w:pPr>
            <w:r w:rsidRPr="00DA5B8F" w:rsidR="007F3231">
              <w:rPr>
                <w:rFonts w:ascii="Times New Roman" w:hAnsi="Times New Roman"/>
              </w:rPr>
              <w:fldChar w:fldCharType="begin"/>
            </w:r>
            <w:r w:rsidRPr="00DA5B8F" w:rsidR="007F3231">
              <w:rPr>
                <w:rFonts w:ascii="Times New Roman" w:hAnsi="Times New Roman"/>
              </w:rPr>
              <w:instrText xml:space="preserve"> =SUM(LEFT) </w:instrText>
            </w:r>
            <w:r w:rsidRPr="00DA5B8F" w:rsidR="007F3231">
              <w:rPr>
                <w:rFonts w:ascii="Times New Roman" w:hAnsi="Times New Roman"/>
              </w:rPr>
              <w:fldChar w:fldCharType="separate"/>
            </w:r>
            <w:r w:rsidRPr="00DA5B8F" w:rsidR="007F3231">
              <w:rPr>
                <w:rFonts w:ascii="Times New Roman" w:hAnsi="Times New Roman"/>
                <w:noProof/>
              </w:rPr>
              <w:t>85 254 530,57</w:t>
            </w:r>
            <w:r w:rsidRPr="00DA5B8F" w:rsidR="007F3231">
              <w:rPr>
                <w:rFonts w:ascii="Times New Roman" w:hAnsi="Times New Roman"/>
              </w:rPr>
              <w:fldChar w:fldCharType="end"/>
            </w:r>
          </w:p>
        </w:tc>
      </w:tr>
    </w:tbl>
    <w:p w:rsidR="002C3B67" w:rsidRPr="00DA5B8F">
      <w:pPr>
        <w:pStyle w:val="BodyTextIndent2"/>
        <w:bidi w:val="0"/>
        <w:spacing w:before="120" w:line="264" w:lineRule="auto"/>
        <w:ind w:left="0" w:firstLine="0"/>
        <w:rPr>
          <w:rFonts w:ascii="Times New Roman" w:hAnsi="Times New Roman"/>
        </w:rPr>
      </w:pPr>
    </w:p>
    <w:p w:rsidR="002C3B67" w:rsidRPr="00DA5B8F" w:rsidP="00C93F3F">
      <w:pPr>
        <w:pStyle w:val="BodyTextIndent2"/>
        <w:bidi w:val="0"/>
        <w:spacing w:before="120" w:line="264" w:lineRule="auto"/>
        <w:ind w:left="0" w:firstLine="0"/>
        <w:rPr>
          <w:rFonts w:ascii="Times New Roman" w:hAnsi="Times New Roman"/>
        </w:rPr>
      </w:pPr>
      <w:r w:rsidRPr="00DA5B8F">
        <w:rPr>
          <w:rFonts w:ascii="Times New Roman" w:hAnsi="Times New Roman"/>
        </w:rPr>
        <w:t>Na základe uvedeného vykázal fond k 31. 12. 201</w:t>
      </w:r>
      <w:r w:rsidRPr="00DA5B8F" w:rsidR="00384852">
        <w:rPr>
          <w:rFonts w:ascii="Times New Roman" w:hAnsi="Times New Roman"/>
        </w:rPr>
        <w:t>4</w:t>
      </w:r>
      <w:r w:rsidRPr="00DA5B8F">
        <w:rPr>
          <w:rFonts w:ascii="Times New Roman" w:hAnsi="Times New Roman"/>
        </w:rPr>
        <w:t xml:space="preserve"> prebytok peňažných prostriedkov vo výške </w:t>
      </w:r>
      <w:r w:rsidRPr="00DA5B8F" w:rsidR="00384852">
        <w:rPr>
          <w:rFonts w:ascii="Times New Roman" w:hAnsi="Times New Roman"/>
        </w:rPr>
        <w:t>85</w:t>
      </w:r>
      <w:r w:rsidRPr="00DA5B8F">
        <w:rPr>
          <w:rFonts w:ascii="Times New Roman" w:hAnsi="Times New Roman"/>
        </w:rPr>
        <w:t> </w:t>
      </w:r>
      <w:r w:rsidRPr="00DA5B8F" w:rsidR="00384852">
        <w:rPr>
          <w:rFonts w:ascii="Times New Roman" w:hAnsi="Times New Roman"/>
        </w:rPr>
        <w:t>255</w:t>
      </w:r>
      <w:r w:rsidRPr="00DA5B8F">
        <w:rPr>
          <w:rFonts w:ascii="Times New Roman" w:hAnsi="Times New Roman"/>
        </w:rPr>
        <w:t> tis. Eur. Tieto prostriedky budú presunuté do nasledujúceho obdobia. Bez nich by fond nemal dostatok zdrojov na úhradu svojich záväzkov a jeho hospodárenie by mohlo byť deficitné, keďže ďalšie príjmy, aj vzhľadom na pozastavenie privatizácie fond nepredpokladá a možnosti ďalších zdrojov fondu sú obmedzené zákonom o privatizácii, ktorý určuje čo tvorí majetok fondu a zároveň v § 29 ods. 10 nedovoľuje fondu prijímať úvery alebo pôžičky.</w:t>
      </w:r>
      <w:r w:rsidRPr="00DA5B8F" w:rsidR="0068047B">
        <w:rPr>
          <w:rFonts w:ascii="Times New Roman" w:hAnsi="Times New Roman"/>
        </w:rPr>
        <w:t xml:space="preserve"> B</w:t>
      </w:r>
      <w:r w:rsidRPr="00DA5B8F">
        <w:rPr>
          <w:rFonts w:ascii="Times New Roman" w:hAnsi="Times New Roman"/>
        </w:rPr>
        <w:t>ez týchto prostriedkov by fond nemohol realizovať v súlade so zákonom o privatizácii výdavky, ktoré mu vyplývajú z jeho činnosti a pôsobnosti, následkom čoho by mohlo dôjsť k poškodeniu záujmov fondu ako aj verejného záujmu.</w:t>
      </w:r>
    </w:p>
    <w:p w:rsidR="002C3B67" w:rsidRPr="00DA5B8F">
      <w:pPr>
        <w:tabs>
          <w:tab w:val="right" w:pos="9214"/>
        </w:tabs>
        <w:bidi w:val="0"/>
        <w:spacing w:before="480" w:after="120"/>
        <w:ind w:left="284" w:hanging="284"/>
        <w:jc w:val="both"/>
        <w:rPr>
          <w:rFonts w:ascii="Times New Roman" w:hAnsi="Times New Roman"/>
          <w:lang w:val="sk-SK"/>
        </w:rPr>
      </w:pPr>
      <w:r w:rsidRPr="00DA5B8F">
        <w:rPr>
          <w:rFonts w:ascii="Times New Roman" w:hAnsi="Times New Roman"/>
          <w:b/>
          <w:bCs/>
          <w:lang w:val="sk-SK"/>
        </w:rPr>
        <w:t>Bilancia príjmov a výdavkov za rok 201</w:t>
      </w:r>
      <w:r w:rsidRPr="00DA5B8F" w:rsidR="00384852">
        <w:rPr>
          <w:rFonts w:ascii="Times New Roman" w:hAnsi="Times New Roman"/>
          <w:b/>
          <w:bCs/>
          <w:lang w:val="sk-SK"/>
        </w:rPr>
        <w:t>4</w:t>
      </w:r>
      <w:r w:rsidRPr="00DA5B8F">
        <w:rPr>
          <w:rFonts w:ascii="Times New Roman" w:hAnsi="Times New Roman"/>
          <w:lang w:val="sk-SK"/>
        </w:rPr>
        <w:tab/>
        <w:t>(v Eur)</w:t>
      </w:r>
    </w:p>
    <w:tbl>
      <w:tblPr>
        <w:tblStyle w:val="TableNormal"/>
        <w:tblW w:w="0" w:type="auto"/>
        <w:tblBorders>
          <w:top w:val="single" w:sz="4" w:space="0" w:color="999999"/>
          <w:bottom w:val="single" w:sz="4" w:space="0" w:color="999999"/>
          <w:insideH w:val="double" w:sz="4" w:space="0" w:color="999999"/>
        </w:tblBorders>
        <w:tblCellMar>
          <w:top w:w="0" w:type="dxa"/>
          <w:left w:w="70" w:type="dxa"/>
          <w:bottom w:w="0" w:type="dxa"/>
          <w:right w:w="70" w:type="dxa"/>
        </w:tblCellMar>
      </w:tblPr>
      <w:tblGrid>
        <w:gridCol w:w="3189"/>
        <w:gridCol w:w="3188"/>
        <w:gridCol w:w="3181"/>
      </w:tblGrid>
      <w:tr>
        <w:tblPrEx>
          <w:tblW w:w="0" w:type="auto"/>
          <w:tblBorders>
            <w:top w:val="single" w:sz="4" w:space="0" w:color="999999"/>
            <w:bottom w:val="single" w:sz="4" w:space="0" w:color="999999"/>
            <w:insideH w:val="double" w:sz="4" w:space="0" w:color="999999"/>
          </w:tblBorders>
          <w:tblCellMar>
            <w:top w:w="0" w:type="dxa"/>
            <w:left w:w="70" w:type="dxa"/>
            <w:bottom w:w="0" w:type="dxa"/>
            <w:right w:w="70" w:type="dxa"/>
          </w:tblCellMar>
        </w:tblPrEx>
        <w:trPr>
          <w:trHeight w:hRule="exact" w:val="680"/>
        </w:trPr>
        <w:tc>
          <w:tcPr>
            <w:tcW w:w="3289"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Príjmy</w:t>
            </w:r>
          </w:p>
        </w:tc>
        <w:tc>
          <w:tcPr>
            <w:tcW w:w="3289"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Výdavky</w:t>
            </w:r>
          </w:p>
        </w:tc>
        <w:tc>
          <w:tcPr>
            <w:tcW w:w="3289" w:type="dxa"/>
            <w:tcBorders>
              <w:top w:val="single" w:sz="4" w:space="0" w:color="999999"/>
              <w:left w:val="nil"/>
              <w:bottom w:val="double" w:sz="4" w:space="0" w:color="999999"/>
              <w:right w:val="nil"/>
            </w:tcBorders>
            <w:shd w:val="clear" w:color="auto" w:fill="CCCCFF"/>
            <w:textDirection w:val="lrTb"/>
            <w:vAlign w:val="center"/>
          </w:tcPr>
          <w:p w:rsidR="002C3B67" w:rsidRPr="00DA5B8F">
            <w:pPr>
              <w:pStyle w:val="BodyTextIndent2"/>
              <w:bidi w:val="0"/>
              <w:spacing w:before="120" w:line="264" w:lineRule="auto"/>
              <w:ind w:left="0" w:firstLine="0"/>
              <w:jc w:val="center"/>
              <w:rPr>
                <w:rFonts w:ascii="Times New Roman" w:hAnsi="Times New Roman"/>
                <w:b/>
                <w:bCs/>
              </w:rPr>
            </w:pPr>
            <w:r w:rsidRPr="00DA5B8F">
              <w:rPr>
                <w:rFonts w:ascii="Times New Roman" w:hAnsi="Times New Roman"/>
                <w:b/>
                <w:bCs/>
              </w:rPr>
              <w:t>Saldo</w:t>
            </w:r>
          </w:p>
        </w:tc>
      </w:tr>
      <w:tr>
        <w:tblPrEx>
          <w:tblW w:w="0" w:type="auto"/>
          <w:tblCellMar>
            <w:top w:w="0" w:type="dxa"/>
            <w:left w:w="70" w:type="dxa"/>
            <w:bottom w:w="0" w:type="dxa"/>
            <w:right w:w="70" w:type="dxa"/>
          </w:tblCellMar>
        </w:tblPrEx>
        <w:trPr>
          <w:trHeight w:hRule="exact" w:val="680"/>
        </w:trPr>
        <w:tc>
          <w:tcPr>
            <w:tcW w:w="3289" w:type="dxa"/>
            <w:tcBorders>
              <w:top w:val="double" w:sz="4" w:space="0" w:color="999999"/>
              <w:left w:val="nil"/>
              <w:bottom w:val="single" w:sz="4" w:space="0" w:color="999999"/>
              <w:right w:val="nil"/>
            </w:tcBorders>
            <w:textDirection w:val="lrTb"/>
            <w:vAlign w:val="center"/>
          </w:tcPr>
          <w:p w:rsidR="002C3B67" w:rsidRPr="00DA5B8F" w:rsidP="00E71989">
            <w:pPr>
              <w:pStyle w:val="BodyTextIndent2"/>
              <w:bidi w:val="0"/>
              <w:spacing w:before="120" w:line="264" w:lineRule="auto"/>
              <w:ind w:left="0" w:firstLine="0"/>
              <w:jc w:val="center"/>
              <w:rPr>
                <w:rFonts w:ascii="Times New Roman" w:hAnsi="Times New Roman"/>
              </w:rPr>
            </w:pPr>
            <w:r w:rsidRPr="00DA5B8F" w:rsidR="00384852">
              <w:rPr>
                <w:rFonts w:ascii="Times New Roman" w:hAnsi="Times New Roman"/>
              </w:rPr>
              <w:t>267</w:t>
            </w:r>
            <w:r w:rsidRPr="00DA5B8F">
              <w:rPr>
                <w:rFonts w:ascii="Times New Roman" w:hAnsi="Times New Roman"/>
              </w:rPr>
              <w:t> </w:t>
            </w:r>
            <w:r w:rsidRPr="00DA5B8F" w:rsidR="00384852">
              <w:rPr>
                <w:rFonts w:ascii="Times New Roman" w:hAnsi="Times New Roman"/>
              </w:rPr>
              <w:t>309</w:t>
            </w:r>
            <w:r w:rsidRPr="00DA5B8F">
              <w:rPr>
                <w:rFonts w:ascii="Times New Roman" w:hAnsi="Times New Roman"/>
              </w:rPr>
              <w:t> </w:t>
            </w:r>
            <w:r w:rsidRPr="00DA5B8F" w:rsidR="00384852">
              <w:rPr>
                <w:rFonts w:ascii="Times New Roman" w:hAnsi="Times New Roman"/>
              </w:rPr>
              <w:t>044</w:t>
            </w:r>
            <w:r w:rsidRPr="00DA5B8F">
              <w:rPr>
                <w:rFonts w:ascii="Times New Roman" w:hAnsi="Times New Roman"/>
              </w:rPr>
              <w:t>,</w:t>
            </w:r>
            <w:r w:rsidRPr="00DA5B8F" w:rsidR="00384852">
              <w:rPr>
                <w:rFonts w:ascii="Times New Roman" w:hAnsi="Times New Roman"/>
              </w:rPr>
              <w:t>6</w:t>
            </w:r>
            <w:r w:rsidR="00E71989">
              <w:rPr>
                <w:rFonts w:ascii="Times New Roman" w:hAnsi="Times New Roman"/>
              </w:rPr>
              <w:t>5</w:t>
            </w:r>
          </w:p>
        </w:tc>
        <w:tc>
          <w:tcPr>
            <w:tcW w:w="3289" w:type="dxa"/>
            <w:tcBorders>
              <w:top w:val="double" w:sz="4" w:space="0" w:color="999999"/>
              <w:left w:val="nil"/>
              <w:bottom w:val="single" w:sz="4" w:space="0" w:color="999999"/>
              <w:right w:val="nil"/>
            </w:tcBorders>
            <w:textDirection w:val="lrTb"/>
            <w:vAlign w:val="center"/>
          </w:tcPr>
          <w:p w:rsidR="002C3B67" w:rsidRPr="00DA5B8F" w:rsidP="00384852">
            <w:pPr>
              <w:pStyle w:val="BodyTextIndent2"/>
              <w:bidi w:val="0"/>
              <w:spacing w:before="120" w:line="264" w:lineRule="auto"/>
              <w:ind w:left="0" w:firstLine="0"/>
              <w:jc w:val="center"/>
              <w:rPr>
                <w:rFonts w:ascii="Times New Roman" w:hAnsi="Times New Roman"/>
              </w:rPr>
            </w:pPr>
            <w:r w:rsidRPr="00DA5B8F">
              <w:rPr>
                <w:rFonts w:ascii="Times New Roman" w:hAnsi="Times New Roman"/>
              </w:rPr>
              <w:t>-</w:t>
            </w:r>
            <w:r w:rsidRPr="00DA5B8F" w:rsidR="00384852">
              <w:rPr>
                <w:rFonts w:ascii="Times New Roman" w:hAnsi="Times New Roman"/>
              </w:rPr>
              <w:t>284</w:t>
            </w:r>
            <w:r w:rsidRPr="00DA5B8F">
              <w:rPr>
                <w:rFonts w:ascii="Times New Roman" w:hAnsi="Times New Roman"/>
              </w:rPr>
              <w:t> </w:t>
            </w:r>
            <w:r w:rsidRPr="00DA5B8F" w:rsidR="00384852">
              <w:rPr>
                <w:rFonts w:ascii="Times New Roman" w:hAnsi="Times New Roman"/>
              </w:rPr>
              <w:t>538</w:t>
            </w:r>
            <w:r w:rsidRPr="00DA5B8F">
              <w:rPr>
                <w:rFonts w:ascii="Times New Roman" w:hAnsi="Times New Roman"/>
              </w:rPr>
              <w:t> </w:t>
            </w:r>
            <w:r w:rsidRPr="00DA5B8F" w:rsidR="00384852">
              <w:rPr>
                <w:rFonts w:ascii="Times New Roman" w:hAnsi="Times New Roman"/>
              </w:rPr>
              <w:t>310</w:t>
            </w:r>
            <w:r w:rsidRPr="00DA5B8F">
              <w:rPr>
                <w:rFonts w:ascii="Times New Roman" w:hAnsi="Times New Roman"/>
              </w:rPr>
              <w:t>,</w:t>
            </w:r>
            <w:r w:rsidRPr="00DA5B8F" w:rsidR="00384852">
              <w:rPr>
                <w:rFonts w:ascii="Times New Roman" w:hAnsi="Times New Roman"/>
              </w:rPr>
              <w:t>51</w:t>
            </w:r>
          </w:p>
        </w:tc>
        <w:tc>
          <w:tcPr>
            <w:tcW w:w="3289" w:type="dxa"/>
            <w:tcBorders>
              <w:top w:val="double" w:sz="4" w:space="0" w:color="999999"/>
              <w:left w:val="nil"/>
              <w:bottom w:val="single" w:sz="4" w:space="0" w:color="999999"/>
              <w:right w:val="nil"/>
            </w:tcBorders>
            <w:textDirection w:val="lrTb"/>
            <w:vAlign w:val="center"/>
          </w:tcPr>
          <w:p w:rsidR="002C3B67" w:rsidRPr="00DA5B8F">
            <w:pPr>
              <w:pStyle w:val="BodyTextIndent2"/>
              <w:bidi w:val="0"/>
              <w:spacing w:before="120" w:line="264" w:lineRule="auto"/>
              <w:ind w:left="0" w:firstLine="0"/>
              <w:jc w:val="center"/>
              <w:rPr>
                <w:rFonts w:ascii="Times New Roman" w:hAnsi="Times New Roman"/>
              </w:rPr>
            </w:pPr>
            <w:r w:rsidR="00E71989">
              <w:rPr>
                <w:rFonts w:ascii="Times New Roman" w:hAnsi="Times New Roman"/>
              </w:rPr>
              <w:fldChar w:fldCharType="begin"/>
            </w:r>
            <w:r w:rsidR="00E71989">
              <w:rPr>
                <w:rFonts w:ascii="Times New Roman" w:hAnsi="Times New Roman"/>
              </w:rPr>
              <w:instrText xml:space="preserve"> =SUM(LEFT) </w:instrText>
            </w:r>
            <w:r w:rsidR="00E71989">
              <w:rPr>
                <w:rFonts w:ascii="Times New Roman" w:hAnsi="Times New Roman"/>
              </w:rPr>
              <w:fldChar w:fldCharType="separate"/>
            </w:r>
            <w:r w:rsidR="00E71989">
              <w:rPr>
                <w:rFonts w:ascii="Times New Roman" w:hAnsi="Times New Roman"/>
                <w:noProof/>
              </w:rPr>
              <w:t>-17 229 265,86</w:t>
            </w:r>
            <w:r w:rsidR="00E71989">
              <w:rPr>
                <w:rFonts w:ascii="Times New Roman" w:hAnsi="Times New Roman"/>
              </w:rPr>
              <w:fldChar w:fldCharType="end"/>
            </w:r>
          </w:p>
        </w:tc>
      </w:tr>
    </w:tbl>
    <w:p w:rsidR="00EB4F66" w:rsidRPr="00DA5B8F">
      <w:pPr>
        <w:pStyle w:val="Header"/>
        <w:tabs>
          <w:tab w:val="left" w:pos="708"/>
          <w:tab w:val="right" w:pos="9000"/>
        </w:tabs>
        <w:bidi w:val="0"/>
        <w:jc w:val="both"/>
        <w:rPr>
          <w:rFonts w:ascii="Times New Roman" w:hAnsi="Times New Roman"/>
          <w:lang w:val="sk-SK"/>
        </w:rPr>
      </w:pPr>
    </w:p>
    <w:p w:rsidR="00995D93" w:rsidRPr="00DA5B8F" w:rsidP="00EB4F66">
      <w:pPr>
        <w:pStyle w:val="Header"/>
        <w:tabs>
          <w:tab w:val="left" w:pos="708"/>
          <w:tab w:val="right" w:pos="9000"/>
        </w:tabs>
        <w:bidi w:val="0"/>
        <w:jc w:val="both"/>
        <w:rPr>
          <w:rFonts w:ascii="Times New Roman" w:hAnsi="Times New Roman"/>
          <w:lang w:val="sk-SK"/>
        </w:rPr>
      </w:pPr>
    </w:p>
    <w:p w:rsidR="002C3B67" w:rsidRPr="00DA5B8F">
      <w:pPr>
        <w:pStyle w:val="Header"/>
        <w:numPr>
          <w:ilvl w:val="1"/>
          <w:numId w:val="14"/>
        </w:numPr>
        <w:shd w:val="clear" w:color="auto" w:fill="E6E6E6"/>
        <w:tabs>
          <w:tab w:val="clear" w:pos="705"/>
          <w:tab w:val="left" w:pos="708"/>
          <w:tab w:val="clear" w:pos="4703"/>
          <w:tab w:val="clear" w:pos="9406"/>
        </w:tabs>
        <w:bidi w:val="0"/>
        <w:spacing w:before="360" w:after="240"/>
        <w:jc w:val="both"/>
        <w:rPr>
          <w:rFonts w:ascii="Times New Roman" w:hAnsi="Times New Roman"/>
          <w:b/>
          <w:bCs/>
          <w:lang w:val="sk-SK"/>
        </w:rPr>
      </w:pPr>
      <w:bookmarkEnd w:id="8"/>
      <w:r w:rsidRPr="00DA5B8F">
        <w:rPr>
          <w:rFonts w:ascii="Times New Roman" w:hAnsi="Times New Roman"/>
          <w:b/>
          <w:bCs/>
          <w:lang w:val="sk-SK"/>
        </w:rPr>
        <w:t>Stav majetku fondu k 31. 12. 201</w:t>
      </w:r>
      <w:r w:rsidRPr="00DA5B8F" w:rsidR="00C64E64">
        <w:rPr>
          <w:rFonts w:ascii="Times New Roman" w:hAnsi="Times New Roman"/>
          <w:b/>
          <w:bCs/>
          <w:lang w:val="sk-SK"/>
        </w:rPr>
        <w:t>4</w:t>
      </w:r>
    </w:p>
    <w:p w:rsidR="002C3B67" w:rsidRPr="00DA5B8F">
      <w:pPr>
        <w:pStyle w:val="BodyTextIndent2"/>
        <w:bidi w:val="0"/>
        <w:spacing w:before="120" w:line="264" w:lineRule="auto"/>
        <w:ind w:left="0" w:firstLine="0"/>
        <w:rPr>
          <w:rFonts w:ascii="Times New Roman" w:hAnsi="Times New Roman"/>
        </w:rPr>
      </w:pPr>
      <w:r w:rsidRPr="00DA5B8F">
        <w:rPr>
          <w:rFonts w:ascii="Times New Roman" w:hAnsi="Times New Roman"/>
        </w:rPr>
        <w:t>Na základe výsledkov ročnej účtovnej závierky k 31. 12. 201</w:t>
      </w:r>
      <w:r w:rsidRPr="00DA5B8F" w:rsidR="00C64E64">
        <w:rPr>
          <w:rFonts w:ascii="Times New Roman" w:hAnsi="Times New Roman"/>
        </w:rPr>
        <w:t>4</w:t>
      </w:r>
      <w:r w:rsidRPr="00DA5B8F">
        <w:rPr>
          <w:rFonts w:ascii="Times New Roman" w:hAnsi="Times New Roman"/>
        </w:rPr>
        <w:t xml:space="preserve"> stav majetku, jeho štruktúra a zdroje krytia sú nasledovné:</w:t>
      </w:r>
    </w:p>
    <w:p w:rsidR="002C3B67" w:rsidRPr="00DA5B8F">
      <w:pPr>
        <w:bidi w:val="0"/>
        <w:jc w:val="right"/>
        <w:rPr>
          <w:rFonts w:ascii="Times New Roman" w:hAnsi="Times New Roman"/>
          <w:lang w:val="sk-SK"/>
        </w:rPr>
      </w:pPr>
      <w:r w:rsidRPr="00DA5B8F">
        <w:rPr>
          <w:rFonts w:ascii="Times New Roman" w:hAnsi="Times New Roman"/>
          <w:lang w:val="sk-SK"/>
        </w:rPr>
        <w:t>(v Eur)</w:t>
      </w:r>
    </w:p>
    <w:tbl>
      <w:tblPr>
        <w:tblStyle w:val="TableNormal"/>
        <w:tblW w:w="95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Pr>
      <w:tblGrid>
        <w:gridCol w:w="2977"/>
        <w:gridCol w:w="2268"/>
        <w:gridCol w:w="2196"/>
        <w:gridCol w:w="2127"/>
      </w:tblGrid>
      <w:tr>
        <w:tblPrEx>
          <w:tblW w:w="95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PrEx>
        <w:trPr>
          <w:trHeight w:val="340"/>
        </w:trPr>
        <w:tc>
          <w:tcPr>
            <w:tcW w:w="2977" w:type="dxa"/>
            <w:tcBorders>
              <w:top w:val="single" w:sz="4" w:space="0" w:color="999999"/>
              <w:left w:val="nil"/>
              <w:bottom w:val="double" w:sz="6" w:space="0" w:color="999999"/>
              <w:right w:val="nil"/>
            </w:tcBorders>
            <w:shd w:val="clear" w:color="auto" w:fill="CCCCFF"/>
            <w:textDirection w:val="lrTb"/>
            <w:vAlign w:val="center"/>
          </w:tcPr>
          <w:p w:rsidR="00C64E64" w:rsidRPr="00DA5B8F" w:rsidP="00C64E64">
            <w:pPr>
              <w:bidi w:val="0"/>
              <w:spacing w:line="360" w:lineRule="atLeast"/>
              <w:rPr>
                <w:rFonts w:ascii="Times New Roman" w:hAnsi="Times New Roman"/>
                <w:b/>
                <w:bCs/>
                <w:caps/>
                <w:lang w:val="sk-SK"/>
              </w:rPr>
            </w:pPr>
            <w:r w:rsidRPr="00DA5B8F">
              <w:rPr>
                <w:rFonts w:ascii="Times New Roman" w:hAnsi="Times New Roman"/>
                <w:b/>
                <w:bCs/>
                <w:lang w:val="sk-SK"/>
              </w:rPr>
              <w:t>Súvaha k</w:t>
            </w:r>
            <w:r w:rsidRPr="00DA5B8F">
              <w:rPr>
                <w:rFonts w:ascii="Times New Roman" w:hAnsi="Times New Roman"/>
                <w:b/>
                <w:bCs/>
                <w:caps/>
                <w:lang w:val="sk-SK"/>
              </w:rPr>
              <w:t xml:space="preserve"> 31.12.</w:t>
            </w:r>
          </w:p>
        </w:tc>
        <w:tc>
          <w:tcPr>
            <w:tcW w:w="2268" w:type="dxa"/>
            <w:tcBorders>
              <w:top w:val="single" w:sz="4" w:space="0" w:color="999999"/>
              <w:left w:val="nil"/>
              <w:bottom w:val="double" w:sz="6" w:space="0" w:color="999999"/>
              <w:right w:val="nil"/>
            </w:tcBorders>
            <w:shd w:val="clear" w:color="auto" w:fill="CCCCFF"/>
            <w:textDirection w:val="lrTb"/>
            <w:vAlign w:val="center"/>
          </w:tcPr>
          <w:p w:rsidR="00C64E64" w:rsidRPr="00DA5B8F" w:rsidP="00C64E64">
            <w:pPr>
              <w:bidi w:val="0"/>
              <w:spacing w:line="360" w:lineRule="atLeast"/>
              <w:jc w:val="center"/>
              <w:rPr>
                <w:rFonts w:ascii="Times New Roman" w:hAnsi="Times New Roman"/>
                <w:b/>
                <w:bCs/>
                <w:lang w:val="sk-SK"/>
              </w:rPr>
            </w:pPr>
            <w:r w:rsidRPr="00DA5B8F">
              <w:rPr>
                <w:rFonts w:ascii="Times New Roman" w:hAnsi="Times New Roman"/>
                <w:b/>
                <w:bCs/>
                <w:lang w:val="sk-SK"/>
              </w:rPr>
              <w:t>rok 2012</w:t>
            </w:r>
          </w:p>
        </w:tc>
        <w:tc>
          <w:tcPr>
            <w:tcW w:w="2196" w:type="dxa"/>
            <w:tcBorders>
              <w:top w:val="single" w:sz="4" w:space="0" w:color="999999"/>
              <w:left w:val="nil"/>
              <w:bottom w:val="double" w:sz="6" w:space="0" w:color="999999"/>
              <w:right w:val="nil"/>
            </w:tcBorders>
            <w:shd w:val="clear" w:color="auto" w:fill="CCCCFF"/>
            <w:textDirection w:val="lrTb"/>
            <w:vAlign w:val="center"/>
          </w:tcPr>
          <w:p w:rsidR="00C64E64" w:rsidRPr="00DA5B8F" w:rsidP="00C64E64">
            <w:pPr>
              <w:bidi w:val="0"/>
              <w:spacing w:line="360" w:lineRule="atLeast"/>
              <w:jc w:val="center"/>
              <w:rPr>
                <w:rFonts w:ascii="Times New Roman" w:hAnsi="Times New Roman"/>
                <w:b/>
                <w:bCs/>
                <w:lang w:val="sk-SK"/>
              </w:rPr>
            </w:pPr>
            <w:r w:rsidRPr="00DA5B8F">
              <w:rPr>
                <w:rFonts w:ascii="Times New Roman" w:hAnsi="Times New Roman"/>
                <w:b/>
                <w:bCs/>
                <w:lang w:val="sk-SK"/>
              </w:rPr>
              <w:t>rok 2013</w:t>
            </w:r>
          </w:p>
        </w:tc>
        <w:tc>
          <w:tcPr>
            <w:tcW w:w="2127" w:type="dxa"/>
            <w:tcBorders>
              <w:top w:val="single" w:sz="4" w:space="0" w:color="999999"/>
              <w:left w:val="nil"/>
              <w:bottom w:val="double" w:sz="6" w:space="0" w:color="999999"/>
              <w:right w:val="nil"/>
            </w:tcBorders>
            <w:shd w:val="clear" w:color="auto" w:fill="CCCCFF"/>
            <w:textDirection w:val="lrTb"/>
            <w:vAlign w:val="top"/>
          </w:tcPr>
          <w:p w:rsidR="00C64E64" w:rsidRPr="00DA5B8F" w:rsidP="00C64E64">
            <w:pPr>
              <w:bidi w:val="0"/>
              <w:spacing w:line="360" w:lineRule="atLeast"/>
              <w:jc w:val="center"/>
              <w:rPr>
                <w:rFonts w:ascii="Times New Roman" w:hAnsi="Times New Roman"/>
                <w:b/>
                <w:bCs/>
                <w:lang w:val="sk-SK"/>
              </w:rPr>
            </w:pPr>
            <w:r w:rsidRPr="00DA5B8F">
              <w:rPr>
                <w:rFonts w:ascii="Times New Roman" w:hAnsi="Times New Roman"/>
                <w:b/>
                <w:bCs/>
                <w:lang w:val="sk-SK"/>
              </w:rPr>
              <w:t>rok 2014</w:t>
            </w:r>
          </w:p>
        </w:tc>
      </w:tr>
      <w:tr>
        <w:tblPrEx>
          <w:tblW w:w="9568" w:type="dxa"/>
          <w:tblLayout w:type="fixed"/>
          <w:tblCellMar>
            <w:left w:w="70" w:type="dxa"/>
            <w:right w:w="70" w:type="dxa"/>
          </w:tblCellMar>
        </w:tblPrEx>
        <w:trPr>
          <w:trHeight w:val="284"/>
        </w:trPr>
        <w:tc>
          <w:tcPr>
            <w:tcW w:w="2977" w:type="dxa"/>
            <w:tcBorders>
              <w:top w:val="double" w:sz="6" w:space="0" w:color="999999"/>
              <w:left w:val="nil"/>
              <w:bottom w:val="nil"/>
              <w:right w:val="nil"/>
            </w:tcBorders>
            <w:textDirection w:val="lrTb"/>
            <w:vAlign w:val="bottom"/>
          </w:tcPr>
          <w:p w:rsidR="00C64E64" w:rsidRPr="00DA5B8F" w:rsidP="00C64E64">
            <w:pPr>
              <w:pStyle w:val="Heading4"/>
              <w:bidi w:val="0"/>
              <w:spacing w:before="0" w:beforeAutospacing="0" w:after="0" w:afterAutospacing="0" w:line="360" w:lineRule="atLeast"/>
              <w:rPr>
                <w:rFonts w:ascii="Times New Roman" w:hAnsi="Times New Roman"/>
                <w:lang w:val="sk-SK"/>
              </w:rPr>
            </w:pPr>
            <w:r w:rsidRPr="00DA5B8F">
              <w:rPr>
                <w:rFonts w:ascii="Times New Roman" w:hAnsi="Times New Roman" w:hint="default"/>
                <w:lang w:val="sk-SK"/>
              </w:rPr>
              <w:t>AKTÍ</w:t>
            </w:r>
            <w:r w:rsidRPr="00DA5B8F">
              <w:rPr>
                <w:rFonts w:ascii="Times New Roman" w:hAnsi="Times New Roman" w:hint="default"/>
                <w:lang w:val="sk-SK"/>
              </w:rPr>
              <w:t xml:space="preserve">VA SPOLU </w:t>
            </w:r>
            <w:r w:rsidRPr="00DA5B8F">
              <w:rPr>
                <w:rFonts w:ascii="Times New Roman" w:hAnsi="Times New Roman"/>
                <w:b w:val="0"/>
                <w:bCs w:val="0"/>
                <w:lang w:val="sk-SK"/>
              </w:rPr>
              <w:t>v tom:</w:t>
            </w:r>
          </w:p>
        </w:tc>
        <w:tc>
          <w:tcPr>
            <w:tcW w:w="2268" w:type="dxa"/>
            <w:tcBorders>
              <w:top w:val="double" w:sz="6" w:space="0" w:color="999999"/>
              <w:left w:val="nil"/>
              <w:bottom w:val="nil"/>
              <w:right w:val="nil"/>
            </w:tcBorders>
            <w:textDirection w:val="lrTb"/>
            <w:vAlign w:val="center"/>
          </w:tcPr>
          <w:p w:rsidR="00C64E64" w:rsidRPr="00DA5B8F" w:rsidP="00C64E64">
            <w:pPr>
              <w:bidi w:val="0"/>
              <w:spacing w:before="240" w:line="360" w:lineRule="atLeast"/>
              <w:jc w:val="right"/>
              <w:rPr>
                <w:rFonts w:ascii="Times New Roman" w:hAnsi="Times New Roman"/>
                <w:b/>
                <w:bCs/>
                <w:lang w:val="sk-SK"/>
              </w:rPr>
            </w:pPr>
            <w:r w:rsidRPr="00DA5B8F">
              <w:rPr>
                <w:rFonts w:ascii="Times New Roman" w:hAnsi="Times New Roman"/>
                <w:b/>
                <w:bCs/>
                <w:lang w:val="sk-SK"/>
              </w:rPr>
              <w:t>2 482 865 752</w:t>
            </w:r>
          </w:p>
        </w:tc>
        <w:tc>
          <w:tcPr>
            <w:tcW w:w="2196" w:type="dxa"/>
            <w:tcBorders>
              <w:top w:val="double" w:sz="6" w:space="0" w:color="999999"/>
              <w:left w:val="nil"/>
              <w:bottom w:val="nil"/>
              <w:right w:val="nil"/>
            </w:tcBorders>
            <w:textDirection w:val="lrTb"/>
            <w:vAlign w:val="center"/>
          </w:tcPr>
          <w:p w:rsidR="00C64E64" w:rsidRPr="00DA5B8F" w:rsidP="00C64E64">
            <w:pPr>
              <w:bidi w:val="0"/>
              <w:spacing w:before="240" w:line="360" w:lineRule="atLeast"/>
              <w:jc w:val="right"/>
              <w:rPr>
                <w:rFonts w:ascii="Times New Roman" w:hAnsi="Times New Roman"/>
                <w:b/>
                <w:bCs/>
                <w:lang w:val="sk-SK"/>
              </w:rPr>
            </w:pPr>
            <w:r w:rsidRPr="00DA5B8F">
              <w:rPr>
                <w:rFonts w:ascii="Times New Roman" w:hAnsi="Times New Roman"/>
                <w:b/>
                <w:bCs/>
                <w:lang w:val="sk-SK"/>
              </w:rPr>
              <w:t>2 603 792 704</w:t>
            </w:r>
          </w:p>
        </w:tc>
        <w:tc>
          <w:tcPr>
            <w:tcW w:w="2127" w:type="dxa"/>
            <w:tcBorders>
              <w:top w:val="double" w:sz="6" w:space="0" w:color="999999"/>
              <w:left w:val="nil"/>
              <w:bottom w:val="nil"/>
              <w:right w:val="nil"/>
            </w:tcBorders>
            <w:textDirection w:val="lrTb"/>
            <w:vAlign w:val="top"/>
          </w:tcPr>
          <w:p w:rsidR="00C64E64" w:rsidRPr="00DA5B8F" w:rsidP="00C64E64">
            <w:pPr>
              <w:bidi w:val="0"/>
              <w:spacing w:before="240" w:line="360" w:lineRule="atLeast"/>
              <w:jc w:val="right"/>
              <w:rPr>
                <w:rFonts w:ascii="Times New Roman" w:hAnsi="Times New Roman"/>
                <w:b/>
                <w:bCs/>
                <w:lang w:val="sk-SK"/>
              </w:rPr>
            </w:pPr>
            <w:r w:rsidRPr="00DA5B8F">
              <w:rPr>
                <w:rFonts w:ascii="Times New Roman" w:hAnsi="Times New Roman"/>
                <w:b/>
                <w:bCs/>
                <w:lang w:val="sk-SK"/>
              </w:rPr>
              <w:t>655 390 555</w:t>
            </w:r>
          </w:p>
        </w:tc>
      </w:tr>
      <w:tr>
        <w:tblPrEx>
          <w:tblW w:w="9568" w:type="dxa"/>
          <w:tblLayout w:type="fixed"/>
          <w:tblCellMar>
            <w:left w:w="70" w:type="dxa"/>
            <w:right w:w="70" w:type="dxa"/>
          </w:tblCellMar>
        </w:tblPrEx>
        <w:trPr>
          <w:trHeight w:val="284"/>
        </w:trPr>
        <w:tc>
          <w:tcPr>
            <w:tcW w:w="2977" w:type="dxa"/>
            <w:tcBorders>
              <w:top w:val="nil"/>
              <w:left w:val="nil"/>
              <w:bottom w:val="nil"/>
              <w:right w:val="nil"/>
            </w:tcBorders>
            <w:textDirection w:val="lrTb"/>
            <w:vAlign w:val="center"/>
          </w:tcPr>
          <w:p w:rsidR="00C64E64" w:rsidRPr="00DA5B8F" w:rsidP="00C64E64">
            <w:pPr>
              <w:bidi w:val="0"/>
              <w:spacing w:line="360" w:lineRule="atLeast"/>
              <w:ind w:left="470"/>
              <w:rPr>
                <w:rFonts w:ascii="Times New Roman" w:hAnsi="Times New Roman"/>
                <w:lang w:val="sk-SK"/>
              </w:rPr>
            </w:pPr>
            <w:r w:rsidRPr="00DA5B8F">
              <w:rPr>
                <w:rFonts w:ascii="Times New Roman" w:hAnsi="Times New Roman"/>
                <w:lang w:val="sk-SK"/>
              </w:rPr>
              <w:t>1. Neobežný majetok</w:t>
            </w:r>
          </w:p>
        </w:tc>
        <w:tc>
          <w:tcPr>
            <w:tcW w:w="2268" w:type="dxa"/>
            <w:tcBorders>
              <w:top w:val="nil"/>
              <w:left w:val="nil"/>
              <w:bottom w:val="nil"/>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1 435 829 007</w:t>
            </w:r>
          </w:p>
        </w:tc>
        <w:tc>
          <w:tcPr>
            <w:tcW w:w="2196" w:type="dxa"/>
            <w:tcBorders>
              <w:top w:val="nil"/>
              <w:left w:val="nil"/>
              <w:bottom w:val="nil"/>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1 435 688 057</w:t>
            </w:r>
          </w:p>
        </w:tc>
        <w:tc>
          <w:tcPr>
            <w:tcW w:w="2127" w:type="dxa"/>
            <w:tcBorders>
              <w:top w:val="nil"/>
              <w:left w:val="nil"/>
              <w:bottom w:val="nil"/>
              <w:right w:val="nil"/>
            </w:tcBorders>
            <w:textDirection w:val="lrTb"/>
            <w:vAlign w:val="top"/>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132 830 798</w:t>
            </w:r>
          </w:p>
        </w:tc>
      </w:tr>
      <w:tr>
        <w:tblPrEx>
          <w:tblW w:w="9568" w:type="dxa"/>
          <w:tblLayout w:type="fixed"/>
          <w:tblCellMar>
            <w:left w:w="70" w:type="dxa"/>
            <w:right w:w="70" w:type="dxa"/>
          </w:tblCellMar>
        </w:tblPrEx>
        <w:trPr>
          <w:trHeight w:val="284"/>
        </w:trPr>
        <w:tc>
          <w:tcPr>
            <w:tcW w:w="2977" w:type="dxa"/>
            <w:tcBorders>
              <w:top w:val="nil"/>
              <w:left w:val="nil"/>
              <w:bottom w:val="single" w:sz="6" w:space="0" w:color="999999"/>
              <w:right w:val="nil"/>
            </w:tcBorders>
            <w:textDirection w:val="lrTb"/>
            <w:vAlign w:val="center"/>
          </w:tcPr>
          <w:p w:rsidR="00C64E64" w:rsidRPr="00DA5B8F" w:rsidP="00C64E64">
            <w:pPr>
              <w:bidi w:val="0"/>
              <w:spacing w:line="360" w:lineRule="atLeast"/>
              <w:ind w:left="470"/>
              <w:rPr>
                <w:rFonts w:ascii="Times New Roman" w:hAnsi="Times New Roman"/>
                <w:lang w:val="sk-SK"/>
              </w:rPr>
            </w:pPr>
            <w:r w:rsidRPr="00DA5B8F">
              <w:rPr>
                <w:rFonts w:ascii="Times New Roman" w:hAnsi="Times New Roman"/>
                <w:lang w:val="sk-SK"/>
              </w:rPr>
              <w:t>2. Obežný majetok</w:t>
            </w:r>
          </w:p>
        </w:tc>
        <w:tc>
          <w:tcPr>
            <w:tcW w:w="2268" w:type="dxa"/>
            <w:tcBorders>
              <w:top w:val="nil"/>
              <w:left w:val="nil"/>
              <w:bottom w:val="single" w:sz="6" w:space="0" w:color="999999"/>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1 047 036 745</w:t>
            </w:r>
          </w:p>
        </w:tc>
        <w:tc>
          <w:tcPr>
            <w:tcW w:w="2196" w:type="dxa"/>
            <w:tcBorders>
              <w:top w:val="nil"/>
              <w:left w:val="nil"/>
              <w:bottom w:val="single" w:sz="6" w:space="0" w:color="999999"/>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1 168 104 647</w:t>
            </w:r>
          </w:p>
        </w:tc>
        <w:tc>
          <w:tcPr>
            <w:tcW w:w="2127" w:type="dxa"/>
            <w:tcBorders>
              <w:top w:val="nil"/>
              <w:left w:val="nil"/>
              <w:bottom w:val="single" w:sz="6" w:space="0" w:color="999999"/>
              <w:right w:val="nil"/>
            </w:tcBorders>
            <w:textDirection w:val="lrTb"/>
            <w:vAlign w:val="top"/>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522 559 757</w:t>
            </w:r>
          </w:p>
        </w:tc>
      </w:tr>
      <w:tr>
        <w:tblPrEx>
          <w:tblW w:w="9568" w:type="dxa"/>
          <w:tblLayout w:type="fixed"/>
          <w:tblCellMar>
            <w:left w:w="70" w:type="dxa"/>
            <w:right w:w="70" w:type="dxa"/>
          </w:tblCellMar>
        </w:tblPrEx>
        <w:trPr>
          <w:trHeight w:val="299"/>
        </w:trPr>
        <w:tc>
          <w:tcPr>
            <w:tcW w:w="2977" w:type="dxa"/>
            <w:tcBorders>
              <w:top w:val="single" w:sz="6" w:space="0" w:color="999999"/>
              <w:left w:val="nil"/>
              <w:bottom w:val="nil"/>
              <w:right w:val="nil"/>
            </w:tcBorders>
            <w:textDirection w:val="lrTb"/>
            <w:vAlign w:val="bottom"/>
          </w:tcPr>
          <w:p w:rsidR="00C64E64" w:rsidRPr="00DA5B8F" w:rsidP="00C64E64">
            <w:pPr>
              <w:pStyle w:val="Heading4"/>
              <w:bidi w:val="0"/>
              <w:spacing w:before="240" w:beforeAutospacing="0" w:after="0" w:afterAutospacing="0"/>
              <w:rPr>
                <w:rFonts w:ascii="Times New Roman" w:hAnsi="Times New Roman"/>
                <w:lang w:val="sk-SK"/>
              </w:rPr>
            </w:pPr>
            <w:r w:rsidRPr="00DA5B8F">
              <w:rPr>
                <w:rFonts w:ascii="Times New Roman" w:hAnsi="Times New Roman" w:hint="default"/>
                <w:lang w:val="sk-SK"/>
              </w:rPr>
              <w:t>PASÍ</w:t>
            </w:r>
            <w:r w:rsidRPr="00DA5B8F">
              <w:rPr>
                <w:rFonts w:ascii="Times New Roman" w:hAnsi="Times New Roman" w:hint="default"/>
                <w:lang w:val="sk-SK"/>
              </w:rPr>
              <w:t xml:space="preserve">VA SPOLU </w:t>
            </w:r>
            <w:r w:rsidRPr="00DA5B8F">
              <w:rPr>
                <w:rFonts w:ascii="Times New Roman" w:hAnsi="Times New Roman"/>
                <w:b w:val="0"/>
                <w:bCs w:val="0"/>
                <w:lang w:val="sk-SK"/>
              </w:rPr>
              <w:t>v tom</w:t>
            </w:r>
            <w:r w:rsidRPr="00DA5B8F">
              <w:rPr>
                <w:rFonts w:ascii="Times New Roman" w:hAnsi="Times New Roman"/>
                <w:b w:val="0"/>
                <w:bCs w:val="0"/>
                <w:lang w:val="sk-SK"/>
              </w:rPr>
              <w:t>:</w:t>
            </w:r>
          </w:p>
        </w:tc>
        <w:tc>
          <w:tcPr>
            <w:tcW w:w="2268" w:type="dxa"/>
            <w:tcBorders>
              <w:top w:val="single" w:sz="6" w:space="0" w:color="999999"/>
              <w:left w:val="nil"/>
              <w:bottom w:val="nil"/>
              <w:right w:val="nil"/>
            </w:tcBorders>
            <w:textDirection w:val="lrTb"/>
            <w:vAlign w:val="center"/>
          </w:tcPr>
          <w:p w:rsidR="00C64E64" w:rsidRPr="00DA5B8F" w:rsidP="00C64E64">
            <w:pPr>
              <w:bidi w:val="0"/>
              <w:spacing w:before="240" w:line="360" w:lineRule="atLeast"/>
              <w:jc w:val="right"/>
              <w:rPr>
                <w:rFonts w:ascii="Times New Roman" w:hAnsi="Times New Roman"/>
                <w:b/>
                <w:bCs/>
                <w:lang w:val="sk-SK"/>
              </w:rPr>
            </w:pPr>
            <w:r w:rsidRPr="00DA5B8F">
              <w:rPr>
                <w:rFonts w:ascii="Times New Roman" w:hAnsi="Times New Roman"/>
                <w:b/>
                <w:bCs/>
                <w:lang w:val="sk-SK"/>
              </w:rPr>
              <w:t>2 482 865 752</w:t>
            </w:r>
          </w:p>
        </w:tc>
        <w:tc>
          <w:tcPr>
            <w:tcW w:w="2196" w:type="dxa"/>
            <w:tcBorders>
              <w:top w:val="single" w:sz="6" w:space="0" w:color="999999"/>
              <w:left w:val="nil"/>
              <w:bottom w:val="nil"/>
              <w:right w:val="nil"/>
            </w:tcBorders>
            <w:textDirection w:val="lrTb"/>
            <w:vAlign w:val="center"/>
          </w:tcPr>
          <w:p w:rsidR="00C64E64" w:rsidRPr="00DA5B8F" w:rsidP="00C64E64">
            <w:pPr>
              <w:bidi w:val="0"/>
              <w:spacing w:before="240" w:line="360" w:lineRule="atLeast"/>
              <w:jc w:val="right"/>
              <w:rPr>
                <w:rFonts w:ascii="Times New Roman" w:hAnsi="Times New Roman"/>
                <w:b/>
                <w:bCs/>
                <w:lang w:val="sk-SK"/>
              </w:rPr>
            </w:pPr>
            <w:r w:rsidRPr="00DA5B8F">
              <w:rPr>
                <w:rFonts w:ascii="Times New Roman" w:hAnsi="Times New Roman"/>
                <w:b/>
                <w:bCs/>
                <w:lang w:val="sk-SK"/>
              </w:rPr>
              <w:t>2 603 792 704</w:t>
            </w:r>
          </w:p>
        </w:tc>
        <w:tc>
          <w:tcPr>
            <w:tcW w:w="2127" w:type="dxa"/>
            <w:tcBorders>
              <w:top w:val="single" w:sz="6" w:space="0" w:color="999999"/>
              <w:left w:val="nil"/>
              <w:bottom w:val="nil"/>
              <w:right w:val="nil"/>
            </w:tcBorders>
            <w:textDirection w:val="lrTb"/>
            <w:vAlign w:val="top"/>
          </w:tcPr>
          <w:p w:rsidR="00C64E64" w:rsidRPr="00DA5B8F" w:rsidP="00C64E64">
            <w:pPr>
              <w:bidi w:val="0"/>
              <w:spacing w:before="240" w:line="360" w:lineRule="atLeast"/>
              <w:jc w:val="right"/>
              <w:rPr>
                <w:rFonts w:ascii="Times New Roman" w:hAnsi="Times New Roman"/>
                <w:b/>
                <w:bCs/>
                <w:lang w:val="sk-SK"/>
              </w:rPr>
            </w:pPr>
            <w:r w:rsidRPr="00DA5B8F">
              <w:rPr>
                <w:rFonts w:ascii="Times New Roman" w:hAnsi="Times New Roman"/>
                <w:b/>
                <w:bCs/>
                <w:lang w:val="sk-SK"/>
              </w:rPr>
              <w:t>655 390 555</w:t>
            </w:r>
          </w:p>
        </w:tc>
      </w:tr>
      <w:tr>
        <w:tblPrEx>
          <w:tblW w:w="9568" w:type="dxa"/>
          <w:tblLayout w:type="fixed"/>
          <w:tblCellMar>
            <w:left w:w="70" w:type="dxa"/>
            <w:right w:w="70" w:type="dxa"/>
          </w:tblCellMar>
        </w:tblPrEx>
        <w:trPr>
          <w:trHeight w:val="340"/>
        </w:trPr>
        <w:tc>
          <w:tcPr>
            <w:tcW w:w="2977" w:type="dxa"/>
            <w:tcBorders>
              <w:top w:val="nil"/>
              <w:left w:val="nil"/>
              <w:bottom w:val="nil"/>
              <w:right w:val="nil"/>
            </w:tcBorders>
            <w:textDirection w:val="lrTb"/>
            <w:vAlign w:val="center"/>
          </w:tcPr>
          <w:p w:rsidR="00C64E64" w:rsidRPr="00DA5B8F" w:rsidP="00C64E64">
            <w:pPr>
              <w:bidi w:val="0"/>
              <w:spacing w:line="360" w:lineRule="atLeast"/>
              <w:ind w:left="470"/>
              <w:rPr>
                <w:rFonts w:ascii="Times New Roman" w:hAnsi="Times New Roman"/>
                <w:lang w:val="sk-SK"/>
              </w:rPr>
            </w:pPr>
            <w:r w:rsidRPr="00DA5B8F">
              <w:rPr>
                <w:rFonts w:ascii="Times New Roman" w:hAnsi="Times New Roman"/>
                <w:lang w:val="sk-SK"/>
              </w:rPr>
              <w:t>1. Vlastné imanie</w:t>
            </w:r>
          </w:p>
        </w:tc>
        <w:tc>
          <w:tcPr>
            <w:tcW w:w="2268" w:type="dxa"/>
            <w:tcBorders>
              <w:top w:val="nil"/>
              <w:left w:val="nil"/>
              <w:bottom w:val="nil"/>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2 462 553 739</w:t>
            </w:r>
          </w:p>
        </w:tc>
        <w:tc>
          <w:tcPr>
            <w:tcW w:w="2196" w:type="dxa"/>
            <w:tcBorders>
              <w:top w:val="nil"/>
              <w:left w:val="nil"/>
              <w:bottom w:val="nil"/>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2 584 398 298</w:t>
            </w:r>
          </w:p>
        </w:tc>
        <w:tc>
          <w:tcPr>
            <w:tcW w:w="2127" w:type="dxa"/>
            <w:tcBorders>
              <w:top w:val="nil"/>
              <w:left w:val="nil"/>
              <w:bottom w:val="nil"/>
              <w:right w:val="nil"/>
            </w:tcBorders>
            <w:textDirection w:val="lrTb"/>
            <w:vAlign w:val="top"/>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637 965 592</w:t>
            </w:r>
          </w:p>
        </w:tc>
      </w:tr>
      <w:tr>
        <w:tblPrEx>
          <w:tblW w:w="9568" w:type="dxa"/>
          <w:tblLayout w:type="fixed"/>
          <w:tblCellMar>
            <w:left w:w="70" w:type="dxa"/>
            <w:right w:w="70" w:type="dxa"/>
          </w:tblCellMar>
        </w:tblPrEx>
        <w:trPr>
          <w:trHeight w:val="340"/>
        </w:trPr>
        <w:tc>
          <w:tcPr>
            <w:tcW w:w="2977" w:type="dxa"/>
            <w:tcBorders>
              <w:top w:val="nil"/>
              <w:left w:val="nil"/>
              <w:bottom w:val="single" w:sz="6" w:space="0" w:color="999999"/>
              <w:right w:val="nil"/>
            </w:tcBorders>
            <w:textDirection w:val="lrTb"/>
            <w:vAlign w:val="center"/>
          </w:tcPr>
          <w:p w:rsidR="00C64E64" w:rsidRPr="00DA5B8F" w:rsidP="00C64E64">
            <w:pPr>
              <w:bidi w:val="0"/>
              <w:spacing w:line="360" w:lineRule="atLeast"/>
              <w:ind w:left="470"/>
              <w:rPr>
                <w:rFonts w:ascii="Times New Roman" w:hAnsi="Times New Roman"/>
                <w:lang w:val="sk-SK"/>
              </w:rPr>
            </w:pPr>
            <w:r w:rsidRPr="00DA5B8F">
              <w:rPr>
                <w:rFonts w:ascii="Times New Roman" w:hAnsi="Times New Roman"/>
                <w:lang w:val="sk-SK"/>
              </w:rPr>
              <w:t>2. Záväzky</w:t>
            </w:r>
          </w:p>
        </w:tc>
        <w:tc>
          <w:tcPr>
            <w:tcW w:w="2268" w:type="dxa"/>
            <w:tcBorders>
              <w:top w:val="nil"/>
              <w:left w:val="nil"/>
              <w:bottom w:val="single" w:sz="6" w:space="0" w:color="999999"/>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20 312 013</w:t>
            </w:r>
          </w:p>
        </w:tc>
        <w:tc>
          <w:tcPr>
            <w:tcW w:w="2196" w:type="dxa"/>
            <w:tcBorders>
              <w:top w:val="nil"/>
              <w:left w:val="nil"/>
              <w:bottom w:val="single" w:sz="6" w:space="0" w:color="999999"/>
              <w:right w:val="nil"/>
            </w:tcBorders>
            <w:textDirection w:val="lrTb"/>
            <w:vAlign w:val="center"/>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19 394 406</w:t>
            </w:r>
          </w:p>
        </w:tc>
        <w:tc>
          <w:tcPr>
            <w:tcW w:w="2127" w:type="dxa"/>
            <w:tcBorders>
              <w:top w:val="nil"/>
              <w:left w:val="nil"/>
              <w:bottom w:val="single" w:sz="6" w:space="0" w:color="999999"/>
              <w:right w:val="nil"/>
            </w:tcBorders>
            <w:textDirection w:val="lrTb"/>
            <w:vAlign w:val="top"/>
          </w:tcPr>
          <w:p w:rsidR="00C64E64" w:rsidRPr="00DA5B8F" w:rsidP="00C64E64">
            <w:pPr>
              <w:bidi w:val="0"/>
              <w:spacing w:line="360" w:lineRule="atLeast"/>
              <w:jc w:val="right"/>
              <w:rPr>
                <w:rFonts w:ascii="Times New Roman" w:hAnsi="Times New Roman"/>
                <w:lang w:val="sk-SK"/>
              </w:rPr>
            </w:pPr>
            <w:r w:rsidRPr="00DA5B8F">
              <w:rPr>
                <w:rFonts w:ascii="Times New Roman" w:hAnsi="Times New Roman"/>
                <w:lang w:val="sk-SK"/>
              </w:rPr>
              <w:t>17 424 963</w:t>
            </w:r>
          </w:p>
        </w:tc>
      </w:tr>
    </w:tbl>
    <w:p w:rsidR="002C3B67" w:rsidRPr="00DA5B8F">
      <w:pPr>
        <w:pStyle w:val="Header"/>
        <w:tabs>
          <w:tab w:val="clear" w:pos="4703"/>
          <w:tab w:val="clear" w:pos="9406"/>
        </w:tabs>
        <w:bidi w:val="0"/>
        <w:rPr>
          <w:rFonts w:ascii="Times New Roman" w:hAnsi="Times New Roman"/>
          <w:lang w:val="sk-SK"/>
        </w:rPr>
      </w:pPr>
    </w:p>
    <w:p w:rsidR="002C3B67" w:rsidRPr="00DA5B8F">
      <w:pPr>
        <w:numPr>
          <w:numId w:val="3"/>
        </w:numPr>
        <w:tabs>
          <w:tab w:val="num" w:pos="0"/>
          <w:tab w:val="clear" w:pos="720"/>
        </w:tabs>
        <w:bidi w:val="0"/>
        <w:ind w:left="0" w:firstLine="0"/>
        <w:rPr>
          <w:rFonts w:ascii="Times New Roman" w:hAnsi="Times New Roman"/>
          <w:b/>
          <w:bCs/>
          <w:caps/>
          <w:lang w:val="sk-SK"/>
        </w:rPr>
      </w:pPr>
      <w:r w:rsidRPr="00DA5B8F">
        <w:rPr>
          <w:rFonts w:ascii="Times New Roman" w:hAnsi="Times New Roman"/>
          <w:b/>
          <w:bCs/>
          <w:smallCaps/>
          <w:lang w:val="sk-SK"/>
        </w:rPr>
        <w:br w:type="page"/>
      </w:r>
      <w:r w:rsidRPr="00DA5B8F">
        <w:rPr>
          <w:rFonts w:ascii="Times New Roman" w:hAnsi="Times New Roman"/>
          <w:b/>
          <w:bCs/>
          <w:caps/>
          <w:lang w:val="sk-SK"/>
        </w:rPr>
        <w:t>Personálne otázky</w:t>
      </w:r>
    </w:p>
    <w:p w:rsidR="0060508E" w:rsidRPr="00DA5B8F" w:rsidP="006A50A6">
      <w:pPr>
        <w:pStyle w:val="Heading1"/>
        <w:bidi w:val="0"/>
        <w:spacing w:before="240"/>
        <w:rPr>
          <w:rFonts w:ascii="Times New Roman" w:eastAsia="Arial Unicode MS" w:hAnsi="Times New Roman"/>
          <w:lang w:val="sk-SK"/>
        </w:rPr>
      </w:pPr>
      <w:r w:rsidRPr="00DA5B8F">
        <w:rPr>
          <w:rFonts w:ascii="Times New Roman" w:hAnsi="Times New Roman"/>
          <w:b/>
          <w:bCs/>
          <w:i w:val="0"/>
          <w:iCs w:val="0"/>
          <w:lang w:val="sk-SK"/>
        </w:rPr>
        <w:t>Počet a štruktúra funkčných miest zamestnancov FNM SR</w:t>
      </w:r>
    </w:p>
    <w:p w:rsidR="0060508E" w:rsidRPr="00DA5B8F" w:rsidP="00C93F3F">
      <w:pPr>
        <w:pStyle w:val="BodyTextIndent1"/>
        <w:tabs>
          <w:tab w:val="num" w:pos="0"/>
          <w:tab w:val="clear" w:pos="540"/>
        </w:tabs>
        <w:overflowPunct/>
        <w:autoSpaceDE/>
        <w:autoSpaceDN/>
        <w:bidi w:val="0"/>
        <w:adjustRightInd/>
        <w:spacing w:line="264" w:lineRule="auto"/>
        <w:rPr>
          <w:rFonts w:ascii="Times New Roman" w:hAnsi="Times New Roman"/>
        </w:rPr>
      </w:pPr>
      <w:r w:rsidRPr="00DA5B8F">
        <w:rPr>
          <w:rFonts w:ascii="Times New Roman" w:hAnsi="Times New Roman"/>
        </w:rPr>
        <w:t>Skutočný počet funkčných miest k 31. 12. 2014 bol 35. V porovnaní s rokom 2013 zostal počet funkčných miest nezmenený. Počet zamestnancov pri výkone práce vo verejnom záujme bol 4. V mimoevidenčnom stave z dôvodu čerpania rodičovskej dovolenky boli k 31. 12. 2014 zaradené 2 zamestnankyne.</w:t>
      </w:r>
    </w:p>
    <w:p w:rsidR="0060508E" w:rsidRPr="00C93F3F" w:rsidP="006A50A6">
      <w:pPr>
        <w:tabs>
          <w:tab w:val="right" w:pos="9214"/>
        </w:tabs>
        <w:bidi w:val="0"/>
        <w:spacing w:before="240" w:after="120"/>
        <w:ind w:left="284" w:hanging="284"/>
        <w:jc w:val="both"/>
        <w:rPr>
          <w:rFonts w:ascii="Times New Roman" w:hAnsi="Times New Roman"/>
          <w:b/>
          <w:bCs/>
          <w:lang w:val="sk-SK"/>
        </w:rPr>
      </w:pPr>
      <w:r w:rsidRPr="00C93F3F">
        <w:rPr>
          <w:rFonts w:ascii="Times New Roman" w:hAnsi="Times New Roman"/>
          <w:b/>
          <w:bCs/>
          <w:lang w:val="sk-SK"/>
        </w:rPr>
        <w:t>Počet riadiacich funkcií k 31. 12. 2014</w:t>
      </w:r>
    </w:p>
    <w:tbl>
      <w:tblPr>
        <w:tblStyle w:val="TableNormal"/>
        <w:tblW w:w="9433" w:type="dxa"/>
        <w:tblInd w:w="15" w:type="dxa"/>
        <w:tblCellMar>
          <w:left w:w="0" w:type="dxa"/>
          <w:right w:w="0" w:type="dxa"/>
        </w:tblCellMar>
      </w:tblPr>
      <w:tblGrid>
        <w:gridCol w:w="1496"/>
        <w:gridCol w:w="1765"/>
        <w:gridCol w:w="2126"/>
        <w:gridCol w:w="4046"/>
      </w:tblGrid>
      <w:tr>
        <w:tblPrEx>
          <w:tblW w:w="9433" w:type="dxa"/>
          <w:tblInd w:w="15" w:type="dxa"/>
          <w:tblCellMar>
            <w:left w:w="0" w:type="dxa"/>
            <w:right w:w="0" w:type="dxa"/>
          </w:tblCellMar>
        </w:tblPrEx>
        <w:trPr>
          <w:trHeight w:val="660"/>
        </w:trPr>
        <w:tc>
          <w:tcPr>
            <w:tcW w:w="1496"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CD1D21" w:rsidRPr="00DA5B8F" w:rsidP="002C3B67">
            <w:pPr>
              <w:pStyle w:val="Heading3"/>
              <w:bidi w:val="0"/>
              <w:jc w:val="center"/>
              <w:rPr>
                <w:rFonts w:ascii="Times New Roman" w:hAnsi="Times New Roman" w:hint="default"/>
              </w:rPr>
            </w:pPr>
            <w:r w:rsidRPr="00DA5B8F">
              <w:rPr>
                <w:rFonts w:ascii="Times New Roman" w:hAnsi="Times New Roman" w:hint="default"/>
              </w:rPr>
              <w:t>Stupeň</w:t>
            </w:r>
          </w:p>
        </w:tc>
        <w:tc>
          <w:tcPr>
            <w:tcW w:w="1765" w:type="dxa"/>
            <w:tcBorders>
              <w:top w:val="single" w:sz="4" w:space="0" w:color="A6A6A6"/>
              <w:left w:val="nil"/>
              <w:bottom w:val="double" w:sz="4" w:space="0" w:color="A6A6A6"/>
              <w:right w:val="nil"/>
            </w:tcBorders>
            <w:shd w:val="clear" w:color="auto" w:fill="CCCCFF"/>
            <w:textDirection w:val="lrTb"/>
            <w:vAlign w:val="top"/>
          </w:tcPr>
          <w:p w:rsidR="00CD1D21" w:rsidRPr="00DA5B8F" w:rsidP="002C3B67">
            <w:pPr>
              <w:pStyle w:val="Heading3"/>
              <w:bidi w:val="0"/>
              <w:jc w:val="center"/>
              <w:rPr>
                <w:rFonts w:ascii="Times New Roman" w:hAnsi="Times New Roman" w:hint="default"/>
              </w:rPr>
            </w:pPr>
          </w:p>
        </w:tc>
        <w:tc>
          <w:tcPr>
            <w:tcW w:w="2126" w:type="dxa"/>
            <w:tcBorders>
              <w:top w:val="single" w:sz="4" w:space="0" w:color="A6A6A6"/>
              <w:left w:val="nil"/>
              <w:bottom w:val="double" w:sz="4" w:space="0" w:color="A6A6A6"/>
              <w:right w:val="nil"/>
            </w:tcBorders>
            <w:shd w:val="clear" w:color="auto" w:fill="CCCCFF"/>
            <w:textDirection w:val="lrTb"/>
            <w:vAlign w:val="center"/>
          </w:tcPr>
          <w:p w:rsidR="00CD1D21" w:rsidRPr="00DA5B8F" w:rsidP="002C3B67">
            <w:pPr>
              <w:pStyle w:val="Heading3"/>
              <w:bidi w:val="0"/>
              <w:jc w:val="center"/>
              <w:rPr>
                <w:rFonts w:ascii="Times New Roman" w:hAnsi="Times New Roman" w:hint="default"/>
              </w:rPr>
            </w:pPr>
            <w:r w:rsidRPr="00DA5B8F">
              <w:rPr>
                <w:rFonts w:ascii="Times New Roman" w:hAnsi="Times New Roman" w:hint="default"/>
              </w:rPr>
              <w:t>Poč</w:t>
            </w:r>
            <w:r w:rsidRPr="00DA5B8F">
              <w:rPr>
                <w:rFonts w:ascii="Times New Roman" w:hAnsi="Times New Roman" w:hint="default"/>
              </w:rPr>
              <w:t>et</w:t>
            </w:r>
          </w:p>
        </w:tc>
        <w:tc>
          <w:tcPr>
            <w:tcW w:w="4046"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CD1D21" w:rsidRPr="00DA5B8F" w:rsidP="002C3B67">
            <w:pPr>
              <w:bidi w:val="0"/>
              <w:jc w:val="center"/>
              <w:rPr>
                <w:rFonts w:ascii="Times New Roman" w:eastAsia="Arial Unicode MS" w:hAnsi="Times New Roman"/>
                <w:b/>
                <w:bCs/>
                <w:lang w:val="sk-SK"/>
              </w:rPr>
            </w:pPr>
            <w:r w:rsidRPr="00DA5B8F">
              <w:rPr>
                <w:rFonts w:ascii="Times New Roman" w:eastAsia="Arial Unicode MS" w:hAnsi="Times New Roman"/>
                <w:b/>
                <w:bCs/>
                <w:lang w:val="sk-SK"/>
              </w:rPr>
              <w:t>Funkcia</w:t>
            </w:r>
          </w:p>
        </w:tc>
      </w:tr>
      <w:tr>
        <w:tblPrEx>
          <w:tblW w:w="9433" w:type="dxa"/>
          <w:tblInd w:w="15" w:type="dxa"/>
          <w:tblCellMar>
            <w:left w:w="0" w:type="dxa"/>
            <w:right w:w="0" w:type="dxa"/>
          </w:tblCellMar>
        </w:tblPrEx>
        <w:trPr>
          <w:trHeight w:val="300"/>
        </w:trPr>
        <w:tc>
          <w:tcPr>
            <w:tcW w:w="1496" w:type="dxa"/>
            <w:tcBorders>
              <w:top w:val="doub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CD1D21" w:rsidRPr="00DA5B8F" w:rsidP="002C3B67">
            <w:pPr>
              <w:bidi w:val="0"/>
              <w:jc w:val="center"/>
              <w:rPr>
                <w:rFonts w:ascii="Times New Roman" w:eastAsia="Arial Unicode MS" w:hAnsi="Times New Roman" w:hint="default"/>
                <w:lang w:val="sk-SK"/>
              </w:rPr>
            </w:pPr>
            <w:r w:rsidRPr="00DA5B8F">
              <w:rPr>
                <w:rFonts w:ascii="Times New Roman" w:eastAsia="Arial Unicode MS" w:hAnsi="Times New Roman" w:hint="default"/>
                <w:lang w:val="sk-SK"/>
              </w:rPr>
              <w:t>1. stupeň</w:t>
            </w:r>
          </w:p>
        </w:tc>
        <w:tc>
          <w:tcPr>
            <w:tcW w:w="1765" w:type="dxa"/>
            <w:tcBorders>
              <w:top w:val="double" w:sz="4" w:space="0" w:color="A6A6A6"/>
              <w:left w:val="none" w:sz="0" w:space="0" w:color="auto"/>
              <w:bottom w:val="single" w:sz="4" w:space="0" w:color="A6A6A6"/>
              <w:right w:val="none" w:sz="0" w:space="0" w:color="auto"/>
            </w:tcBorders>
            <w:textDirection w:val="lrTb"/>
            <w:vAlign w:val="top"/>
          </w:tcPr>
          <w:p w:rsidR="00CD1D21" w:rsidRPr="00DA5B8F" w:rsidP="002C3B67">
            <w:pPr>
              <w:bidi w:val="0"/>
              <w:jc w:val="center"/>
              <w:rPr>
                <w:rFonts w:ascii="Times New Roman" w:hAnsi="Times New Roman"/>
                <w:bCs/>
                <w:lang w:val="sk-SK"/>
              </w:rPr>
            </w:pPr>
          </w:p>
        </w:tc>
        <w:tc>
          <w:tcPr>
            <w:tcW w:w="2126" w:type="dxa"/>
            <w:tcBorders>
              <w:top w:val="double" w:sz="4" w:space="0" w:color="A6A6A6"/>
              <w:left w:val="none" w:sz="0" w:space="0" w:color="auto"/>
              <w:bottom w:val="single" w:sz="4" w:space="0" w:color="A6A6A6"/>
              <w:right w:val="none" w:sz="0" w:space="0" w:color="auto"/>
            </w:tcBorders>
            <w:textDirection w:val="lrTb"/>
            <w:vAlign w:val="top"/>
          </w:tcPr>
          <w:p w:rsidR="00CD1D21" w:rsidRPr="00DA5B8F" w:rsidP="002C3B67">
            <w:pPr>
              <w:bidi w:val="0"/>
              <w:jc w:val="center"/>
              <w:rPr>
                <w:rFonts w:ascii="Times New Roman" w:hAnsi="Times New Roman"/>
                <w:bCs/>
                <w:lang w:val="sk-SK"/>
              </w:rPr>
            </w:pPr>
            <w:r w:rsidRPr="00DA5B8F">
              <w:rPr>
                <w:rFonts w:ascii="Times New Roman" w:hAnsi="Times New Roman"/>
                <w:bCs/>
                <w:lang w:val="sk-SK"/>
              </w:rPr>
              <w:t>1</w:t>
            </w:r>
          </w:p>
        </w:tc>
        <w:tc>
          <w:tcPr>
            <w:tcW w:w="4046" w:type="dxa"/>
            <w:tcBorders>
              <w:top w:val="doub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CD1D21" w:rsidRPr="00DA5B8F" w:rsidP="0060508E">
            <w:pPr>
              <w:bidi w:val="0"/>
              <w:rPr>
                <w:rFonts w:ascii="Times New Roman" w:eastAsia="Arial Unicode MS" w:hAnsi="Times New Roman" w:hint="default"/>
                <w:bCs/>
                <w:lang w:val="sk-SK"/>
              </w:rPr>
            </w:pPr>
            <w:r w:rsidRPr="00DA5B8F">
              <w:rPr>
                <w:rFonts w:ascii="Times New Roman" w:eastAsia="Arial Unicode MS" w:hAnsi="Times New Roman" w:hint="default"/>
                <w:bCs/>
                <w:lang w:val="sk-SK"/>
              </w:rPr>
              <w:t>predseda vý</w:t>
            </w:r>
            <w:r w:rsidRPr="00DA5B8F">
              <w:rPr>
                <w:rFonts w:ascii="Times New Roman" w:eastAsia="Arial Unicode MS" w:hAnsi="Times New Roman" w:hint="default"/>
                <w:bCs/>
                <w:lang w:val="sk-SK"/>
              </w:rPr>
              <w:t>konné</w:t>
            </w:r>
            <w:r w:rsidRPr="00DA5B8F">
              <w:rPr>
                <w:rFonts w:ascii="Times New Roman" w:eastAsia="Arial Unicode MS" w:hAnsi="Times New Roman" w:hint="default"/>
                <w:bCs/>
                <w:lang w:val="sk-SK"/>
              </w:rPr>
              <w:t>ho vý</w:t>
            </w:r>
            <w:r w:rsidRPr="00DA5B8F">
              <w:rPr>
                <w:rFonts w:ascii="Times New Roman" w:eastAsia="Arial Unicode MS" w:hAnsi="Times New Roman" w:hint="default"/>
                <w:bCs/>
                <w:lang w:val="sk-SK"/>
              </w:rPr>
              <w:t>boru Fondu</w:t>
            </w:r>
          </w:p>
        </w:tc>
      </w:tr>
      <w:tr>
        <w:tblPrEx>
          <w:tblW w:w="9433" w:type="dxa"/>
          <w:tblInd w:w="15" w:type="dxa"/>
          <w:tblCellMar>
            <w:left w:w="0" w:type="dxa"/>
            <w:right w:w="0" w:type="dxa"/>
          </w:tblCellMar>
        </w:tblPrEx>
        <w:trPr>
          <w:trHeight w:val="300"/>
        </w:trPr>
        <w:tc>
          <w:tcPr>
            <w:tcW w:w="1496"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top"/>
          </w:tcPr>
          <w:p w:rsidR="00CD1D21" w:rsidRPr="00DA5B8F" w:rsidP="00C93F3F">
            <w:pPr>
              <w:bidi w:val="0"/>
              <w:jc w:val="center"/>
              <w:rPr>
                <w:rFonts w:ascii="Times New Roman" w:eastAsia="Arial Unicode MS" w:hAnsi="Times New Roman" w:hint="default"/>
                <w:lang w:val="sk-SK"/>
              </w:rPr>
            </w:pPr>
            <w:r w:rsidRPr="00DA5B8F">
              <w:rPr>
                <w:rFonts w:ascii="Times New Roman" w:eastAsia="Arial Unicode MS" w:hAnsi="Times New Roman" w:hint="default"/>
                <w:lang w:val="sk-SK"/>
              </w:rPr>
              <w:t>2. stupeň</w:t>
            </w:r>
          </w:p>
        </w:tc>
        <w:tc>
          <w:tcPr>
            <w:tcW w:w="1765" w:type="dxa"/>
            <w:tcBorders>
              <w:top w:val="single" w:sz="4" w:space="0" w:color="A6A6A6"/>
              <w:left w:val="none" w:sz="0" w:space="0" w:color="auto"/>
              <w:bottom w:val="single" w:sz="4" w:space="0" w:color="A6A6A6"/>
              <w:right w:val="none" w:sz="0" w:space="0" w:color="auto"/>
            </w:tcBorders>
            <w:textDirection w:val="lrTb"/>
            <w:vAlign w:val="top"/>
          </w:tcPr>
          <w:p w:rsidR="00CD1D21" w:rsidRPr="00DA5B8F" w:rsidP="002C3B67">
            <w:pPr>
              <w:bidi w:val="0"/>
              <w:jc w:val="center"/>
              <w:rPr>
                <w:rFonts w:ascii="Times New Roman" w:hAnsi="Times New Roman"/>
                <w:bCs/>
                <w:lang w:val="sk-SK"/>
              </w:rPr>
            </w:pPr>
          </w:p>
        </w:tc>
        <w:tc>
          <w:tcPr>
            <w:tcW w:w="2126" w:type="dxa"/>
            <w:tcBorders>
              <w:top w:val="single" w:sz="4" w:space="0" w:color="A6A6A6"/>
              <w:left w:val="none" w:sz="0" w:space="0" w:color="auto"/>
              <w:bottom w:val="single" w:sz="4" w:space="0" w:color="A6A6A6"/>
              <w:right w:val="none" w:sz="0" w:space="0" w:color="auto"/>
            </w:tcBorders>
            <w:textDirection w:val="lrTb"/>
            <w:vAlign w:val="top"/>
          </w:tcPr>
          <w:p w:rsidR="00CD1D21" w:rsidRPr="00DA5B8F" w:rsidP="002C3B67">
            <w:pPr>
              <w:bidi w:val="0"/>
              <w:jc w:val="center"/>
              <w:rPr>
                <w:rFonts w:ascii="Times New Roman" w:hAnsi="Times New Roman"/>
                <w:bCs/>
                <w:lang w:val="sk-SK"/>
              </w:rPr>
            </w:pPr>
            <w:r w:rsidRPr="00DA5B8F">
              <w:rPr>
                <w:rFonts w:ascii="Times New Roman" w:hAnsi="Times New Roman"/>
                <w:bCs/>
                <w:lang w:val="sk-SK"/>
              </w:rPr>
              <w:t>3</w:t>
            </w:r>
          </w:p>
        </w:tc>
        <w:tc>
          <w:tcPr>
            <w:tcW w:w="4046"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CD1D21" w:rsidRPr="00DA5B8F" w:rsidP="0060508E">
            <w:pPr>
              <w:bidi w:val="0"/>
              <w:rPr>
                <w:rFonts w:ascii="Times New Roman" w:eastAsia="Arial Unicode MS" w:hAnsi="Times New Roman" w:hint="default"/>
                <w:lang w:val="sk-SK"/>
              </w:rPr>
            </w:pPr>
            <w:r w:rsidRPr="00DA5B8F">
              <w:rPr>
                <w:rFonts w:ascii="Times New Roman" w:eastAsia="Arial Unicode MS" w:hAnsi="Times New Roman" w:hint="default"/>
                <w:lang w:val="sk-SK"/>
              </w:rPr>
              <w:t>č</w:t>
            </w:r>
            <w:r w:rsidRPr="00DA5B8F">
              <w:rPr>
                <w:rFonts w:ascii="Times New Roman" w:eastAsia="Arial Unicode MS" w:hAnsi="Times New Roman" w:hint="default"/>
                <w:lang w:val="sk-SK"/>
              </w:rPr>
              <w:t>len vý</w:t>
            </w:r>
            <w:r w:rsidRPr="00DA5B8F">
              <w:rPr>
                <w:rFonts w:ascii="Times New Roman" w:eastAsia="Arial Unicode MS" w:hAnsi="Times New Roman" w:hint="default"/>
                <w:lang w:val="sk-SK"/>
              </w:rPr>
              <w:t>konné</w:t>
            </w:r>
            <w:r w:rsidRPr="00DA5B8F">
              <w:rPr>
                <w:rFonts w:ascii="Times New Roman" w:eastAsia="Arial Unicode MS" w:hAnsi="Times New Roman" w:hint="default"/>
                <w:lang w:val="sk-SK"/>
              </w:rPr>
              <w:t>ho vý</w:t>
            </w:r>
            <w:r w:rsidRPr="00DA5B8F">
              <w:rPr>
                <w:rFonts w:ascii="Times New Roman" w:eastAsia="Arial Unicode MS" w:hAnsi="Times New Roman" w:hint="default"/>
                <w:lang w:val="sk-SK"/>
              </w:rPr>
              <w:t>boru a riaditeľ</w:t>
            </w:r>
            <w:r w:rsidRPr="00DA5B8F">
              <w:rPr>
                <w:rFonts w:ascii="Times New Roman" w:eastAsia="Arial Unicode MS" w:hAnsi="Times New Roman" w:hint="default"/>
                <w:lang w:val="sk-SK"/>
              </w:rPr>
              <w:t xml:space="preserve"> sekcie</w:t>
            </w:r>
          </w:p>
        </w:tc>
      </w:tr>
    </w:tbl>
    <w:p w:rsidR="0060508E" w:rsidRPr="00C93F3F" w:rsidP="006A50A6">
      <w:pPr>
        <w:tabs>
          <w:tab w:val="right" w:pos="9214"/>
        </w:tabs>
        <w:bidi w:val="0"/>
        <w:spacing w:before="240" w:after="120"/>
        <w:ind w:left="284" w:hanging="284"/>
        <w:jc w:val="both"/>
        <w:rPr>
          <w:rFonts w:ascii="Times New Roman" w:hAnsi="Times New Roman"/>
          <w:b/>
          <w:bCs/>
          <w:lang w:val="sk-SK"/>
        </w:rPr>
      </w:pPr>
      <w:r w:rsidRPr="00C93F3F">
        <w:rPr>
          <w:rFonts w:ascii="Times New Roman" w:hAnsi="Times New Roman"/>
          <w:b/>
          <w:bCs/>
          <w:lang w:val="sk-SK"/>
        </w:rPr>
        <w:t>Počet funkčných miest FNM SR:</w:t>
      </w:r>
    </w:p>
    <w:tbl>
      <w:tblPr>
        <w:tblStyle w:val="TableNormal"/>
        <w:tblW w:w="9421" w:type="dxa"/>
        <w:tblInd w:w="15" w:type="dxa"/>
        <w:tblCellMar>
          <w:left w:w="0" w:type="dxa"/>
          <w:right w:w="0" w:type="dxa"/>
        </w:tblCellMar>
      </w:tblPr>
      <w:tblGrid>
        <w:gridCol w:w="4680"/>
        <w:gridCol w:w="2370"/>
        <w:gridCol w:w="2371"/>
      </w:tblGrid>
      <w:tr>
        <w:tblPrEx>
          <w:tblW w:w="9421" w:type="dxa"/>
          <w:tblInd w:w="15" w:type="dxa"/>
          <w:tblCellMar>
            <w:left w:w="0" w:type="dxa"/>
            <w:right w:w="0" w:type="dxa"/>
          </w:tblCellMar>
        </w:tblPrEx>
        <w:trPr>
          <w:trHeight w:val="660"/>
        </w:trPr>
        <w:tc>
          <w:tcPr>
            <w:tcW w:w="4680"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FF1B8C" w:rsidRPr="00DA5B8F" w:rsidP="00FF1B8C">
            <w:pPr>
              <w:pStyle w:val="Heading3"/>
              <w:bidi w:val="0"/>
              <w:jc w:val="center"/>
            </w:pPr>
          </w:p>
        </w:tc>
        <w:tc>
          <w:tcPr>
            <w:tcW w:w="2370" w:type="dxa"/>
            <w:tcBorders>
              <w:top w:val="single" w:sz="4" w:space="0" w:color="A6A6A6"/>
              <w:left w:val="nil"/>
              <w:bottom w:val="double" w:sz="4" w:space="0" w:color="A6A6A6"/>
              <w:right w:val="nil"/>
            </w:tcBorders>
            <w:shd w:val="clear" w:color="auto" w:fill="CCCCFF"/>
            <w:textDirection w:val="lrTb"/>
            <w:vAlign w:val="center"/>
          </w:tcPr>
          <w:p w:rsidR="0060508E" w:rsidRPr="00DA5B8F" w:rsidP="00FF1B8C">
            <w:pPr>
              <w:pStyle w:val="Heading3"/>
              <w:bidi w:val="0"/>
              <w:jc w:val="center"/>
              <w:rPr>
                <w:rFonts w:ascii="Times New Roman" w:hAnsi="Times New Roman"/>
              </w:rPr>
            </w:pPr>
            <w:r w:rsidRPr="00DA5B8F">
              <w:rPr>
                <w:rFonts w:ascii="Times New Roman" w:hAnsi="Times New Roman"/>
              </w:rPr>
              <w:t>2013</w:t>
            </w:r>
          </w:p>
        </w:tc>
        <w:tc>
          <w:tcPr>
            <w:tcW w:w="2371"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b/>
                <w:bCs/>
                <w:lang w:val="sk-SK"/>
              </w:rPr>
            </w:pPr>
            <w:r w:rsidRPr="00DA5B8F">
              <w:rPr>
                <w:rFonts w:ascii="Times New Roman" w:eastAsia="Arial Unicode MS" w:hAnsi="Times New Roman"/>
                <w:b/>
                <w:bCs/>
                <w:lang w:val="sk-SK"/>
              </w:rPr>
              <w:t>2014</w:t>
            </w:r>
          </w:p>
        </w:tc>
      </w:tr>
      <w:tr>
        <w:tblPrEx>
          <w:tblW w:w="9421" w:type="dxa"/>
          <w:tblInd w:w="15" w:type="dxa"/>
          <w:tblCellMar>
            <w:left w:w="0" w:type="dxa"/>
            <w:right w:w="0" w:type="dxa"/>
          </w:tblCellMar>
        </w:tblPrEx>
        <w:trPr>
          <w:trHeight w:val="300"/>
        </w:trPr>
        <w:tc>
          <w:tcPr>
            <w:tcW w:w="4680" w:type="dxa"/>
            <w:tcBorders>
              <w:top w:val="double" w:sz="4" w:space="0" w:color="A6A6A6"/>
              <w:left w:val="nil"/>
              <w:bottom w:val="single" w:sz="4" w:space="0" w:color="A6A6A6"/>
              <w:right w:val="nil"/>
            </w:tcBorders>
            <w:tcMar>
              <w:top w:w="15" w:type="dxa"/>
              <w:left w:w="15" w:type="dxa"/>
              <w:bottom w:w="0" w:type="dxa"/>
              <w:right w:w="15" w:type="dxa"/>
            </w:tcMar>
            <w:textDirection w:val="lrTb"/>
            <w:vAlign w:val="bottom"/>
          </w:tcPr>
          <w:p w:rsidR="0060508E" w:rsidRPr="00DA5B8F" w:rsidP="002C3B67">
            <w:pPr>
              <w:bidi w:val="0"/>
              <w:jc w:val="both"/>
              <w:rPr>
                <w:rFonts w:ascii="Times New Roman" w:eastAsia="Arial Unicode MS" w:hAnsi="Times New Roman" w:hint="default"/>
                <w:lang w:val="sk-SK"/>
              </w:rPr>
            </w:pPr>
            <w:r w:rsidRPr="00DA5B8F">
              <w:rPr>
                <w:rFonts w:ascii="Times New Roman" w:eastAsia="Arial Unicode MS" w:hAnsi="Times New Roman" w:hint="default"/>
                <w:lang w:val="sk-SK"/>
              </w:rPr>
              <w:t>Poč</w:t>
            </w:r>
            <w:r w:rsidRPr="00DA5B8F">
              <w:rPr>
                <w:rFonts w:ascii="Times New Roman" w:eastAsia="Arial Unicode MS" w:hAnsi="Times New Roman" w:hint="default"/>
                <w:lang w:val="sk-SK"/>
              </w:rPr>
              <w:t>et funkč</w:t>
            </w:r>
            <w:r w:rsidRPr="00DA5B8F">
              <w:rPr>
                <w:rFonts w:ascii="Times New Roman" w:eastAsia="Arial Unicode MS" w:hAnsi="Times New Roman" w:hint="default"/>
                <w:lang w:val="sk-SK"/>
              </w:rPr>
              <w:t>ný</w:t>
            </w:r>
            <w:r w:rsidRPr="00DA5B8F">
              <w:rPr>
                <w:rFonts w:ascii="Times New Roman" w:eastAsia="Arial Unicode MS" w:hAnsi="Times New Roman" w:hint="default"/>
                <w:lang w:val="sk-SK"/>
              </w:rPr>
              <w:t>ch miest ku koncu roka</w:t>
            </w:r>
          </w:p>
        </w:tc>
        <w:tc>
          <w:tcPr>
            <w:tcW w:w="2370" w:type="dxa"/>
            <w:tcBorders>
              <w:top w:val="double" w:sz="4" w:space="0" w:color="A6A6A6"/>
              <w:left w:val="nil"/>
              <w:bottom w:val="single" w:sz="4" w:space="0" w:color="A6A6A6"/>
              <w:right w:val="nil"/>
            </w:tcBorders>
            <w:textDirection w:val="lrTb"/>
            <w:vAlign w:val="top"/>
          </w:tcPr>
          <w:p w:rsidR="0060508E" w:rsidRPr="00DA5B8F" w:rsidP="002C3B67">
            <w:pPr>
              <w:bidi w:val="0"/>
              <w:jc w:val="center"/>
              <w:rPr>
                <w:rFonts w:ascii="Times New Roman" w:hAnsi="Times New Roman"/>
                <w:bCs/>
                <w:lang w:val="sk-SK"/>
              </w:rPr>
            </w:pPr>
            <w:r w:rsidRPr="00DA5B8F">
              <w:rPr>
                <w:rFonts w:ascii="Times New Roman" w:hAnsi="Times New Roman"/>
                <w:bCs/>
                <w:lang w:val="sk-SK"/>
              </w:rPr>
              <w:t>35</w:t>
            </w:r>
          </w:p>
        </w:tc>
        <w:tc>
          <w:tcPr>
            <w:tcW w:w="2371" w:type="dxa"/>
            <w:tcBorders>
              <w:top w:val="double" w:sz="4" w:space="0" w:color="A6A6A6"/>
              <w:left w:val="nil"/>
              <w:bottom w:val="single" w:sz="4" w:space="0" w:color="A6A6A6"/>
              <w:right w:val="nil"/>
            </w:tcBorders>
            <w:tcMar>
              <w:top w:w="15" w:type="dxa"/>
              <w:left w:w="15" w:type="dxa"/>
              <w:bottom w:w="0" w:type="dxa"/>
              <w:right w:w="15" w:type="dxa"/>
            </w:tcMar>
            <w:textDirection w:val="lrTb"/>
            <w:vAlign w:val="bottom"/>
          </w:tcPr>
          <w:p w:rsidR="0060508E" w:rsidRPr="00DA5B8F" w:rsidP="002C3B67">
            <w:pPr>
              <w:bidi w:val="0"/>
              <w:jc w:val="center"/>
              <w:rPr>
                <w:rFonts w:ascii="Times New Roman" w:eastAsia="Arial Unicode MS" w:hAnsi="Times New Roman"/>
                <w:bCs/>
                <w:lang w:val="sk-SK"/>
              </w:rPr>
            </w:pPr>
            <w:r w:rsidRPr="00DA5B8F">
              <w:rPr>
                <w:rFonts w:ascii="Times New Roman" w:eastAsia="Arial Unicode MS" w:hAnsi="Times New Roman"/>
                <w:bCs/>
                <w:lang w:val="sk-SK"/>
              </w:rPr>
              <w:t>35</w:t>
            </w:r>
          </w:p>
        </w:tc>
      </w:tr>
    </w:tbl>
    <w:p w:rsidR="0060508E" w:rsidRPr="00C93F3F" w:rsidP="006A50A6">
      <w:pPr>
        <w:tabs>
          <w:tab w:val="right" w:pos="9214"/>
        </w:tabs>
        <w:bidi w:val="0"/>
        <w:spacing w:before="240" w:after="120"/>
        <w:ind w:left="284" w:hanging="284"/>
        <w:jc w:val="both"/>
        <w:rPr>
          <w:rFonts w:ascii="Times New Roman" w:hAnsi="Times New Roman"/>
          <w:b/>
          <w:bCs/>
          <w:lang w:val="sk-SK"/>
        </w:rPr>
      </w:pPr>
      <w:r w:rsidRPr="00C93F3F">
        <w:rPr>
          <w:rFonts w:ascii="Times New Roman" w:hAnsi="Times New Roman"/>
          <w:b/>
          <w:bCs/>
          <w:lang w:val="sk-SK"/>
        </w:rPr>
        <w:t>Vzdelanostná štruktúra zamestnancov k 31.</w:t>
      </w:r>
      <w:r w:rsidRPr="00C93F3F" w:rsidR="00950C37">
        <w:rPr>
          <w:rFonts w:ascii="Times New Roman" w:hAnsi="Times New Roman"/>
          <w:b/>
          <w:bCs/>
          <w:lang w:val="sk-SK"/>
        </w:rPr>
        <w:t> </w:t>
      </w:r>
      <w:r w:rsidRPr="00C93F3F">
        <w:rPr>
          <w:rFonts w:ascii="Times New Roman" w:hAnsi="Times New Roman"/>
          <w:b/>
          <w:bCs/>
          <w:lang w:val="sk-SK"/>
        </w:rPr>
        <w:t>12.</w:t>
      </w:r>
      <w:r w:rsidRPr="00C93F3F" w:rsidR="00950C37">
        <w:rPr>
          <w:rFonts w:ascii="Times New Roman" w:hAnsi="Times New Roman"/>
          <w:b/>
          <w:bCs/>
          <w:lang w:val="sk-SK"/>
        </w:rPr>
        <w:t> </w:t>
      </w:r>
      <w:r w:rsidRPr="00C93F3F">
        <w:rPr>
          <w:rFonts w:ascii="Times New Roman" w:hAnsi="Times New Roman"/>
          <w:b/>
          <w:bCs/>
          <w:lang w:val="sk-SK"/>
        </w:rPr>
        <w:t>2014</w:t>
      </w:r>
    </w:p>
    <w:tbl>
      <w:tblPr>
        <w:tblStyle w:val="TableNormal"/>
        <w:tblW w:w="9421" w:type="dxa"/>
        <w:tblCellMar>
          <w:left w:w="0" w:type="dxa"/>
          <w:right w:w="0" w:type="dxa"/>
        </w:tblCellMar>
      </w:tblPr>
      <w:tblGrid>
        <w:gridCol w:w="4515"/>
        <w:gridCol w:w="2340"/>
        <w:gridCol w:w="2566"/>
      </w:tblGrid>
      <w:tr>
        <w:tblPrEx>
          <w:tblW w:w="9421" w:type="dxa"/>
          <w:tblCellMar>
            <w:left w:w="0" w:type="dxa"/>
            <w:right w:w="0" w:type="dxa"/>
          </w:tblCellMar>
        </w:tblPrEx>
        <w:trPr>
          <w:trHeight w:val="421"/>
        </w:trPr>
        <w:tc>
          <w:tcPr>
            <w:tcW w:w="4515"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950C37" w:rsidRPr="00DA5B8F" w:rsidP="002C3B67">
            <w:pPr>
              <w:pStyle w:val="Heading3"/>
              <w:bidi w:val="0"/>
              <w:jc w:val="center"/>
              <w:rPr>
                <w:rFonts w:ascii="Times New Roman" w:hAnsi="Times New Roman"/>
              </w:rPr>
            </w:pPr>
            <w:r w:rsidRPr="00DA5B8F" w:rsidR="0060508E">
              <w:rPr>
                <w:rFonts w:ascii="Times New Roman" w:hAnsi="Times New Roman" w:hint="default"/>
              </w:rPr>
              <w:t>Stupeň</w:t>
            </w:r>
          </w:p>
          <w:p w:rsidR="0060508E" w:rsidRPr="00DA5B8F" w:rsidP="002C3B67">
            <w:pPr>
              <w:pStyle w:val="Heading3"/>
              <w:bidi w:val="0"/>
              <w:jc w:val="center"/>
              <w:rPr>
                <w:rFonts w:ascii="Times New Roman" w:hAnsi="Times New Roman"/>
              </w:rPr>
            </w:pPr>
            <w:r w:rsidRPr="00DA5B8F">
              <w:rPr>
                <w:rFonts w:ascii="Times New Roman" w:hAnsi="Times New Roman"/>
              </w:rPr>
              <w:t>vzdelania</w:t>
            </w:r>
          </w:p>
        </w:tc>
        <w:tc>
          <w:tcPr>
            <w:tcW w:w="2340" w:type="dxa"/>
            <w:tcBorders>
              <w:top w:val="single" w:sz="4" w:space="0" w:color="A6A6A6"/>
              <w:left w:val="nil"/>
              <w:bottom w:val="double" w:sz="4" w:space="0" w:color="A6A6A6"/>
              <w:right w:val="nil"/>
            </w:tcBorders>
            <w:shd w:val="clear" w:color="auto" w:fill="CCCCFF"/>
            <w:textDirection w:val="lrTb"/>
            <w:vAlign w:val="center"/>
          </w:tcPr>
          <w:p w:rsidR="00950C37" w:rsidRPr="00DA5B8F" w:rsidP="00950C37">
            <w:pPr>
              <w:pStyle w:val="Heading3"/>
              <w:bidi w:val="0"/>
              <w:jc w:val="center"/>
              <w:rPr>
                <w:rFonts w:ascii="Times New Roman" w:hAnsi="Times New Roman"/>
              </w:rPr>
            </w:pPr>
            <w:r w:rsidRPr="00DA5B8F" w:rsidR="0060508E">
              <w:rPr>
                <w:rFonts w:ascii="Times New Roman" w:hAnsi="Times New Roman" w:hint="default"/>
              </w:rPr>
              <w:t>V evidenč</w:t>
            </w:r>
            <w:r w:rsidRPr="00DA5B8F" w:rsidR="0060508E">
              <w:rPr>
                <w:rFonts w:ascii="Times New Roman" w:hAnsi="Times New Roman" w:hint="default"/>
              </w:rPr>
              <w:t>nom</w:t>
            </w:r>
          </w:p>
          <w:p w:rsidR="0060508E" w:rsidRPr="00DA5B8F" w:rsidP="00950C37">
            <w:pPr>
              <w:pStyle w:val="Heading3"/>
              <w:bidi w:val="0"/>
              <w:jc w:val="center"/>
              <w:rPr>
                <w:rFonts w:ascii="Times New Roman" w:hAnsi="Times New Roman"/>
              </w:rPr>
            </w:pPr>
            <w:r w:rsidRPr="00DA5B8F">
              <w:rPr>
                <w:rFonts w:ascii="Times New Roman" w:hAnsi="Times New Roman"/>
              </w:rPr>
              <w:t>stave</w:t>
            </w:r>
          </w:p>
        </w:tc>
        <w:tc>
          <w:tcPr>
            <w:tcW w:w="2566"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60508E" w:rsidRPr="00DA5B8F" w:rsidP="00950C37">
            <w:pPr>
              <w:bidi w:val="0"/>
              <w:jc w:val="center"/>
              <w:rPr>
                <w:rFonts w:ascii="Times New Roman" w:eastAsia="Arial Unicode MS" w:hAnsi="Times New Roman" w:hint="default"/>
                <w:b/>
                <w:bCs/>
                <w:lang w:val="sk-SK"/>
              </w:rPr>
            </w:pPr>
            <w:r w:rsidRPr="00DA5B8F">
              <w:rPr>
                <w:rFonts w:ascii="Times New Roman" w:eastAsia="Arial Unicode MS" w:hAnsi="Times New Roman" w:hint="default"/>
                <w:b/>
                <w:bCs/>
                <w:lang w:val="sk-SK"/>
              </w:rPr>
              <w:t>V mimoevidenč</w:t>
            </w:r>
            <w:r w:rsidRPr="00DA5B8F">
              <w:rPr>
                <w:rFonts w:ascii="Times New Roman" w:eastAsia="Arial Unicode MS" w:hAnsi="Times New Roman" w:hint="default"/>
                <w:b/>
                <w:bCs/>
                <w:lang w:val="sk-SK"/>
              </w:rPr>
              <w:t>nom stave</w:t>
            </w:r>
          </w:p>
        </w:tc>
      </w:tr>
      <w:tr>
        <w:tblPrEx>
          <w:tblW w:w="9421" w:type="dxa"/>
          <w:tblCellMar>
            <w:left w:w="0" w:type="dxa"/>
            <w:right w:w="0" w:type="dxa"/>
          </w:tblCellMar>
        </w:tblPrEx>
        <w:trPr>
          <w:trHeight w:val="300"/>
        </w:trPr>
        <w:tc>
          <w:tcPr>
            <w:tcW w:w="4515" w:type="dxa"/>
            <w:tcBorders>
              <w:top w:val="doub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rPr>
                <w:rFonts w:ascii="Times New Roman" w:eastAsia="Arial Unicode MS" w:hAnsi="Times New Roman" w:hint="default"/>
                <w:lang w:val="sk-SK"/>
              </w:rPr>
            </w:pPr>
            <w:r w:rsidRPr="00DA5B8F">
              <w:rPr>
                <w:rFonts w:ascii="Times New Roman" w:eastAsia="Arial Unicode MS" w:hAnsi="Times New Roman" w:hint="default"/>
                <w:lang w:val="sk-SK"/>
              </w:rPr>
              <w:t>VŠ</w:t>
            </w:r>
            <w:r w:rsidRPr="00DA5B8F">
              <w:rPr>
                <w:rFonts w:ascii="Times New Roman" w:eastAsia="Arial Unicode MS" w:hAnsi="Times New Roman" w:hint="default"/>
                <w:lang w:val="sk-SK"/>
              </w:rPr>
              <w:t xml:space="preserve"> vzdelanie III. stupň</w:t>
            </w:r>
            <w:r w:rsidRPr="00DA5B8F">
              <w:rPr>
                <w:rFonts w:ascii="Times New Roman" w:eastAsia="Arial Unicode MS" w:hAnsi="Times New Roman" w:hint="default"/>
                <w:lang w:val="sk-SK"/>
              </w:rPr>
              <w:t>a</w:t>
            </w:r>
          </w:p>
        </w:tc>
        <w:tc>
          <w:tcPr>
            <w:tcW w:w="2340" w:type="dxa"/>
            <w:tcBorders>
              <w:top w:val="double" w:sz="4" w:space="0" w:color="A6A6A6"/>
              <w:left w:val="none" w:sz="0" w:space="0" w:color="auto"/>
              <w:bottom w:val="single" w:sz="4" w:space="0" w:color="A6A6A6"/>
              <w:right w:val="none" w:sz="0" w:space="0" w:color="auto"/>
            </w:tcBorders>
            <w:textDirection w:val="lrTb"/>
            <w:vAlign w:val="bottom"/>
          </w:tcPr>
          <w:p w:rsidR="0060508E" w:rsidRPr="00DA5B8F" w:rsidP="00950C37">
            <w:pPr>
              <w:bidi w:val="0"/>
              <w:jc w:val="center"/>
              <w:rPr>
                <w:rFonts w:ascii="Times New Roman" w:hAnsi="Times New Roman"/>
                <w:lang w:val="sk-SK"/>
              </w:rPr>
            </w:pPr>
            <w:r w:rsidRPr="00DA5B8F">
              <w:rPr>
                <w:rFonts w:ascii="Times New Roman" w:hAnsi="Times New Roman"/>
                <w:lang w:val="sk-SK"/>
              </w:rPr>
              <w:t>4</w:t>
            </w:r>
          </w:p>
        </w:tc>
        <w:tc>
          <w:tcPr>
            <w:tcW w:w="2566" w:type="dxa"/>
            <w:tcBorders>
              <w:top w:val="doub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CellMar>
            <w:left w:w="0" w:type="dxa"/>
            <w:right w:w="0" w:type="dxa"/>
          </w:tblCellMar>
        </w:tblPrEx>
        <w:trPr>
          <w:trHeight w:val="300"/>
        </w:trPr>
        <w:tc>
          <w:tcPr>
            <w:tcW w:w="4515"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pStyle w:val="FootnoteText"/>
              <w:bidi w:val="0"/>
              <w:rPr>
                <w:rFonts w:ascii="Times New Roman" w:eastAsia="Arial Unicode MS" w:hAnsi="Times New Roman" w:hint="default"/>
                <w:sz w:val="24"/>
                <w:szCs w:val="24"/>
                <w:lang w:val="sk-SK"/>
              </w:rPr>
            </w:pPr>
            <w:r w:rsidRPr="00DA5B8F">
              <w:rPr>
                <w:rFonts w:ascii="Times New Roman" w:eastAsia="Arial Unicode MS" w:hAnsi="Times New Roman" w:hint="default"/>
                <w:sz w:val="24"/>
                <w:szCs w:val="24"/>
                <w:lang w:val="sk-SK"/>
              </w:rPr>
              <w:t>VŠ</w:t>
            </w:r>
            <w:r w:rsidRPr="00DA5B8F">
              <w:rPr>
                <w:rFonts w:ascii="Times New Roman" w:eastAsia="Arial Unicode MS" w:hAnsi="Times New Roman" w:hint="default"/>
                <w:sz w:val="24"/>
                <w:szCs w:val="24"/>
                <w:lang w:val="sk-SK"/>
              </w:rPr>
              <w:t xml:space="preserve"> vzdelanie II. stupň</w:t>
            </w:r>
            <w:r w:rsidRPr="00DA5B8F">
              <w:rPr>
                <w:rFonts w:ascii="Times New Roman" w:eastAsia="Arial Unicode MS" w:hAnsi="Times New Roman" w:hint="default"/>
                <w:sz w:val="24"/>
                <w:szCs w:val="24"/>
                <w:lang w:val="sk-SK"/>
              </w:rPr>
              <w:t>a</w:t>
            </w:r>
          </w:p>
        </w:tc>
        <w:tc>
          <w:tcPr>
            <w:tcW w:w="2340" w:type="dxa"/>
            <w:tcBorders>
              <w:top w:val="single" w:sz="4" w:space="0" w:color="A6A6A6"/>
              <w:left w:val="none" w:sz="0" w:space="0" w:color="auto"/>
              <w:bottom w:val="single" w:sz="4" w:space="0" w:color="A6A6A6"/>
              <w:right w:val="none" w:sz="0" w:space="0" w:color="auto"/>
            </w:tcBorders>
            <w:textDirection w:val="lrTb"/>
            <w:vAlign w:val="bottom"/>
          </w:tcPr>
          <w:p w:rsidR="0060508E" w:rsidRPr="00DA5B8F" w:rsidP="00950C37">
            <w:pPr>
              <w:bidi w:val="0"/>
              <w:jc w:val="center"/>
              <w:rPr>
                <w:rFonts w:ascii="Times New Roman" w:hAnsi="Times New Roman"/>
                <w:lang w:val="sk-SK"/>
              </w:rPr>
            </w:pPr>
            <w:r w:rsidRPr="00DA5B8F">
              <w:rPr>
                <w:rFonts w:ascii="Times New Roman" w:hAnsi="Times New Roman"/>
                <w:lang w:val="sk-SK"/>
              </w:rPr>
              <w:t>22</w:t>
            </w:r>
          </w:p>
        </w:tc>
        <w:tc>
          <w:tcPr>
            <w:tcW w:w="2566"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jc w:val="center"/>
              <w:rPr>
                <w:rFonts w:ascii="Times New Roman" w:eastAsia="Arial Unicode MS" w:hAnsi="Times New Roman"/>
                <w:lang w:val="sk-SK"/>
              </w:rPr>
            </w:pPr>
            <w:r w:rsidRPr="00DA5B8F">
              <w:rPr>
                <w:rFonts w:ascii="Times New Roman" w:eastAsia="Arial Unicode MS" w:hAnsi="Times New Roman"/>
                <w:lang w:val="sk-SK"/>
              </w:rPr>
              <w:t>2</w:t>
            </w:r>
          </w:p>
        </w:tc>
      </w:tr>
      <w:tr>
        <w:tblPrEx>
          <w:tblW w:w="9421" w:type="dxa"/>
          <w:tblCellMar>
            <w:left w:w="0" w:type="dxa"/>
            <w:right w:w="0" w:type="dxa"/>
          </w:tblCellMar>
        </w:tblPrEx>
        <w:trPr>
          <w:trHeight w:val="300"/>
        </w:trPr>
        <w:tc>
          <w:tcPr>
            <w:tcW w:w="4515"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rPr>
                <w:rFonts w:ascii="Times New Roman" w:eastAsia="Arial Unicode MS" w:hAnsi="Times New Roman" w:hint="default"/>
                <w:lang w:val="sk-SK"/>
              </w:rPr>
            </w:pPr>
            <w:r w:rsidRPr="00DA5B8F">
              <w:rPr>
                <w:rFonts w:ascii="Times New Roman" w:eastAsia="Arial Unicode MS" w:hAnsi="Times New Roman" w:hint="default"/>
                <w:lang w:val="sk-SK"/>
              </w:rPr>
              <w:t>VŠ</w:t>
            </w:r>
            <w:r w:rsidRPr="00DA5B8F">
              <w:rPr>
                <w:rFonts w:ascii="Times New Roman" w:eastAsia="Arial Unicode MS" w:hAnsi="Times New Roman" w:hint="default"/>
                <w:lang w:val="sk-SK"/>
              </w:rPr>
              <w:t xml:space="preserve"> vzdelanie I. stupň</w:t>
            </w:r>
            <w:r w:rsidRPr="00DA5B8F">
              <w:rPr>
                <w:rFonts w:ascii="Times New Roman" w:eastAsia="Arial Unicode MS" w:hAnsi="Times New Roman" w:hint="default"/>
                <w:lang w:val="sk-SK"/>
              </w:rPr>
              <w:t>a</w:t>
            </w:r>
          </w:p>
        </w:tc>
        <w:tc>
          <w:tcPr>
            <w:tcW w:w="2340" w:type="dxa"/>
            <w:tcBorders>
              <w:top w:val="single" w:sz="4" w:space="0" w:color="A6A6A6"/>
              <w:left w:val="none" w:sz="0" w:space="0" w:color="auto"/>
              <w:bottom w:val="single" w:sz="4" w:space="0" w:color="A6A6A6"/>
              <w:right w:val="none" w:sz="0" w:space="0" w:color="auto"/>
            </w:tcBorders>
            <w:textDirection w:val="lrTb"/>
            <w:vAlign w:val="bottom"/>
          </w:tcPr>
          <w:p w:rsidR="0060508E" w:rsidRPr="00DA5B8F" w:rsidP="00950C37">
            <w:pPr>
              <w:bidi w:val="0"/>
              <w:jc w:val="center"/>
              <w:rPr>
                <w:rFonts w:ascii="Times New Roman" w:hAnsi="Times New Roman"/>
                <w:lang w:val="sk-SK"/>
              </w:rPr>
            </w:pPr>
            <w:r w:rsidRPr="00DA5B8F">
              <w:rPr>
                <w:rFonts w:ascii="Times New Roman" w:hAnsi="Times New Roman"/>
                <w:lang w:val="sk-SK"/>
              </w:rPr>
              <w:t>0</w:t>
            </w:r>
          </w:p>
        </w:tc>
        <w:tc>
          <w:tcPr>
            <w:tcW w:w="2566"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CellMar>
            <w:left w:w="0" w:type="dxa"/>
            <w:right w:w="0" w:type="dxa"/>
          </w:tblCellMar>
        </w:tblPrEx>
        <w:trPr>
          <w:trHeight w:val="300"/>
        </w:trPr>
        <w:tc>
          <w:tcPr>
            <w:tcW w:w="4515"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rPr>
                <w:rFonts w:ascii="Times New Roman" w:eastAsia="Arial Unicode MS" w:hAnsi="Times New Roman" w:hint="default"/>
                <w:lang w:val="sk-SK"/>
              </w:rPr>
            </w:pPr>
            <w:r w:rsidRPr="00DA5B8F">
              <w:rPr>
                <w:rFonts w:ascii="Times New Roman" w:eastAsia="Arial Unicode MS" w:hAnsi="Times New Roman" w:hint="default"/>
                <w:lang w:val="sk-SK"/>
              </w:rPr>
              <w:t>SŠ</w:t>
            </w:r>
            <w:r w:rsidRPr="00DA5B8F">
              <w:rPr>
                <w:rFonts w:ascii="Times New Roman" w:eastAsia="Arial Unicode MS" w:hAnsi="Times New Roman" w:hint="default"/>
                <w:lang w:val="sk-SK"/>
              </w:rPr>
              <w:t xml:space="preserve"> vzdelanie</w:t>
            </w:r>
          </w:p>
        </w:tc>
        <w:tc>
          <w:tcPr>
            <w:tcW w:w="2340" w:type="dxa"/>
            <w:tcBorders>
              <w:top w:val="single" w:sz="4" w:space="0" w:color="A6A6A6"/>
              <w:left w:val="none" w:sz="0" w:space="0" w:color="auto"/>
              <w:bottom w:val="single" w:sz="4" w:space="0" w:color="A6A6A6"/>
              <w:right w:val="none" w:sz="0" w:space="0" w:color="auto"/>
            </w:tcBorders>
            <w:textDirection w:val="lrTb"/>
            <w:vAlign w:val="bottom"/>
          </w:tcPr>
          <w:p w:rsidR="0060508E" w:rsidRPr="00DA5B8F" w:rsidP="00950C37">
            <w:pPr>
              <w:bidi w:val="0"/>
              <w:jc w:val="center"/>
              <w:rPr>
                <w:rFonts w:ascii="Times New Roman" w:hAnsi="Times New Roman"/>
                <w:lang w:val="sk-SK"/>
              </w:rPr>
            </w:pPr>
            <w:r w:rsidRPr="00DA5B8F">
              <w:rPr>
                <w:rFonts w:ascii="Times New Roman" w:hAnsi="Times New Roman"/>
                <w:lang w:val="sk-SK"/>
              </w:rPr>
              <w:t>7</w:t>
            </w:r>
          </w:p>
        </w:tc>
        <w:tc>
          <w:tcPr>
            <w:tcW w:w="2566"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CellMar>
            <w:left w:w="0" w:type="dxa"/>
            <w:right w:w="0" w:type="dxa"/>
          </w:tblCellMar>
        </w:tblPrEx>
        <w:trPr>
          <w:trHeight w:val="300"/>
        </w:trPr>
        <w:tc>
          <w:tcPr>
            <w:tcW w:w="4515" w:type="dxa"/>
            <w:tcBorders>
              <w:top w:val="single" w:sz="4" w:space="0" w:color="A6A6A6"/>
              <w:left w:val="none" w:sz="0" w:space="0" w:color="auto"/>
              <w:bottom w:val="doub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rPr>
                <w:rFonts w:ascii="Times New Roman" w:eastAsia="Arial Unicode MS" w:hAnsi="Times New Roman" w:hint="default"/>
                <w:lang w:val="sk-SK"/>
              </w:rPr>
            </w:pPr>
            <w:r w:rsidRPr="00DA5B8F">
              <w:rPr>
                <w:rFonts w:ascii="Times New Roman" w:eastAsia="Arial Unicode MS" w:hAnsi="Times New Roman" w:hint="default"/>
                <w:lang w:val="sk-SK"/>
              </w:rPr>
              <w:t>nižš</w:t>
            </w:r>
            <w:r w:rsidRPr="00DA5B8F">
              <w:rPr>
                <w:rFonts w:ascii="Times New Roman" w:eastAsia="Arial Unicode MS" w:hAnsi="Times New Roman" w:hint="default"/>
                <w:lang w:val="sk-SK"/>
              </w:rPr>
              <w:t>ie ako SŠ</w:t>
            </w:r>
            <w:r w:rsidRPr="00DA5B8F">
              <w:rPr>
                <w:rFonts w:ascii="Times New Roman" w:eastAsia="Arial Unicode MS" w:hAnsi="Times New Roman" w:hint="default"/>
                <w:lang w:val="sk-SK"/>
              </w:rPr>
              <w:t xml:space="preserve"> vzdelanie</w:t>
            </w:r>
          </w:p>
        </w:tc>
        <w:tc>
          <w:tcPr>
            <w:tcW w:w="2340" w:type="dxa"/>
            <w:tcBorders>
              <w:top w:val="single" w:sz="4" w:space="0" w:color="A6A6A6"/>
              <w:left w:val="none" w:sz="0" w:space="0" w:color="auto"/>
              <w:bottom w:val="double" w:sz="4" w:space="0" w:color="A6A6A6"/>
              <w:right w:val="none" w:sz="0" w:space="0" w:color="auto"/>
            </w:tcBorders>
            <w:textDirection w:val="lrTb"/>
            <w:vAlign w:val="bottom"/>
          </w:tcPr>
          <w:p w:rsidR="0060508E" w:rsidRPr="00DA5B8F" w:rsidP="00950C37">
            <w:pPr>
              <w:bidi w:val="0"/>
              <w:jc w:val="center"/>
              <w:rPr>
                <w:rFonts w:ascii="Times New Roman" w:hAnsi="Times New Roman"/>
                <w:lang w:val="sk-SK"/>
              </w:rPr>
            </w:pPr>
            <w:r w:rsidRPr="00DA5B8F">
              <w:rPr>
                <w:rFonts w:ascii="Times New Roman" w:hAnsi="Times New Roman"/>
                <w:lang w:val="sk-SK"/>
              </w:rPr>
              <w:t>2</w:t>
            </w:r>
          </w:p>
        </w:tc>
        <w:tc>
          <w:tcPr>
            <w:tcW w:w="2566" w:type="dxa"/>
            <w:tcBorders>
              <w:top w:val="single" w:sz="4" w:space="0" w:color="A6A6A6"/>
              <w:left w:val="none" w:sz="0" w:space="0" w:color="auto"/>
              <w:bottom w:val="double" w:sz="4" w:space="0" w:color="A6A6A6"/>
              <w:right w:val="none" w:sz="0" w:space="0" w:color="auto"/>
            </w:tcBorders>
            <w:tcMar>
              <w:top w:w="15" w:type="dxa"/>
              <w:left w:w="15" w:type="dxa"/>
              <w:bottom w:w="0" w:type="dxa"/>
              <w:right w:w="15" w:type="dxa"/>
            </w:tcMar>
            <w:textDirection w:val="lrTb"/>
            <w:vAlign w:val="bottom"/>
          </w:tcPr>
          <w:p w:rsidR="0060508E" w:rsidRPr="00DA5B8F" w:rsidP="00950C3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CellMar>
            <w:left w:w="0" w:type="dxa"/>
            <w:right w:w="0" w:type="dxa"/>
          </w:tblCellMar>
        </w:tblPrEx>
        <w:trPr>
          <w:trHeight w:val="300"/>
        </w:trPr>
        <w:tc>
          <w:tcPr>
            <w:tcW w:w="4515" w:type="dxa"/>
            <w:tcBorders>
              <w:top w:val="double" w:sz="4" w:space="0" w:color="A6A6A6"/>
              <w:left w:val="nil"/>
              <w:bottom w:val="single" w:sz="4" w:space="0" w:color="A6A6A6"/>
              <w:right w:val="nil"/>
            </w:tcBorders>
            <w:shd w:val="clear" w:color="auto" w:fill="CCCCFF"/>
            <w:tcMar>
              <w:top w:w="15" w:type="dxa"/>
              <w:left w:w="15" w:type="dxa"/>
              <w:bottom w:w="0" w:type="dxa"/>
              <w:right w:w="15" w:type="dxa"/>
            </w:tcMar>
            <w:textDirection w:val="lrTb"/>
            <w:vAlign w:val="bottom"/>
          </w:tcPr>
          <w:p w:rsidR="0060508E" w:rsidRPr="00DA5B8F" w:rsidP="00950C37">
            <w:pPr>
              <w:bidi w:val="0"/>
              <w:rPr>
                <w:rFonts w:ascii="Times New Roman" w:eastAsia="Arial Unicode MS" w:hAnsi="Times New Roman"/>
                <w:b/>
                <w:bCs/>
                <w:lang w:val="sk-SK"/>
              </w:rPr>
            </w:pPr>
            <w:r w:rsidRPr="00DA5B8F">
              <w:rPr>
                <w:rFonts w:ascii="Times New Roman" w:eastAsia="Arial Unicode MS" w:hAnsi="Times New Roman"/>
                <w:b/>
                <w:bCs/>
                <w:lang w:val="sk-SK"/>
              </w:rPr>
              <w:t>Spolu</w:t>
            </w:r>
          </w:p>
        </w:tc>
        <w:tc>
          <w:tcPr>
            <w:tcW w:w="2340" w:type="dxa"/>
            <w:tcBorders>
              <w:top w:val="double" w:sz="4" w:space="0" w:color="A6A6A6"/>
              <w:left w:val="nil"/>
              <w:bottom w:val="single" w:sz="4" w:space="0" w:color="A6A6A6"/>
              <w:right w:val="nil"/>
            </w:tcBorders>
            <w:shd w:val="clear" w:color="auto" w:fill="CCCCFF"/>
            <w:textDirection w:val="lrTb"/>
            <w:vAlign w:val="bottom"/>
          </w:tcPr>
          <w:p w:rsidR="0060508E" w:rsidRPr="00DA5B8F" w:rsidP="00950C37">
            <w:pPr>
              <w:bidi w:val="0"/>
              <w:jc w:val="center"/>
              <w:rPr>
                <w:rFonts w:ascii="Times New Roman" w:hAnsi="Times New Roman"/>
                <w:b/>
                <w:bCs/>
                <w:lang w:val="sk-SK"/>
              </w:rPr>
            </w:pPr>
            <w:r w:rsidRPr="00DA5B8F">
              <w:rPr>
                <w:rFonts w:ascii="Times New Roman" w:hAnsi="Times New Roman"/>
                <w:b/>
                <w:bCs/>
                <w:lang w:val="sk-SK"/>
              </w:rPr>
              <w:t>35</w:t>
            </w:r>
          </w:p>
        </w:tc>
        <w:tc>
          <w:tcPr>
            <w:tcW w:w="2566" w:type="dxa"/>
            <w:tcBorders>
              <w:top w:val="double" w:sz="4" w:space="0" w:color="A6A6A6"/>
              <w:left w:val="nil"/>
              <w:bottom w:val="single" w:sz="4" w:space="0" w:color="A6A6A6"/>
              <w:right w:val="nil"/>
            </w:tcBorders>
            <w:shd w:val="clear" w:color="auto" w:fill="CCCCFF"/>
            <w:tcMar>
              <w:top w:w="15" w:type="dxa"/>
              <w:left w:w="15" w:type="dxa"/>
              <w:bottom w:w="0" w:type="dxa"/>
              <w:right w:w="15" w:type="dxa"/>
            </w:tcMar>
            <w:textDirection w:val="lrTb"/>
            <w:vAlign w:val="bottom"/>
          </w:tcPr>
          <w:p w:rsidR="0060508E" w:rsidRPr="00DA5B8F" w:rsidP="00950C37">
            <w:pPr>
              <w:bidi w:val="0"/>
              <w:jc w:val="center"/>
              <w:rPr>
                <w:rFonts w:ascii="Times New Roman" w:eastAsia="Arial Unicode MS" w:hAnsi="Times New Roman"/>
                <w:b/>
                <w:bCs/>
                <w:lang w:val="sk-SK"/>
              </w:rPr>
            </w:pPr>
            <w:r w:rsidRPr="00DA5B8F">
              <w:rPr>
                <w:rFonts w:ascii="Times New Roman" w:eastAsia="Arial Unicode MS" w:hAnsi="Times New Roman"/>
                <w:b/>
                <w:bCs/>
                <w:lang w:val="sk-SK"/>
              </w:rPr>
              <w:t>2</w:t>
            </w:r>
          </w:p>
        </w:tc>
      </w:tr>
    </w:tbl>
    <w:p w:rsidR="0060508E" w:rsidRPr="00C93F3F" w:rsidP="006A50A6">
      <w:pPr>
        <w:tabs>
          <w:tab w:val="right" w:pos="9214"/>
        </w:tabs>
        <w:bidi w:val="0"/>
        <w:spacing w:before="240" w:after="120"/>
        <w:ind w:left="284" w:hanging="284"/>
        <w:jc w:val="both"/>
        <w:rPr>
          <w:rFonts w:ascii="Times New Roman" w:hAnsi="Times New Roman"/>
          <w:b/>
          <w:bCs/>
          <w:lang w:val="sk-SK"/>
        </w:rPr>
      </w:pPr>
      <w:r w:rsidRPr="00C93F3F">
        <w:rPr>
          <w:rFonts w:ascii="Times New Roman" w:hAnsi="Times New Roman"/>
          <w:b/>
          <w:bCs/>
          <w:lang w:val="sk-SK"/>
        </w:rPr>
        <w:t>Veková štruktúra zamestnancov k 31. 12. 2014</w:t>
      </w:r>
    </w:p>
    <w:tbl>
      <w:tblPr>
        <w:tblStyle w:val="TableNormal"/>
        <w:tblW w:w="9421" w:type="dxa"/>
        <w:tblInd w:w="15" w:type="dxa"/>
        <w:tblCellMar>
          <w:left w:w="0" w:type="dxa"/>
          <w:right w:w="0" w:type="dxa"/>
        </w:tblCellMar>
      </w:tblPr>
      <w:tblGrid>
        <w:gridCol w:w="2360"/>
        <w:gridCol w:w="2164"/>
        <w:gridCol w:w="2295"/>
        <w:gridCol w:w="2602"/>
      </w:tblGrid>
      <w:tr>
        <w:tblPrEx>
          <w:tblW w:w="9421" w:type="dxa"/>
          <w:tblInd w:w="15" w:type="dxa"/>
          <w:tblCellMar>
            <w:left w:w="0" w:type="dxa"/>
            <w:right w:w="0" w:type="dxa"/>
          </w:tblCellMar>
        </w:tblPrEx>
        <w:trPr>
          <w:trHeight w:val="421"/>
        </w:trPr>
        <w:tc>
          <w:tcPr>
            <w:tcW w:w="2360"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FF1B8C" w:rsidRPr="00DA5B8F" w:rsidP="002C3B67">
            <w:pPr>
              <w:pStyle w:val="Heading3"/>
              <w:bidi w:val="0"/>
              <w:jc w:val="center"/>
              <w:rPr>
                <w:rFonts w:ascii="Times New Roman" w:hAnsi="Times New Roman"/>
              </w:rPr>
            </w:pPr>
            <w:r w:rsidRPr="00DA5B8F" w:rsidR="0060508E">
              <w:rPr>
                <w:rFonts w:ascii="Times New Roman" w:hAnsi="Times New Roman" w:hint="default"/>
              </w:rPr>
              <w:t>Vekové</w:t>
            </w:r>
          </w:p>
          <w:p w:rsidR="0060508E" w:rsidRPr="00DA5B8F" w:rsidP="002C3B67">
            <w:pPr>
              <w:pStyle w:val="Heading3"/>
              <w:bidi w:val="0"/>
              <w:jc w:val="center"/>
              <w:rPr>
                <w:rFonts w:ascii="Times New Roman" w:hAnsi="Times New Roman" w:hint="default"/>
              </w:rPr>
            </w:pPr>
            <w:r w:rsidRPr="00DA5B8F">
              <w:rPr>
                <w:rFonts w:ascii="Times New Roman" w:hAnsi="Times New Roman" w:hint="default"/>
              </w:rPr>
              <w:t>rozpä</w:t>
            </w:r>
            <w:r w:rsidRPr="00DA5B8F">
              <w:rPr>
                <w:rFonts w:ascii="Times New Roman" w:hAnsi="Times New Roman" w:hint="default"/>
              </w:rPr>
              <w:t>tie</w:t>
            </w:r>
          </w:p>
        </w:tc>
        <w:tc>
          <w:tcPr>
            <w:tcW w:w="2164" w:type="dxa"/>
            <w:tcBorders>
              <w:top w:val="single" w:sz="4" w:space="0" w:color="A6A6A6"/>
              <w:left w:val="nil"/>
              <w:bottom w:val="double" w:sz="4" w:space="0" w:color="A6A6A6"/>
              <w:right w:val="nil"/>
            </w:tcBorders>
            <w:shd w:val="clear" w:color="auto" w:fill="CCCCFF"/>
            <w:textDirection w:val="lrTb"/>
            <w:vAlign w:val="center"/>
          </w:tcPr>
          <w:p w:rsidR="0060508E" w:rsidRPr="00DA5B8F" w:rsidP="002C3B67">
            <w:pPr>
              <w:pStyle w:val="Heading3"/>
              <w:bidi w:val="0"/>
              <w:jc w:val="center"/>
              <w:rPr>
                <w:rFonts w:ascii="Times New Roman" w:hAnsi="Times New Roman" w:hint="default"/>
              </w:rPr>
            </w:pPr>
            <w:r w:rsidRPr="00DA5B8F">
              <w:rPr>
                <w:rFonts w:ascii="Times New Roman" w:hAnsi="Times New Roman" w:hint="default"/>
              </w:rPr>
              <w:t>poč</w:t>
            </w:r>
            <w:r w:rsidRPr="00DA5B8F">
              <w:rPr>
                <w:rFonts w:ascii="Times New Roman" w:hAnsi="Times New Roman" w:hint="default"/>
              </w:rPr>
              <w:t>et</w:t>
            </w:r>
          </w:p>
        </w:tc>
        <w:tc>
          <w:tcPr>
            <w:tcW w:w="2295" w:type="dxa"/>
            <w:tcBorders>
              <w:top w:val="single" w:sz="4" w:space="0" w:color="A6A6A6"/>
              <w:left w:val="nil"/>
              <w:bottom w:val="double" w:sz="4" w:space="0" w:color="A6A6A6"/>
              <w:right w:val="nil"/>
            </w:tcBorders>
            <w:shd w:val="clear" w:color="auto" w:fill="CCCCFF"/>
            <w:textDirection w:val="lrTb"/>
            <w:vAlign w:val="center"/>
          </w:tcPr>
          <w:p w:rsidR="0060508E" w:rsidRPr="00DA5B8F" w:rsidP="002C3B67">
            <w:pPr>
              <w:pStyle w:val="Heading3"/>
              <w:bidi w:val="0"/>
              <w:jc w:val="center"/>
              <w:rPr>
                <w:rFonts w:ascii="Times New Roman" w:hAnsi="Times New Roman" w:hint="default"/>
              </w:rPr>
            </w:pPr>
            <w:r w:rsidRPr="00DA5B8F">
              <w:rPr>
                <w:rFonts w:ascii="Times New Roman" w:hAnsi="Times New Roman" w:hint="default"/>
              </w:rPr>
              <w:t>v %</w:t>
            </w:r>
          </w:p>
        </w:tc>
        <w:tc>
          <w:tcPr>
            <w:tcW w:w="2602" w:type="dxa"/>
            <w:tcBorders>
              <w:top w:val="single" w:sz="4" w:space="0" w:color="A6A6A6"/>
              <w:left w:val="nil"/>
              <w:bottom w:val="double" w:sz="4" w:space="0" w:color="A6A6A6"/>
              <w:right w:val="nil"/>
            </w:tcBorders>
            <w:shd w:val="clear" w:color="auto" w:fill="CCCCFF"/>
            <w:tcMar>
              <w:top w:w="15" w:type="dxa"/>
              <w:left w:w="15" w:type="dxa"/>
              <w:bottom w:w="0" w:type="dxa"/>
              <w:right w:w="15" w:type="dxa"/>
            </w:tcMar>
            <w:textDirection w:val="lrTb"/>
            <w:vAlign w:val="center"/>
          </w:tcPr>
          <w:p w:rsidR="0060508E" w:rsidRPr="00DA5B8F" w:rsidP="002C3B67">
            <w:pPr>
              <w:pStyle w:val="Heading6"/>
              <w:bidi w:val="0"/>
              <w:rPr>
                <w:rFonts w:ascii="Times New Roman" w:hAnsi="Times New Roman"/>
                <w:sz w:val="24"/>
                <w:szCs w:val="24"/>
              </w:rPr>
            </w:pPr>
            <w:r w:rsidRPr="00DA5B8F">
              <w:rPr>
                <w:rFonts w:ascii="Times New Roman" w:hAnsi="Times New Roman"/>
                <w:sz w:val="24"/>
                <w:szCs w:val="24"/>
              </w:rPr>
              <w:t>V mimoevidenčnom stave</w:t>
            </w:r>
          </w:p>
        </w:tc>
      </w:tr>
      <w:tr>
        <w:tblPrEx>
          <w:tblW w:w="9421" w:type="dxa"/>
          <w:tblInd w:w="15" w:type="dxa"/>
          <w:tblCellMar>
            <w:left w:w="0" w:type="dxa"/>
            <w:right w:w="0" w:type="dxa"/>
          </w:tblCellMar>
        </w:tblPrEx>
        <w:trPr>
          <w:trHeight w:val="356"/>
        </w:trPr>
        <w:tc>
          <w:tcPr>
            <w:tcW w:w="2360" w:type="dxa"/>
            <w:tcBorders>
              <w:top w:val="double" w:sz="4" w:space="0" w:color="A6A6A6"/>
              <w:left w:val="none" w:sz="0" w:space="0" w:color="auto"/>
              <w:bottom w:val="none" w:sz="0" w:space="0" w:color="auto"/>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hint="default"/>
                <w:lang w:val="sk-SK"/>
              </w:rPr>
            </w:pPr>
            <w:r w:rsidRPr="00DA5B8F">
              <w:rPr>
                <w:rFonts w:ascii="Times New Roman" w:eastAsia="Arial Unicode MS" w:hAnsi="Times New Roman"/>
                <w:lang w:val="sk-SK"/>
              </w:rPr>
              <w:t xml:space="preserve">21 </w:t>
            </w:r>
            <w:r w:rsidRPr="00DA5B8F">
              <w:rPr>
                <w:rFonts w:ascii="Times New Roman" w:eastAsia="Arial Unicode MS" w:hAnsi="Times New Roman" w:hint="default"/>
                <w:lang w:val="sk-SK"/>
              </w:rPr>
              <w:t>–</w:t>
            </w:r>
            <w:r w:rsidRPr="00DA5B8F">
              <w:rPr>
                <w:rFonts w:ascii="Times New Roman" w:eastAsia="Arial Unicode MS" w:hAnsi="Times New Roman" w:hint="default"/>
                <w:lang w:val="sk-SK"/>
              </w:rPr>
              <w:t xml:space="preserve"> 30 rokov</w:t>
            </w:r>
          </w:p>
        </w:tc>
        <w:tc>
          <w:tcPr>
            <w:tcW w:w="2164" w:type="dxa"/>
            <w:tcBorders>
              <w:top w:val="double" w:sz="4" w:space="0" w:color="A6A6A6"/>
              <w:left w:val="none" w:sz="0" w:space="0" w:color="auto"/>
              <w:bottom w:val="none" w:sz="0" w:space="0" w:color="auto"/>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6</w:t>
            </w:r>
          </w:p>
        </w:tc>
        <w:tc>
          <w:tcPr>
            <w:tcW w:w="2295" w:type="dxa"/>
            <w:tcBorders>
              <w:top w:val="double" w:sz="4" w:space="0" w:color="A6A6A6"/>
              <w:left w:val="none" w:sz="0" w:space="0" w:color="auto"/>
              <w:bottom w:val="none" w:sz="0" w:space="0" w:color="auto"/>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17</w:t>
            </w:r>
          </w:p>
        </w:tc>
        <w:tc>
          <w:tcPr>
            <w:tcW w:w="2602" w:type="dxa"/>
            <w:tcBorders>
              <w:top w:val="double" w:sz="4" w:space="0" w:color="A6A6A6"/>
              <w:left w:val="none" w:sz="0" w:space="0" w:color="auto"/>
              <w:bottom w:val="none" w:sz="0" w:space="0" w:color="auto"/>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Ind w:w="15" w:type="dxa"/>
          <w:tblCellMar>
            <w:left w:w="0" w:type="dxa"/>
            <w:right w:w="0" w:type="dxa"/>
          </w:tblCellMar>
        </w:tblPrEx>
        <w:trPr>
          <w:trHeight w:val="341"/>
        </w:trPr>
        <w:tc>
          <w:tcPr>
            <w:tcW w:w="2360"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lang w:val="sk-SK"/>
              </w:rPr>
            </w:pPr>
            <w:r w:rsidRPr="00DA5B8F">
              <w:rPr>
                <w:rFonts w:ascii="Times New Roman" w:hAnsi="Times New Roman"/>
                <w:lang w:val="sk-SK"/>
              </w:rPr>
              <w:t>31 – 40 rokov</w:t>
            </w:r>
          </w:p>
        </w:tc>
        <w:tc>
          <w:tcPr>
            <w:tcW w:w="2164" w:type="dxa"/>
            <w:tcBorders>
              <w:top w:val="single" w:sz="4" w:space="0" w:color="A6A6A6"/>
              <w:left w:val="none" w:sz="0" w:space="0" w:color="auto"/>
              <w:bottom w:val="sing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6</w:t>
            </w:r>
          </w:p>
        </w:tc>
        <w:tc>
          <w:tcPr>
            <w:tcW w:w="2295" w:type="dxa"/>
            <w:tcBorders>
              <w:top w:val="single" w:sz="4" w:space="0" w:color="A6A6A6"/>
              <w:left w:val="none" w:sz="0" w:space="0" w:color="auto"/>
              <w:bottom w:val="sing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17</w:t>
            </w:r>
          </w:p>
        </w:tc>
        <w:tc>
          <w:tcPr>
            <w:tcW w:w="2602"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lang w:val="sk-SK"/>
              </w:rPr>
            </w:pPr>
            <w:r w:rsidRPr="00DA5B8F">
              <w:rPr>
                <w:rFonts w:ascii="Times New Roman" w:eastAsia="Arial Unicode MS" w:hAnsi="Times New Roman"/>
                <w:lang w:val="sk-SK"/>
              </w:rPr>
              <w:t>2</w:t>
            </w:r>
          </w:p>
        </w:tc>
      </w:tr>
      <w:tr>
        <w:tblPrEx>
          <w:tblW w:w="9421" w:type="dxa"/>
          <w:tblInd w:w="15" w:type="dxa"/>
          <w:tblCellMar>
            <w:left w:w="0" w:type="dxa"/>
            <w:right w:w="0" w:type="dxa"/>
          </w:tblCellMar>
        </w:tblPrEx>
        <w:trPr>
          <w:trHeight w:val="341"/>
        </w:trPr>
        <w:tc>
          <w:tcPr>
            <w:tcW w:w="2360"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41 – 50 rokov</w:t>
            </w:r>
          </w:p>
        </w:tc>
        <w:tc>
          <w:tcPr>
            <w:tcW w:w="2164" w:type="dxa"/>
            <w:tcBorders>
              <w:top w:val="single" w:sz="4" w:space="0" w:color="A6A6A6"/>
              <w:left w:val="none" w:sz="0" w:space="0" w:color="auto"/>
              <w:bottom w:val="sing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8</w:t>
            </w:r>
          </w:p>
        </w:tc>
        <w:tc>
          <w:tcPr>
            <w:tcW w:w="2295" w:type="dxa"/>
            <w:tcBorders>
              <w:top w:val="single" w:sz="4" w:space="0" w:color="A6A6A6"/>
              <w:left w:val="none" w:sz="0" w:space="0" w:color="auto"/>
              <w:bottom w:val="sing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23</w:t>
            </w:r>
          </w:p>
        </w:tc>
        <w:tc>
          <w:tcPr>
            <w:tcW w:w="2602"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Ind w:w="15" w:type="dxa"/>
          <w:tblCellMar>
            <w:left w:w="0" w:type="dxa"/>
            <w:right w:w="0" w:type="dxa"/>
          </w:tblCellMar>
        </w:tblPrEx>
        <w:trPr>
          <w:trHeight w:val="341"/>
        </w:trPr>
        <w:tc>
          <w:tcPr>
            <w:tcW w:w="2360"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51 – 60 rokov</w:t>
            </w:r>
          </w:p>
        </w:tc>
        <w:tc>
          <w:tcPr>
            <w:tcW w:w="2164" w:type="dxa"/>
            <w:tcBorders>
              <w:top w:val="single" w:sz="4" w:space="0" w:color="A6A6A6"/>
              <w:left w:val="none" w:sz="0" w:space="0" w:color="auto"/>
              <w:bottom w:val="sing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11</w:t>
            </w:r>
          </w:p>
        </w:tc>
        <w:tc>
          <w:tcPr>
            <w:tcW w:w="2295" w:type="dxa"/>
            <w:tcBorders>
              <w:top w:val="single" w:sz="4" w:space="0" w:color="A6A6A6"/>
              <w:left w:val="none" w:sz="0" w:space="0" w:color="auto"/>
              <w:bottom w:val="sing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31</w:t>
            </w:r>
          </w:p>
        </w:tc>
        <w:tc>
          <w:tcPr>
            <w:tcW w:w="2602" w:type="dxa"/>
            <w:tcBorders>
              <w:top w:val="single" w:sz="4" w:space="0" w:color="A6A6A6"/>
              <w:left w:val="none" w:sz="0" w:space="0" w:color="auto"/>
              <w:bottom w:val="sing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Ind w:w="15" w:type="dxa"/>
          <w:tblCellMar>
            <w:left w:w="0" w:type="dxa"/>
            <w:right w:w="0" w:type="dxa"/>
          </w:tblCellMar>
        </w:tblPrEx>
        <w:trPr>
          <w:trHeight w:val="341"/>
        </w:trPr>
        <w:tc>
          <w:tcPr>
            <w:tcW w:w="2360" w:type="dxa"/>
            <w:tcBorders>
              <w:top w:val="single" w:sz="4" w:space="0" w:color="A6A6A6"/>
              <w:left w:val="none" w:sz="0" w:space="0" w:color="auto"/>
              <w:bottom w:val="doub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Nad 60 rokov</w:t>
            </w:r>
          </w:p>
        </w:tc>
        <w:tc>
          <w:tcPr>
            <w:tcW w:w="2164" w:type="dxa"/>
            <w:tcBorders>
              <w:top w:val="single" w:sz="4" w:space="0" w:color="A6A6A6"/>
              <w:left w:val="none" w:sz="0" w:space="0" w:color="auto"/>
              <w:bottom w:val="doub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4</w:t>
            </w:r>
          </w:p>
        </w:tc>
        <w:tc>
          <w:tcPr>
            <w:tcW w:w="2295" w:type="dxa"/>
            <w:tcBorders>
              <w:top w:val="single" w:sz="4" w:space="0" w:color="A6A6A6"/>
              <w:left w:val="none" w:sz="0" w:space="0" w:color="auto"/>
              <w:bottom w:val="double" w:sz="4" w:space="0" w:color="A6A6A6"/>
              <w:right w:val="none" w:sz="0" w:space="0" w:color="auto"/>
            </w:tcBorders>
            <w:textDirection w:val="lrTb"/>
            <w:vAlign w:val="center"/>
          </w:tcPr>
          <w:p w:rsidR="0060508E" w:rsidRPr="00DA5B8F" w:rsidP="002C3B67">
            <w:pPr>
              <w:bidi w:val="0"/>
              <w:jc w:val="center"/>
              <w:rPr>
                <w:rFonts w:ascii="Times New Roman" w:hAnsi="Times New Roman"/>
                <w:lang w:val="sk-SK"/>
              </w:rPr>
            </w:pPr>
            <w:r w:rsidRPr="00DA5B8F">
              <w:rPr>
                <w:rFonts w:ascii="Times New Roman" w:hAnsi="Times New Roman"/>
                <w:lang w:val="sk-SK"/>
              </w:rPr>
              <w:t>12</w:t>
            </w:r>
          </w:p>
        </w:tc>
        <w:tc>
          <w:tcPr>
            <w:tcW w:w="2602" w:type="dxa"/>
            <w:tcBorders>
              <w:top w:val="single" w:sz="4" w:space="0" w:color="A6A6A6"/>
              <w:left w:val="none" w:sz="0" w:space="0" w:color="auto"/>
              <w:bottom w:val="double" w:sz="4" w:space="0" w:color="A6A6A6"/>
              <w:right w:val="none" w:sz="0" w:space="0" w:color="auto"/>
            </w:tcBorders>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lang w:val="sk-SK"/>
              </w:rPr>
            </w:pPr>
            <w:r w:rsidRPr="00DA5B8F">
              <w:rPr>
                <w:rFonts w:ascii="Times New Roman" w:eastAsia="Arial Unicode MS" w:hAnsi="Times New Roman"/>
                <w:lang w:val="sk-SK"/>
              </w:rPr>
              <w:t>0</w:t>
            </w:r>
          </w:p>
        </w:tc>
      </w:tr>
      <w:tr>
        <w:tblPrEx>
          <w:tblW w:w="9421" w:type="dxa"/>
          <w:tblInd w:w="15" w:type="dxa"/>
          <w:tblCellMar>
            <w:left w:w="0" w:type="dxa"/>
            <w:right w:w="0" w:type="dxa"/>
          </w:tblCellMar>
        </w:tblPrEx>
        <w:trPr>
          <w:trHeight w:val="170"/>
        </w:trPr>
        <w:tc>
          <w:tcPr>
            <w:tcW w:w="2360" w:type="dxa"/>
            <w:tcBorders>
              <w:top w:val="double" w:sz="4" w:space="0" w:color="A6A6A6"/>
              <w:left w:val="nil"/>
              <w:bottom w:val="single" w:sz="4" w:space="0" w:color="A6A6A6"/>
              <w:right w:val="nil"/>
            </w:tcBorders>
            <w:shd w:val="clear" w:color="auto" w:fill="CCCCFF"/>
            <w:tcMar>
              <w:top w:w="15" w:type="dxa"/>
              <w:left w:w="15" w:type="dxa"/>
              <w:bottom w:w="0" w:type="dxa"/>
              <w:right w:w="15" w:type="dxa"/>
            </w:tcMar>
            <w:textDirection w:val="lrTb"/>
            <w:vAlign w:val="center"/>
          </w:tcPr>
          <w:p w:rsidR="0060508E" w:rsidRPr="00DA5B8F" w:rsidP="002C3B67">
            <w:pPr>
              <w:bidi w:val="0"/>
              <w:jc w:val="center"/>
              <w:rPr>
                <w:rFonts w:ascii="Times New Roman" w:hAnsi="Times New Roman"/>
                <w:b/>
                <w:bCs/>
                <w:lang w:val="sk-SK"/>
              </w:rPr>
            </w:pPr>
            <w:r w:rsidRPr="00DA5B8F">
              <w:rPr>
                <w:rFonts w:ascii="Times New Roman" w:hAnsi="Times New Roman"/>
                <w:b/>
                <w:bCs/>
                <w:lang w:val="sk-SK"/>
              </w:rPr>
              <w:t>spolu</w:t>
            </w:r>
          </w:p>
        </w:tc>
        <w:tc>
          <w:tcPr>
            <w:tcW w:w="2164" w:type="dxa"/>
            <w:tcBorders>
              <w:top w:val="double" w:sz="4" w:space="0" w:color="A6A6A6"/>
              <w:left w:val="nil"/>
              <w:bottom w:val="single" w:sz="4" w:space="0" w:color="A6A6A6"/>
              <w:right w:val="nil"/>
            </w:tcBorders>
            <w:shd w:val="clear" w:color="auto" w:fill="CCCCFF"/>
            <w:textDirection w:val="lrTb"/>
            <w:vAlign w:val="center"/>
          </w:tcPr>
          <w:p w:rsidR="0060508E" w:rsidRPr="00DA5B8F" w:rsidP="002C3B67">
            <w:pPr>
              <w:bidi w:val="0"/>
              <w:jc w:val="center"/>
              <w:rPr>
                <w:rFonts w:ascii="Times New Roman" w:hAnsi="Times New Roman"/>
                <w:b/>
                <w:bCs/>
                <w:lang w:val="sk-SK"/>
              </w:rPr>
            </w:pPr>
            <w:r w:rsidRPr="00DA5B8F">
              <w:rPr>
                <w:rFonts w:ascii="Times New Roman" w:hAnsi="Times New Roman"/>
                <w:b/>
                <w:bCs/>
                <w:lang w:val="sk-SK"/>
              </w:rPr>
              <w:t>35</w:t>
            </w:r>
          </w:p>
        </w:tc>
        <w:tc>
          <w:tcPr>
            <w:tcW w:w="2295" w:type="dxa"/>
            <w:tcBorders>
              <w:top w:val="double" w:sz="4" w:space="0" w:color="A6A6A6"/>
              <w:left w:val="nil"/>
              <w:bottom w:val="single" w:sz="4" w:space="0" w:color="A6A6A6"/>
              <w:right w:val="nil"/>
            </w:tcBorders>
            <w:shd w:val="clear" w:color="auto" w:fill="CCCCFF"/>
            <w:textDirection w:val="lrTb"/>
            <w:vAlign w:val="center"/>
          </w:tcPr>
          <w:p w:rsidR="0060508E" w:rsidRPr="00DA5B8F" w:rsidP="002C3B67">
            <w:pPr>
              <w:bidi w:val="0"/>
              <w:jc w:val="center"/>
              <w:rPr>
                <w:rFonts w:ascii="Times New Roman" w:hAnsi="Times New Roman"/>
                <w:b/>
                <w:bCs/>
                <w:lang w:val="sk-SK"/>
              </w:rPr>
            </w:pPr>
            <w:r w:rsidRPr="00DA5B8F">
              <w:rPr>
                <w:rFonts w:ascii="Times New Roman" w:hAnsi="Times New Roman"/>
                <w:b/>
                <w:bCs/>
                <w:lang w:val="sk-SK"/>
              </w:rPr>
              <w:t>100</w:t>
            </w:r>
          </w:p>
        </w:tc>
        <w:tc>
          <w:tcPr>
            <w:tcW w:w="2602" w:type="dxa"/>
            <w:tcBorders>
              <w:top w:val="double" w:sz="4" w:space="0" w:color="A6A6A6"/>
              <w:left w:val="nil"/>
              <w:bottom w:val="single" w:sz="4" w:space="0" w:color="A6A6A6"/>
              <w:right w:val="nil"/>
            </w:tcBorders>
            <w:shd w:val="clear" w:color="auto" w:fill="CCCCFF"/>
            <w:tcMar>
              <w:top w:w="15" w:type="dxa"/>
              <w:left w:w="15" w:type="dxa"/>
              <w:bottom w:w="0" w:type="dxa"/>
              <w:right w:w="15" w:type="dxa"/>
            </w:tcMar>
            <w:textDirection w:val="lrTb"/>
            <w:vAlign w:val="center"/>
          </w:tcPr>
          <w:p w:rsidR="0060508E" w:rsidRPr="00DA5B8F" w:rsidP="002C3B67">
            <w:pPr>
              <w:bidi w:val="0"/>
              <w:jc w:val="center"/>
              <w:rPr>
                <w:rFonts w:ascii="Times New Roman" w:eastAsia="Arial Unicode MS" w:hAnsi="Times New Roman"/>
                <w:b/>
                <w:bCs/>
                <w:lang w:val="sk-SK"/>
              </w:rPr>
            </w:pPr>
            <w:r w:rsidRPr="00DA5B8F">
              <w:rPr>
                <w:rFonts w:ascii="Times New Roman" w:eastAsia="Arial Unicode MS" w:hAnsi="Times New Roman"/>
                <w:b/>
                <w:bCs/>
                <w:lang w:val="sk-SK"/>
              </w:rPr>
              <w:t>2</w:t>
            </w:r>
          </w:p>
        </w:tc>
      </w:tr>
    </w:tbl>
    <w:p w:rsidR="0060508E" w:rsidRPr="00DA5B8F" w:rsidP="00FF1B8C">
      <w:pPr>
        <w:pStyle w:val="BodyTextIndent2"/>
        <w:bidi w:val="0"/>
        <w:ind w:left="0" w:firstLine="0"/>
        <w:rPr>
          <w:rFonts w:ascii="Times New Roman" w:hAnsi="Times New Roman"/>
        </w:rPr>
      </w:pPr>
    </w:p>
    <w:p w:rsidR="002C3B67" w:rsidRPr="00DA5B8F" w:rsidP="00FF1B8C">
      <w:pPr>
        <w:pStyle w:val="BodyTextIndent2"/>
        <w:bidi w:val="0"/>
        <w:ind w:left="0" w:firstLine="0"/>
        <w:rPr>
          <w:rFonts w:ascii="Times New Roman" w:hAnsi="Times New Roman"/>
        </w:rPr>
      </w:pPr>
      <w:r w:rsidRPr="00DA5B8F" w:rsidR="0060508E">
        <w:rPr>
          <w:rFonts w:ascii="Times New Roman" w:hAnsi="Times New Roman"/>
        </w:rPr>
        <w:t>Priemerný vek zamestnancov v evidenčnom stave k 31.</w:t>
      </w:r>
      <w:r w:rsidRPr="00DA5B8F" w:rsidR="00FF1B8C">
        <w:rPr>
          <w:rFonts w:ascii="Times New Roman" w:hAnsi="Times New Roman"/>
        </w:rPr>
        <w:t> </w:t>
      </w:r>
      <w:r w:rsidRPr="00DA5B8F" w:rsidR="0060508E">
        <w:rPr>
          <w:rFonts w:ascii="Times New Roman" w:hAnsi="Times New Roman"/>
        </w:rPr>
        <w:t>12.</w:t>
      </w:r>
      <w:r w:rsidRPr="00DA5B8F" w:rsidR="00FF1B8C">
        <w:rPr>
          <w:rFonts w:ascii="Times New Roman" w:hAnsi="Times New Roman"/>
        </w:rPr>
        <w:t> </w:t>
      </w:r>
      <w:r w:rsidRPr="00DA5B8F" w:rsidR="0060508E">
        <w:rPr>
          <w:rFonts w:ascii="Times New Roman" w:hAnsi="Times New Roman"/>
        </w:rPr>
        <w:t>2014 je 48 rokov.</w:t>
      </w:r>
    </w:p>
    <w:p w:rsidR="002C3B67" w:rsidRPr="00DA5B8F">
      <w:pPr>
        <w:numPr>
          <w:numId w:val="3"/>
        </w:numPr>
        <w:tabs>
          <w:tab w:val="num" w:pos="0"/>
          <w:tab w:val="clear" w:pos="720"/>
        </w:tabs>
        <w:bidi w:val="0"/>
        <w:ind w:left="0" w:firstLine="0"/>
        <w:rPr>
          <w:rFonts w:ascii="Times New Roman" w:hAnsi="Times New Roman"/>
          <w:b/>
          <w:bCs/>
          <w:caps/>
          <w:lang w:val="sk-SK"/>
        </w:rPr>
      </w:pPr>
      <w:r w:rsidRPr="00DA5B8F">
        <w:rPr>
          <w:rFonts w:ascii="Times New Roman" w:hAnsi="Times New Roman"/>
          <w:b/>
          <w:bCs/>
          <w:caps/>
          <w:lang w:val="sk-SK"/>
        </w:rPr>
        <w:br w:type="page"/>
        <w:t>Príprava na ukončenie činnosti Fondu</w:t>
      </w:r>
    </w:p>
    <w:p w:rsidR="007976A0" w:rsidRPr="00DA5B8F" w:rsidP="00EE7E3A">
      <w:pPr>
        <w:pStyle w:val="BodyTextIndent2"/>
        <w:bidi w:val="0"/>
        <w:spacing w:before="120" w:line="264" w:lineRule="auto"/>
        <w:ind w:left="0" w:firstLine="0"/>
        <w:rPr>
          <w:rFonts w:ascii="Times New Roman" w:hAnsi="Times New Roman"/>
        </w:rPr>
      </w:pPr>
      <w:r w:rsidRPr="00DA5B8F" w:rsidR="002C3B67">
        <w:rPr>
          <w:rFonts w:ascii="Times New Roman" w:hAnsi="Times New Roman"/>
        </w:rPr>
        <w:t>Fond v súvislosti s ukončením svojej činnosti</w:t>
      </w:r>
      <w:r w:rsidRPr="00DA5B8F" w:rsidR="00995D93">
        <w:rPr>
          <w:rFonts w:ascii="Times New Roman" w:hAnsi="Times New Roman"/>
        </w:rPr>
        <w:t xml:space="preserve"> </w:t>
      </w:r>
      <w:r w:rsidRPr="00DA5B8F" w:rsidR="006B5698">
        <w:rPr>
          <w:rFonts w:ascii="Times New Roman" w:hAnsi="Times New Roman"/>
        </w:rPr>
        <w:t>v roku 201</w:t>
      </w:r>
      <w:r w:rsidRPr="00DA5B8F" w:rsidR="00995D93">
        <w:rPr>
          <w:rFonts w:ascii="Times New Roman" w:hAnsi="Times New Roman"/>
        </w:rPr>
        <w:t xml:space="preserve">3 začal pripravovať </w:t>
      </w:r>
      <w:r w:rsidRPr="00DA5B8F" w:rsidR="002C3B67">
        <w:rPr>
          <w:rFonts w:ascii="Times New Roman" w:hAnsi="Times New Roman"/>
        </w:rPr>
        <w:t>odovzdanie všetkých registratúrnych záznamov, prioritne privatizačn</w:t>
      </w:r>
      <w:r w:rsidRPr="00DA5B8F" w:rsidR="00995D93">
        <w:rPr>
          <w:rFonts w:ascii="Times New Roman" w:hAnsi="Times New Roman"/>
        </w:rPr>
        <w:t>é</w:t>
      </w:r>
      <w:r w:rsidRPr="00DA5B8F" w:rsidR="002C3B67">
        <w:rPr>
          <w:rFonts w:ascii="Times New Roman" w:hAnsi="Times New Roman"/>
        </w:rPr>
        <w:t xml:space="preserve"> projekt</w:t>
      </w:r>
      <w:r w:rsidRPr="00DA5B8F" w:rsidR="00995D93">
        <w:rPr>
          <w:rFonts w:ascii="Times New Roman" w:hAnsi="Times New Roman"/>
        </w:rPr>
        <w:t>y</w:t>
      </w:r>
      <w:r w:rsidRPr="00DA5B8F" w:rsidR="002C3B67">
        <w:rPr>
          <w:rFonts w:ascii="Times New Roman" w:hAnsi="Times New Roman"/>
        </w:rPr>
        <w:t xml:space="preserve"> nachádzajúc</w:t>
      </w:r>
      <w:r w:rsidRPr="00DA5B8F" w:rsidR="00995D93">
        <w:rPr>
          <w:rFonts w:ascii="Times New Roman" w:hAnsi="Times New Roman"/>
        </w:rPr>
        <w:t>e</w:t>
      </w:r>
      <w:r w:rsidRPr="00DA5B8F" w:rsidR="002C3B67">
        <w:rPr>
          <w:rFonts w:ascii="Times New Roman" w:hAnsi="Times New Roman"/>
        </w:rPr>
        <w:t xml:space="preserve"> sa v registratúrnom stredisku fondu na nástupnícku organizáciu, prípadne zabezpečen</w:t>
      </w:r>
      <w:r w:rsidRPr="00DA5B8F" w:rsidR="00995D93">
        <w:rPr>
          <w:rFonts w:ascii="Times New Roman" w:hAnsi="Times New Roman"/>
        </w:rPr>
        <w:t>ie</w:t>
      </w:r>
      <w:r w:rsidRPr="00DA5B8F" w:rsidR="002C3B67">
        <w:rPr>
          <w:rFonts w:ascii="Times New Roman" w:hAnsi="Times New Roman"/>
        </w:rPr>
        <w:t xml:space="preserve"> ich odovzdania do trvalej úschovy Slovenského národného archívu. V špeciálnej časti registratúrneho strediska fondu je uložených 1791 privatizačných projektov. </w:t>
      </w:r>
    </w:p>
    <w:p w:rsidR="002C3B67" w:rsidRPr="00DA5B8F" w:rsidP="00EE7E3A">
      <w:pPr>
        <w:pStyle w:val="BodyTextIndent2"/>
        <w:bidi w:val="0"/>
        <w:spacing w:before="120" w:line="264" w:lineRule="auto"/>
        <w:ind w:left="0" w:firstLine="0"/>
        <w:rPr>
          <w:rFonts w:ascii="Times New Roman" w:hAnsi="Times New Roman"/>
        </w:rPr>
      </w:pPr>
      <w:r w:rsidRPr="00DA5B8F">
        <w:rPr>
          <w:rFonts w:ascii="Times New Roman" w:hAnsi="Times New Roman"/>
        </w:rPr>
        <w:t>Z dôvodu historicko-spoločenskej hodnoty tejto časti archívu, kde privatizačný proces je v histórii Slovenskej republiky významnou udalosťou</w:t>
      </w:r>
      <w:r w:rsidR="007C4E80">
        <w:rPr>
          <w:rFonts w:ascii="Times New Roman" w:hAnsi="Times New Roman"/>
        </w:rPr>
        <w:t>,</w:t>
      </w:r>
      <w:r w:rsidRPr="00DA5B8F">
        <w:rPr>
          <w:rFonts w:ascii="Times New Roman" w:hAnsi="Times New Roman"/>
        </w:rPr>
        <w:t xml:space="preserve"> a</w:t>
      </w:r>
      <w:r w:rsidRPr="00DA5B8F" w:rsidR="00544BD2">
        <w:rPr>
          <w:rFonts w:ascii="Times New Roman" w:hAnsi="Times New Roman"/>
        </w:rPr>
        <w:t xml:space="preserve"> preto </w:t>
      </w:r>
      <w:r w:rsidRPr="00DA5B8F">
        <w:rPr>
          <w:rFonts w:ascii="Times New Roman" w:hAnsi="Times New Roman"/>
        </w:rPr>
        <w:t xml:space="preserve">je potrebné </w:t>
      </w:r>
      <w:r w:rsidRPr="00DA5B8F" w:rsidR="007976A0">
        <w:rPr>
          <w:rFonts w:ascii="Times New Roman" w:hAnsi="Times New Roman"/>
        </w:rPr>
        <w:t>ho</w:t>
      </w:r>
      <w:r w:rsidRPr="00DA5B8F">
        <w:rPr>
          <w:rFonts w:ascii="Times New Roman" w:hAnsi="Times New Roman"/>
        </w:rPr>
        <w:t xml:space="preserve"> zachovať ako historické dedičstvo, ako aj s ohľadom prípadnej straty, poškodenia či zničenia dokumentácie tejto dôležitej časti archívu, fond </w:t>
      </w:r>
      <w:r w:rsidRPr="00DA5B8F" w:rsidR="000368DA">
        <w:rPr>
          <w:rFonts w:ascii="Times New Roman" w:hAnsi="Times New Roman"/>
        </w:rPr>
        <w:t>v roku 2014 pokračoval v</w:t>
      </w:r>
      <w:r w:rsidRPr="00DA5B8F">
        <w:rPr>
          <w:rFonts w:ascii="Times New Roman" w:hAnsi="Times New Roman"/>
        </w:rPr>
        <w:t xml:space="preserve"> projekt</w:t>
      </w:r>
      <w:r w:rsidRPr="00DA5B8F" w:rsidR="000368DA">
        <w:rPr>
          <w:rFonts w:ascii="Times New Roman" w:hAnsi="Times New Roman"/>
        </w:rPr>
        <w:t>e</w:t>
      </w:r>
      <w:r w:rsidRPr="00DA5B8F">
        <w:rPr>
          <w:rFonts w:ascii="Times New Roman" w:hAnsi="Times New Roman"/>
        </w:rPr>
        <w:t xml:space="preserve"> elektronickej archivácie privatizačných projektov a k nim prislúchajúcej dokumentácie uloženej v špeciálnej časti registratúrneho strediska fondu, ktorým sa:</w:t>
      </w:r>
    </w:p>
    <w:p w:rsidR="002C3B67" w:rsidRPr="00DA5B8F" w:rsidP="00EE7E3A">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eliminuje riziko strát registratúrnych záznamov do budúcna,</w:t>
      </w:r>
    </w:p>
    <w:p w:rsidR="002C3B67" w:rsidRPr="00DA5B8F" w:rsidP="00EE7E3A">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zabezpečí archívna evidencia privatizačného procesu národného majetku Slovenskej republiky,</w:t>
      </w:r>
    </w:p>
    <w:p w:rsidR="002C3B67" w:rsidRPr="00DA5B8F" w:rsidP="00EE7E3A">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umožní odbornej, ako aj ostatnej verejnosti prístup k veciam verejným, ktoré je možné po právnej stránke zverejniť,</w:t>
      </w:r>
    </w:p>
    <w:p w:rsidR="002C3B67" w:rsidRPr="00DA5B8F" w:rsidP="00EE7E3A">
      <w:pPr>
        <w:pStyle w:val="Odsek1"/>
        <w:tabs>
          <w:tab w:val="num" w:pos="540"/>
          <w:tab w:val="clear" w:pos="720"/>
        </w:tabs>
        <w:bidi w:val="0"/>
        <w:spacing w:before="20" w:line="264" w:lineRule="auto"/>
        <w:ind w:left="538" w:hanging="357"/>
        <w:rPr>
          <w:rFonts w:ascii="Times New Roman" w:hAnsi="Times New Roman"/>
          <w:lang w:val="sk-SK"/>
        </w:rPr>
      </w:pPr>
      <w:r w:rsidRPr="00DA5B8F">
        <w:rPr>
          <w:rFonts w:ascii="Times New Roman" w:hAnsi="Times New Roman"/>
          <w:lang w:val="sk-SK"/>
        </w:rPr>
        <w:t>zefektívni prístup k dokumentom v bežnej prevádzke a vybavovaní.</w:t>
      </w:r>
    </w:p>
    <w:p w:rsidR="00856E80" w:rsidP="00EE7E3A">
      <w:pPr>
        <w:pStyle w:val="BodyTextIndent2"/>
        <w:bidi w:val="0"/>
        <w:spacing w:before="120" w:line="264" w:lineRule="auto"/>
        <w:ind w:left="0" w:firstLine="0"/>
        <w:rPr>
          <w:rFonts w:ascii="Times New Roman" w:hAnsi="Times New Roman"/>
        </w:rPr>
      </w:pPr>
      <w:r w:rsidRPr="00DA5B8F" w:rsidR="007976A0">
        <w:rPr>
          <w:rFonts w:ascii="Times New Roman" w:hAnsi="Times New Roman"/>
        </w:rPr>
        <w:t>Uvedený projekt fond ukončil 31.</w:t>
      </w:r>
      <w:r w:rsidR="0080286E">
        <w:rPr>
          <w:rFonts w:ascii="Times New Roman" w:hAnsi="Times New Roman"/>
        </w:rPr>
        <w:t> </w:t>
      </w:r>
      <w:r w:rsidRPr="00DA5B8F" w:rsidR="007976A0">
        <w:rPr>
          <w:rFonts w:ascii="Times New Roman" w:hAnsi="Times New Roman"/>
        </w:rPr>
        <w:t>10.</w:t>
      </w:r>
      <w:r w:rsidR="0080286E">
        <w:rPr>
          <w:rFonts w:ascii="Times New Roman" w:hAnsi="Times New Roman"/>
        </w:rPr>
        <w:t> </w:t>
      </w:r>
      <w:r w:rsidRPr="00DA5B8F" w:rsidR="007976A0">
        <w:rPr>
          <w:rFonts w:ascii="Times New Roman" w:hAnsi="Times New Roman"/>
        </w:rPr>
        <w:t>2014.</w:t>
      </w:r>
    </w:p>
    <w:p w:rsidR="00926C57" w:rsidP="00EE7E3A">
      <w:pPr>
        <w:pStyle w:val="BodyTextIndent2"/>
        <w:bidi w:val="0"/>
        <w:spacing w:before="120" w:line="264" w:lineRule="auto"/>
        <w:ind w:left="0" w:firstLine="0"/>
        <w:rPr>
          <w:rFonts w:ascii="Times New Roman" w:hAnsi="Times New Roman"/>
        </w:rPr>
      </w:pPr>
    </w:p>
    <w:p w:rsidR="002C3B67" w:rsidRPr="00E93685" w:rsidP="00EE7E3A">
      <w:pPr>
        <w:pStyle w:val="BodyTextIndent2"/>
        <w:bidi w:val="0"/>
        <w:spacing w:before="120" w:line="264" w:lineRule="auto"/>
        <w:ind w:left="0" w:firstLine="0"/>
        <w:rPr>
          <w:rFonts w:ascii="Times New Roman" w:hAnsi="Times New Roman"/>
        </w:rPr>
      </w:pPr>
      <w:r w:rsidRPr="00E93685">
        <w:rPr>
          <w:rFonts w:ascii="Times New Roman" w:hAnsi="Times New Roman"/>
        </w:rPr>
        <w:t>Okrem elektronickej archivácie privatizačných projektov v roku 201</w:t>
      </w:r>
      <w:r w:rsidRPr="00E93685" w:rsidR="000368DA">
        <w:rPr>
          <w:rFonts w:ascii="Times New Roman" w:hAnsi="Times New Roman"/>
        </w:rPr>
        <w:t>4 fond pokračoval</w:t>
      </w:r>
      <w:r w:rsidRPr="00E93685">
        <w:rPr>
          <w:rFonts w:ascii="Times New Roman" w:hAnsi="Times New Roman"/>
        </w:rPr>
        <w:t xml:space="preserve"> v spolupráci s poradcom </w:t>
      </w:r>
      <w:r w:rsidRPr="00E93685" w:rsidR="000368DA">
        <w:rPr>
          <w:rFonts w:ascii="Times New Roman" w:hAnsi="Times New Roman"/>
        </w:rPr>
        <w:t xml:space="preserve">na </w:t>
      </w:r>
      <w:r w:rsidRPr="00E93685">
        <w:rPr>
          <w:rFonts w:ascii="Times New Roman" w:hAnsi="Times New Roman"/>
        </w:rPr>
        <w:t>príprav</w:t>
      </w:r>
      <w:r w:rsidRPr="00E93685" w:rsidR="000368DA">
        <w:rPr>
          <w:rFonts w:ascii="Times New Roman" w:hAnsi="Times New Roman"/>
        </w:rPr>
        <w:t>e</w:t>
      </w:r>
      <w:r w:rsidRPr="00E93685">
        <w:rPr>
          <w:rFonts w:ascii="Times New Roman" w:hAnsi="Times New Roman"/>
        </w:rPr>
        <w:t xml:space="preserve"> kvalifikovaných právnych, organizačných a ekonomických analýz, u ktorých sa kladie dôraz predovšetkým na vhodnosť postupu pri útlme činnosti fondu tak, aby sa zamedzilo akémukoľvek riziku, či pochybnostiam v súvislosti s aplikáciou platných právnych noriem a tvorbe novej legislatívy vo vzťahu k problematike nakladania so štátnymi aktívami. Cieľom je vytvoriť pevný legislatívny základ umožňujúci bezrizikové nakladanie so štátnymi aktívami pri súčasnom zabezpečení ich efektívnej správy a vyťaženosti pre štátny rozpočet a tomu prispôsobiť časové hľadisko i vecné riešenie.</w:t>
      </w:r>
      <w:r w:rsidRPr="00E93685" w:rsidR="000368DA">
        <w:rPr>
          <w:rFonts w:ascii="Times New Roman" w:hAnsi="Times New Roman"/>
        </w:rPr>
        <w:t xml:space="preserve"> </w:t>
      </w:r>
      <w:r w:rsidRPr="00E93685">
        <w:rPr>
          <w:rFonts w:ascii="Times New Roman" w:hAnsi="Times New Roman"/>
        </w:rPr>
        <w:t>Úlohou poradcov je uskutočniť ekonomické, procesné a právne analýzy a poskytnúť odbornú asistenciu potrebnú pre plynulý priebeh procesu ukončenia činnosti fondu, vrátane minimalizácie ekonomických, právnych a odborných rizík</w:t>
      </w:r>
      <w:r w:rsidR="007C4E80">
        <w:rPr>
          <w:rFonts w:ascii="Times New Roman" w:hAnsi="Times New Roman"/>
        </w:rPr>
        <w:t>.</w:t>
      </w:r>
      <w:r w:rsidR="00E93685">
        <w:rPr>
          <w:rFonts w:ascii="Times New Roman" w:hAnsi="Times New Roman"/>
        </w:rPr>
        <w:t xml:space="preserve"> V priebehu roka 2015 dôjde k príprave a prijatiu legislatívy, ako nevyhnutného zákonného predpokladu pre úplné ukonče</w:t>
      </w:r>
      <w:r w:rsidR="00C14C15">
        <w:rPr>
          <w:rFonts w:ascii="Times New Roman" w:hAnsi="Times New Roman"/>
        </w:rPr>
        <w:t>nie</w:t>
      </w:r>
      <w:r w:rsidR="00E93685">
        <w:rPr>
          <w:rFonts w:ascii="Times New Roman" w:hAnsi="Times New Roman"/>
        </w:rPr>
        <w:t xml:space="preserve"> činnosti fondu. </w:t>
      </w:r>
      <w:r w:rsidR="00C14C15">
        <w:rPr>
          <w:rFonts w:ascii="Times New Roman" w:hAnsi="Times New Roman"/>
        </w:rPr>
        <w:t>Pr</w:t>
      </w:r>
      <w:r w:rsidR="00E93685">
        <w:rPr>
          <w:rFonts w:ascii="Times New Roman" w:hAnsi="Times New Roman"/>
        </w:rPr>
        <w:t>esné podmi</w:t>
      </w:r>
      <w:r w:rsidR="00C14C15">
        <w:rPr>
          <w:rFonts w:ascii="Times New Roman" w:hAnsi="Times New Roman"/>
        </w:rPr>
        <w:t>e</w:t>
      </w:r>
      <w:r w:rsidR="00E93685">
        <w:rPr>
          <w:rFonts w:ascii="Times New Roman" w:hAnsi="Times New Roman"/>
        </w:rPr>
        <w:t>nky, forma a pr</w:t>
      </w:r>
      <w:r w:rsidR="00C14C15">
        <w:rPr>
          <w:rFonts w:ascii="Times New Roman" w:hAnsi="Times New Roman"/>
        </w:rPr>
        <w:t>o</w:t>
      </w:r>
      <w:r w:rsidR="00E93685">
        <w:rPr>
          <w:rFonts w:ascii="Times New Roman" w:hAnsi="Times New Roman"/>
        </w:rPr>
        <w:t>ces vysporiadania aktív a pasív fondu budú formulované</w:t>
      </w:r>
      <w:r w:rsidR="00C14C15">
        <w:rPr>
          <w:rFonts w:ascii="Times New Roman" w:hAnsi="Times New Roman"/>
        </w:rPr>
        <w:t xml:space="preserve"> </w:t>
      </w:r>
      <w:r w:rsidR="00E93685">
        <w:rPr>
          <w:rFonts w:ascii="Times New Roman" w:hAnsi="Times New Roman"/>
        </w:rPr>
        <w:t>na základe záverov a odporúčaní porad</w:t>
      </w:r>
      <w:r w:rsidR="00C14C15">
        <w:rPr>
          <w:rFonts w:ascii="Times New Roman" w:hAnsi="Times New Roman"/>
        </w:rPr>
        <w:t>c</w:t>
      </w:r>
      <w:r w:rsidR="00E93685">
        <w:rPr>
          <w:rFonts w:ascii="Times New Roman" w:hAnsi="Times New Roman"/>
        </w:rPr>
        <w:t>u a v pot</w:t>
      </w:r>
      <w:r w:rsidR="00C14C15">
        <w:rPr>
          <w:rFonts w:ascii="Times New Roman" w:hAnsi="Times New Roman"/>
        </w:rPr>
        <w:t>r</w:t>
      </w:r>
      <w:r w:rsidR="00E93685">
        <w:rPr>
          <w:rFonts w:ascii="Times New Roman" w:hAnsi="Times New Roman"/>
        </w:rPr>
        <w:t>ebnom rozsahu re</w:t>
      </w:r>
      <w:r w:rsidR="00C14C15">
        <w:rPr>
          <w:rFonts w:ascii="Times New Roman" w:hAnsi="Times New Roman"/>
        </w:rPr>
        <w:t>f</w:t>
      </w:r>
      <w:r w:rsidR="00E93685">
        <w:rPr>
          <w:rFonts w:ascii="Times New Roman" w:hAnsi="Times New Roman"/>
        </w:rPr>
        <w:t xml:space="preserve">lektované v príslušných legislatívnych návrhoch. Návrh potrebných legislatívnych </w:t>
      </w:r>
      <w:r w:rsidR="00C14C15">
        <w:rPr>
          <w:rFonts w:ascii="Times New Roman" w:hAnsi="Times New Roman"/>
        </w:rPr>
        <w:t>ú</w:t>
      </w:r>
      <w:r w:rsidR="00E93685">
        <w:rPr>
          <w:rFonts w:ascii="Times New Roman" w:hAnsi="Times New Roman"/>
        </w:rPr>
        <w:t>p</w:t>
      </w:r>
      <w:r w:rsidR="00C14C15">
        <w:rPr>
          <w:rFonts w:ascii="Times New Roman" w:hAnsi="Times New Roman"/>
        </w:rPr>
        <w:t>r</w:t>
      </w:r>
      <w:r w:rsidR="00E93685">
        <w:rPr>
          <w:rFonts w:ascii="Times New Roman" w:hAnsi="Times New Roman"/>
        </w:rPr>
        <w:t>av bude predmetom riadneho legislatívneho procesu (prebehne schváleni</w:t>
      </w:r>
      <w:r w:rsidR="00C14C15">
        <w:rPr>
          <w:rFonts w:ascii="Times New Roman" w:hAnsi="Times New Roman"/>
        </w:rPr>
        <w:t>e</w:t>
      </w:r>
      <w:r w:rsidR="00E93685">
        <w:rPr>
          <w:rFonts w:ascii="Times New Roman" w:hAnsi="Times New Roman"/>
        </w:rPr>
        <w:t xml:space="preserve"> p</w:t>
      </w:r>
      <w:r w:rsidR="00C14C15">
        <w:rPr>
          <w:rFonts w:ascii="Times New Roman" w:hAnsi="Times New Roman"/>
        </w:rPr>
        <w:t>o</w:t>
      </w:r>
      <w:r w:rsidR="00E93685">
        <w:rPr>
          <w:rFonts w:ascii="Times New Roman" w:hAnsi="Times New Roman"/>
        </w:rPr>
        <w:t>tr</w:t>
      </w:r>
      <w:r w:rsidR="00C14C15">
        <w:rPr>
          <w:rFonts w:ascii="Times New Roman" w:hAnsi="Times New Roman"/>
        </w:rPr>
        <w:t>e</w:t>
      </w:r>
      <w:r w:rsidR="00E93685">
        <w:rPr>
          <w:rFonts w:ascii="Times New Roman" w:hAnsi="Times New Roman"/>
        </w:rPr>
        <w:t>bnej le</w:t>
      </w:r>
      <w:r w:rsidR="00C14C15">
        <w:rPr>
          <w:rFonts w:ascii="Times New Roman" w:hAnsi="Times New Roman"/>
        </w:rPr>
        <w:t>gi</w:t>
      </w:r>
      <w:r w:rsidR="00E93685">
        <w:rPr>
          <w:rFonts w:ascii="Times New Roman" w:hAnsi="Times New Roman"/>
        </w:rPr>
        <w:t>slatív</w:t>
      </w:r>
      <w:r w:rsidR="00C14C15">
        <w:rPr>
          <w:rFonts w:ascii="Times New Roman" w:hAnsi="Times New Roman"/>
        </w:rPr>
        <w:t>y</w:t>
      </w:r>
      <w:r w:rsidR="00E93685">
        <w:rPr>
          <w:rFonts w:ascii="Times New Roman" w:hAnsi="Times New Roman"/>
        </w:rPr>
        <w:t xml:space="preserve"> vo vláde a v</w:t>
      </w:r>
      <w:r w:rsidR="00C14C15">
        <w:rPr>
          <w:rFonts w:ascii="Times New Roman" w:hAnsi="Times New Roman"/>
        </w:rPr>
        <w:t> </w:t>
      </w:r>
      <w:r w:rsidR="00E93685">
        <w:rPr>
          <w:rFonts w:ascii="Times New Roman" w:hAnsi="Times New Roman"/>
        </w:rPr>
        <w:t>NR</w:t>
      </w:r>
      <w:r w:rsidR="00C14C15">
        <w:rPr>
          <w:rFonts w:ascii="Times New Roman" w:hAnsi="Times New Roman"/>
        </w:rPr>
        <w:t> </w:t>
      </w:r>
      <w:r w:rsidR="00E93685">
        <w:rPr>
          <w:rFonts w:ascii="Times New Roman" w:hAnsi="Times New Roman"/>
        </w:rPr>
        <w:t>SR)</w:t>
      </w:r>
      <w:r w:rsidR="00C14C15">
        <w:rPr>
          <w:rFonts w:ascii="Times New Roman" w:hAnsi="Times New Roman"/>
        </w:rPr>
        <w:t>,</w:t>
      </w:r>
      <w:r w:rsidR="00E93685">
        <w:rPr>
          <w:rFonts w:ascii="Times New Roman" w:hAnsi="Times New Roman"/>
        </w:rPr>
        <w:t xml:space="preserve"> pr</w:t>
      </w:r>
      <w:r w:rsidR="00C14C15">
        <w:rPr>
          <w:rFonts w:ascii="Times New Roman" w:hAnsi="Times New Roman"/>
        </w:rPr>
        <w:t>i</w:t>
      </w:r>
      <w:r w:rsidR="00E93685">
        <w:rPr>
          <w:rFonts w:ascii="Times New Roman" w:hAnsi="Times New Roman"/>
        </w:rPr>
        <w:t>čom sa počíta s účinnos</w:t>
      </w:r>
      <w:r w:rsidR="00C14C15">
        <w:rPr>
          <w:rFonts w:ascii="Times New Roman" w:hAnsi="Times New Roman"/>
        </w:rPr>
        <w:t>ťo</w:t>
      </w:r>
      <w:r w:rsidR="00E93685">
        <w:rPr>
          <w:rFonts w:ascii="Times New Roman" w:hAnsi="Times New Roman"/>
        </w:rPr>
        <w:t xml:space="preserve">u </w:t>
      </w:r>
      <w:r w:rsidR="00C14C15">
        <w:rPr>
          <w:rFonts w:ascii="Times New Roman" w:hAnsi="Times New Roman"/>
        </w:rPr>
        <w:t xml:space="preserve">tejto </w:t>
      </w:r>
      <w:r w:rsidR="00E93685">
        <w:rPr>
          <w:rFonts w:ascii="Times New Roman" w:hAnsi="Times New Roman"/>
        </w:rPr>
        <w:t>leg</w:t>
      </w:r>
      <w:r w:rsidR="00C14C15">
        <w:rPr>
          <w:rFonts w:ascii="Times New Roman" w:hAnsi="Times New Roman"/>
        </w:rPr>
        <w:t>i</w:t>
      </w:r>
      <w:r w:rsidR="00E93685">
        <w:rPr>
          <w:rFonts w:ascii="Times New Roman" w:hAnsi="Times New Roman"/>
        </w:rPr>
        <w:t>slatívy najneskôr k 1.</w:t>
      </w:r>
      <w:r w:rsidR="00C14C15">
        <w:rPr>
          <w:rFonts w:ascii="Times New Roman" w:hAnsi="Times New Roman"/>
        </w:rPr>
        <w:t> </w:t>
      </w:r>
      <w:r w:rsidR="00E93685">
        <w:rPr>
          <w:rFonts w:ascii="Times New Roman" w:hAnsi="Times New Roman"/>
        </w:rPr>
        <w:t>1</w:t>
      </w:r>
      <w:r w:rsidR="00C14C15">
        <w:rPr>
          <w:rFonts w:ascii="Times New Roman" w:hAnsi="Times New Roman"/>
        </w:rPr>
        <w:t>. </w:t>
      </w:r>
      <w:r w:rsidR="00E93685">
        <w:rPr>
          <w:rFonts w:ascii="Times New Roman" w:hAnsi="Times New Roman"/>
        </w:rPr>
        <w:t>2016.</w:t>
      </w:r>
    </w:p>
    <w:sectPr w:rsidSect="006A50A6">
      <w:footerReference w:type="default" r:id="rId6"/>
      <w:pgSz w:w="12240" w:h="15840" w:code="1"/>
      <w:pgMar w:top="1411" w:right="1411" w:bottom="1411" w:left="1411" w:header="706" w:footer="706"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FAB">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F31370">
      <w:rPr>
        <w:rStyle w:val="PageNumber"/>
        <w:noProof/>
      </w:rPr>
      <w:t>37</w:t>
    </w:r>
    <w:r>
      <w:rPr>
        <w:rStyle w:val="PageNumber"/>
      </w:rPr>
      <w:fldChar w:fldCharType="end"/>
    </w:r>
  </w:p>
  <w:p w:rsidR="009E6FAB">
    <w:pPr>
      <w:pStyle w:val="Footer"/>
      <w:bidi w:val="0"/>
      <w:ind w:right="360"/>
      <w:jc w:val="center"/>
      <w:rPr>
        <w:rFonts w:ascii="Times New Roman" w:hAnsi="Times New Roman"/>
        <w:color w:val="999999"/>
        <w:sz w:val="20"/>
        <w:szCs w:val="20"/>
        <w:lang w:val="sk-SK"/>
      </w:rPr>
    </w:pPr>
    <w:r>
      <w:rPr>
        <w:rFonts w:ascii="Times New Roman" w:hAnsi="Times New Roman"/>
        <w:color w:val="999999"/>
        <w:sz w:val="20"/>
        <w:szCs w:val="20"/>
        <w:lang w:val="sk-SK"/>
      </w:rPr>
      <w:t>Výročná správa o činnosti Fondu národného majetku Slovenskej republiky za rok 2014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3173"/>
    <w:multiLevelType w:val="multilevel"/>
    <w:tmpl w:val="81180A2E"/>
    <w:lvl w:ilvl="0">
      <w:start w:val="3"/>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4.%2"/>
      <w:lvlJc w:val="left"/>
      <w:pPr>
        <w:tabs>
          <w:tab w:val="num" w:pos="360"/>
        </w:tabs>
        <w:ind w:left="360" w:hanging="360"/>
      </w:pPr>
      <w:rPr>
        <w:rFonts w:ascii="Times New Roman" w:hAnsi="Times New Roman" w:cs="Times New Roman" w:hint="default"/>
        <w:rtl w:val="0"/>
        <w:cs w:val="0"/>
      </w:rPr>
    </w:lvl>
    <w:lvl w:ilvl="2">
      <w:start w:val="1"/>
      <w:numFmt w:val="decimal"/>
      <w:lvlText w:val="%1.%2.%3"/>
      <w:lvlJc w:val="left"/>
      <w:pPr>
        <w:tabs>
          <w:tab w:val="num" w:pos="720"/>
        </w:tabs>
        <w:ind w:left="720" w:hanging="720"/>
      </w:pPr>
      <w:rPr>
        <w:rFonts w:ascii="Times New Roman" w:hAnsi="Times New Roman" w:cs="Times New Roman" w:hint="default"/>
        <w:rtl w:val="0"/>
        <w:cs w:val="0"/>
      </w:rPr>
    </w:lvl>
    <w:lvl w:ilvl="3">
      <w:start w:val="1"/>
      <w:numFmt w:val="decimal"/>
      <w:lvlText w:val="%1.%2.%3.%4"/>
      <w:lvlJc w:val="left"/>
      <w:pPr>
        <w:tabs>
          <w:tab w:val="num" w:pos="720"/>
        </w:tabs>
        <w:ind w:left="720" w:hanging="720"/>
      </w:pPr>
      <w:rPr>
        <w:rFonts w:ascii="Times New Roman" w:hAnsi="Times New Roman" w:cs="Times New Roman" w:hint="default"/>
        <w:rtl w:val="0"/>
        <w:cs w:val="0"/>
      </w:rPr>
    </w:lvl>
    <w:lvl w:ilvl="4">
      <w:start w:val="1"/>
      <w:numFmt w:val="decimal"/>
      <w:lvlText w:val="%1.%2.%3.%4.%5"/>
      <w:lvlJc w:val="left"/>
      <w:pPr>
        <w:tabs>
          <w:tab w:val="num" w:pos="1080"/>
        </w:tabs>
        <w:ind w:left="1080" w:hanging="1080"/>
      </w:pPr>
      <w:rPr>
        <w:rFonts w:ascii="Times New Roman" w:hAnsi="Times New Roman" w:cs="Times New Roman" w:hint="default"/>
        <w:rtl w:val="0"/>
        <w:cs w:val="0"/>
      </w:rPr>
    </w:lvl>
    <w:lvl w:ilvl="5">
      <w:start w:val="1"/>
      <w:numFmt w:val="decimal"/>
      <w:lvlText w:val="%1.%2.%3.%4.%5.%6"/>
      <w:lvlJc w:val="left"/>
      <w:pPr>
        <w:tabs>
          <w:tab w:val="num" w:pos="1080"/>
        </w:tabs>
        <w:ind w:left="1080" w:hanging="1080"/>
      </w:pPr>
      <w:rPr>
        <w:rFonts w:ascii="Times New Roman" w:hAnsi="Times New Roman" w:cs="Times New Roman" w:hint="default"/>
        <w:rtl w:val="0"/>
        <w:cs w:val="0"/>
      </w:rPr>
    </w:lvl>
    <w:lvl w:ilvl="6">
      <w:start w:val="1"/>
      <w:numFmt w:val="decimal"/>
      <w:lvlText w:val="%1.%2.%3.%4.%5.%6.%7"/>
      <w:lvlJc w:val="left"/>
      <w:pPr>
        <w:tabs>
          <w:tab w:val="num" w:pos="1440"/>
        </w:tabs>
        <w:ind w:left="1440" w:hanging="1440"/>
      </w:pPr>
      <w:rPr>
        <w:rFonts w:ascii="Times New Roman" w:hAnsi="Times New Roman" w:cs="Times New Roman" w:hint="default"/>
        <w:rtl w:val="0"/>
        <w:cs w:val="0"/>
      </w:rPr>
    </w:lvl>
    <w:lvl w:ilvl="7">
      <w:start w:val="1"/>
      <w:numFmt w:val="decimal"/>
      <w:lvlText w:val="%1.%2.%3.%4.%5.%6.%7.%8"/>
      <w:lvlJc w:val="left"/>
      <w:pPr>
        <w:tabs>
          <w:tab w:val="num" w:pos="1440"/>
        </w:tabs>
        <w:ind w:left="1440" w:hanging="1440"/>
      </w:pPr>
      <w:rPr>
        <w:rFonts w:ascii="Times New Roman" w:hAnsi="Times New Roman" w:cs="Times New Roman" w:hint="default"/>
        <w:rtl w:val="0"/>
        <w:cs w:val="0"/>
      </w:rPr>
    </w:lvl>
    <w:lvl w:ilvl="8">
      <w:start w:val="1"/>
      <w:numFmt w:val="decimal"/>
      <w:lvlText w:val="%1.%2.%3.%4.%5.%6.%7.%8.%9"/>
      <w:lvlJc w:val="left"/>
      <w:pPr>
        <w:tabs>
          <w:tab w:val="num" w:pos="1800"/>
        </w:tabs>
        <w:ind w:left="1800" w:hanging="1800"/>
      </w:pPr>
      <w:rPr>
        <w:rFonts w:ascii="Times New Roman" w:hAnsi="Times New Roman" w:cs="Times New Roman" w:hint="default"/>
        <w:rtl w:val="0"/>
        <w:cs w:val="0"/>
      </w:rPr>
    </w:lvl>
  </w:abstractNum>
  <w:abstractNum w:abstractNumId="1">
    <w:nsid w:val="0B347ADE"/>
    <w:multiLevelType w:val="hybridMultilevel"/>
    <w:tmpl w:val="EE54A0A6"/>
    <w:lvl w:ilvl="0">
      <w:start w:val="1"/>
      <w:numFmt w:val="bullet"/>
      <w:pStyle w:val="ostavec3"/>
      <w:lvlText w:val=""/>
      <w:lvlJc w:val="left"/>
      <w:pPr>
        <w:tabs>
          <w:tab w:val="num" w:pos="1494"/>
        </w:tabs>
        <w:ind w:left="1494"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B432C6"/>
    <w:multiLevelType w:val="multilevel"/>
    <w:tmpl w:val="08A2978A"/>
    <w:lvl w:ilvl="0">
      <w:start w:val="2"/>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1.%2"/>
      <w:lvlJc w:val="left"/>
      <w:pPr>
        <w:tabs>
          <w:tab w:val="num" w:pos="360"/>
        </w:tabs>
        <w:ind w:left="360" w:hanging="360"/>
      </w:pPr>
      <w:rPr>
        <w:rFonts w:ascii="Times New Roman" w:hAnsi="Times New Roman" w:cs="Times New Roman" w:hint="default"/>
        <w:rtl w:val="0"/>
        <w:cs w:val="0"/>
      </w:rPr>
    </w:lvl>
    <w:lvl w:ilvl="2">
      <w:start w:val="1"/>
      <w:numFmt w:val="decimal"/>
      <w:lvlText w:val="%1.%2.%3"/>
      <w:lvlJc w:val="left"/>
      <w:pPr>
        <w:tabs>
          <w:tab w:val="num" w:pos="720"/>
        </w:tabs>
        <w:ind w:left="720" w:hanging="720"/>
      </w:pPr>
      <w:rPr>
        <w:rFonts w:ascii="Times New Roman" w:hAnsi="Times New Roman" w:cs="Times New Roman" w:hint="default"/>
        <w:rtl w:val="0"/>
        <w:cs w:val="0"/>
      </w:rPr>
    </w:lvl>
    <w:lvl w:ilvl="3">
      <w:start w:val="1"/>
      <w:numFmt w:val="decimal"/>
      <w:lvlText w:val="%1.%2.%3.%4"/>
      <w:lvlJc w:val="left"/>
      <w:pPr>
        <w:tabs>
          <w:tab w:val="num" w:pos="720"/>
        </w:tabs>
        <w:ind w:left="720" w:hanging="720"/>
      </w:pPr>
      <w:rPr>
        <w:rFonts w:ascii="Times New Roman" w:hAnsi="Times New Roman" w:cs="Times New Roman" w:hint="default"/>
        <w:rtl w:val="0"/>
        <w:cs w:val="0"/>
      </w:rPr>
    </w:lvl>
    <w:lvl w:ilvl="4">
      <w:start w:val="1"/>
      <w:numFmt w:val="decimal"/>
      <w:lvlText w:val="%1.%2.%3.%4.%5"/>
      <w:lvlJc w:val="left"/>
      <w:pPr>
        <w:tabs>
          <w:tab w:val="num" w:pos="1080"/>
        </w:tabs>
        <w:ind w:left="1080" w:hanging="1080"/>
      </w:pPr>
      <w:rPr>
        <w:rFonts w:ascii="Times New Roman" w:hAnsi="Times New Roman" w:cs="Times New Roman" w:hint="default"/>
        <w:rtl w:val="0"/>
        <w:cs w:val="0"/>
      </w:rPr>
    </w:lvl>
    <w:lvl w:ilvl="5">
      <w:start w:val="1"/>
      <w:numFmt w:val="decimal"/>
      <w:lvlText w:val="%1.%2.%3.%4.%5.%6"/>
      <w:lvlJc w:val="left"/>
      <w:pPr>
        <w:tabs>
          <w:tab w:val="num" w:pos="1080"/>
        </w:tabs>
        <w:ind w:left="1080" w:hanging="1080"/>
      </w:pPr>
      <w:rPr>
        <w:rFonts w:ascii="Times New Roman" w:hAnsi="Times New Roman" w:cs="Times New Roman" w:hint="default"/>
        <w:rtl w:val="0"/>
        <w:cs w:val="0"/>
      </w:rPr>
    </w:lvl>
    <w:lvl w:ilvl="6">
      <w:start w:val="1"/>
      <w:numFmt w:val="decimal"/>
      <w:lvlText w:val="%1.%2.%3.%4.%5.%6.%7"/>
      <w:lvlJc w:val="left"/>
      <w:pPr>
        <w:tabs>
          <w:tab w:val="num" w:pos="1440"/>
        </w:tabs>
        <w:ind w:left="1440" w:hanging="1440"/>
      </w:pPr>
      <w:rPr>
        <w:rFonts w:ascii="Times New Roman" w:hAnsi="Times New Roman" w:cs="Times New Roman" w:hint="default"/>
        <w:rtl w:val="0"/>
        <w:cs w:val="0"/>
      </w:rPr>
    </w:lvl>
    <w:lvl w:ilvl="7">
      <w:start w:val="1"/>
      <w:numFmt w:val="decimal"/>
      <w:lvlText w:val="%1.%2.%3.%4.%5.%6.%7.%8"/>
      <w:lvlJc w:val="left"/>
      <w:pPr>
        <w:tabs>
          <w:tab w:val="num" w:pos="1440"/>
        </w:tabs>
        <w:ind w:left="1440" w:hanging="1440"/>
      </w:pPr>
      <w:rPr>
        <w:rFonts w:ascii="Times New Roman" w:hAnsi="Times New Roman" w:cs="Times New Roman" w:hint="default"/>
        <w:rtl w:val="0"/>
        <w:cs w:val="0"/>
      </w:rPr>
    </w:lvl>
    <w:lvl w:ilvl="8">
      <w:start w:val="1"/>
      <w:numFmt w:val="decimal"/>
      <w:lvlText w:val="%1.%2.%3.%4.%5.%6.%7.%8.%9"/>
      <w:lvlJc w:val="left"/>
      <w:pPr>
        <w:tabs>
          <w:tab w:val="num" w:pos="1800"/>
        </w:tabs>
        <w:ind w:left="1800" w:hanging="1800"/>
      </w:pPr>
      <w:rPr>
        <w:rFonts w:ascii="Times New Roman" w:hAnsi="Times New Roman" w:cs="Times New Roman" w:hint="default"/>
        <w:rtl w:val="0"/>
        <w:cs w:val="0"/>
      </w:rPr>
    </w:lvl>
  </w:abstractNum>
  <w:abstractNum w:abstractNumId="3">
    <w:nsid w:val="0C8A2991"/>
    <w:multiLevelType w:val="multilevel"/>
    <w:tmpl w:val="3C027536"/>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1.%2."/>
      <w:lvlJc w:val="left"/>
      <w:pPr>
        <w:tabs>
          <w:tab w:val="num" w:pos="792"/>
        </w:tabs>
        <w:ind w:left="792" w:hanging="432"/>
      </w:pPr>
      <w:rPr>
        <w:rFonts w:ascii="Times New Roman" w:hAnsi="Times New Roman" w:cs="Times New Roman" w:hint="default"/>
        <w:rtl w:val="0"/>
        <w:cs w:val="0"/>
      </w:rPr>
    </w:lvl>
    <w:lvl w:ilvl="2">
      <w:start w:val="1"/>
      <w:numFmt w:val="decimal"/>
      <w:lvlText w:val="%1.%2.%3."/>
      <w:lvlJc w:val="left"/>
      <w:pPr>
        <w:tabs>
          <w:tab w:val="num" w:pos="1440"/>
        </w:tabs>
        <w:ind w:left="1224" w:hanging="504"/>
      </w:pPr>
      <w:rPr>
        <w:rFonts w:ascii="Times New Roman" w:hAnsi="Times New Roman" w:cs="Times New Roman" w:hint="default"/>
        <w:rtl w:val="0"/>
        <w:cs w:val="0"/>
      </w:rPr>
    </w:lvl>
    <w:lvl w:ilvl="3">
      <w:start w:val="1"/>
      <w:numFmt w:val="decimal"/>
      <w:lvlText w:val="%1.%2.%3.%4."/>
      <w:lvlJc w:val="left"/>
      <w:pPr>
        <w:tabs>
          <w:tab w:val="num" w:pos="1800"/>
        </w:tabs>
        <w:ind w:left="1728" w:hanging="648"/>
      </w:pPr>
      <w:rPr>
        <w:rFonts w:ascii="Times New Roman" w:hAnsi="Times New Roman" w:cs="Times New Roman" w:hint="default"/>
        <w:rtl w:val="0"/>
        <w:cs w:val="0"/>
      </w:rPr>
    </w:lvl>
    <w:lvl w:ilvl="4">
      <w:start w:val="1"/>
      <w:numFmt w:val="decimal"/>
      <w:lvlText w:val="%1.%2.%3.%4.%5."/>
      <w:lvlJc w:val="left"/>
      <w:pPr>
        <w:tabs>
          <w:tab w:val="num" w:pos="2520"/>
        </w:tabs>
        <w:ind w:left="2232" w:hanging="792"/>
      </w:pPr>
      <w:rPr>
        <w:rFonts w:ascii="Times New Roman" w:hAnsi="Times New Roman" w:cs="Times New Roman" w:hint="default"/>
        <w:rtl w:val="0"/>
        <w:cs w:val="0"/>
      </w:rPr>
    </w:lvl>
    <w:lvl w:ilvl="5">
      <w:start w:val="1"/>
      <w:numFmt w:val="decimal"/>
      <w:lvlText w:val="%1.%2.%3.%4.%5.%6."/>
      <w:lvlJc w:val="left"/>
      <w:pPr>
        <w:tabs>
          <w:tab w:val="num" w:pos="2880"/>
        </w:tabs>
        <w:ind w:left="2736" w:hanging="936"/>
      </w:pPr>
      <w:rPr>
        <w:rFonts w:ascii="Times New Roman" w:hAnsi="Times New Roman" w:cs="Times New Roman" w:hint="default"/>
        <w:rtl w:val="0"/>
        <w:cs w:val="0"/>
      </w:rPr>
    </w:lvl>
    <w:lvl w:ilvl="6">
      <w:start w:val="1"/>
      <w:numFmt w:val="decimal"/>
      <w:lvlText w:val="%1.%2.%3.%4.%5.%6.%7."/>
      <w:lvlJc w:val="left"/>
      <w:pPr>
        <w:tabs>
          <w:tab w:val="num" w:pos="3600"/>
        </w:tabs>
        <w:ind w:left="3240" w:hanging="1080"/>
      </w:pPr>
      <w:rPr>
        <w:rFonts w:ascii="Times New Roman" w:hAnsi="Times New Roman" w:cs="Times New Roman" w:hint="default"/>
        <w:rtl w:val="0"/>
        <w:cs w:val="0"/>
      </w:rPr>
    </w:lvl>
    <w:lvl w:ilvl="7">
      <w:start w:val="1"/>
      <w:numFmt w:val="decimal"/>
      <w:lvlText w:val="%1.%2.%3.%4.%5.%6.%7.%8."/>
      <w:lvlJc w:val="left"/>
      <w:pPr>
        <w:tabs>
          <w:tab w:val="num" w:pos="3960"/>
        </w:tabs>
        <w:ind w:left="3744" w:hanging="1224"/>
      </w:pPr>
      <w:rPr>
        <w:rFonts w:ascii="Times New Roman" w:hAnsi="Times New Roman" w:cs="Times New Roman" w:hint="default"/>
        <w:rtl w:val="0"/>
        <w:cs w:val="0"/>
      </w:rPr>
    </w:lvl>
    <w:lvl w:ilvl="8">
      <w:start w:val="1"/>
      <w:numFmt w:val="decimal"/>
      <w:lvlText w:val="%1.%2.%3.%4.%5.%6.%7.%8.%9."/>
      <w:lvlJc w:val="left"/>
      <w:pPr>
        <w:tabs>
          <w:tab w:val="num" w:pos="4680"/>
        </w:tabs>
        <w:ind w:left="4320" w:hanging="1440"/>
      </w:pPr>
      <w:rPr>
        <w:rFonts w:ascii="Times New Roman" w:hAnsi="Times New Roman" w:cs="Times New Roman" w:hint="default"/>
        <w:rtl w:val="0"/>
        <w:cs w:val="0"/>
      </w:rPr>
    </w:lvl>
  </w:abstractNum>
  <w:abstractNum w:abstractNumId="4">
    <w:nsid w:val="1820405B"/>
    <w:multiLevelType w:val="hybridMultilevel"/>
    <w:tmpl w:val="D29077EC"/>
    <w:lvl w:ilvl="0">
      <w:start w:val="1"/>
      <w:numFmt w:val="decimal"/>
      <w:lvlText w:val="%1."/>
      <w:lvlJc w:val="left"/>
      <w:pPr>
        <w:tabs>
          <w:tab w:val="num" w:pos="720"/>
        </w:tabs>
        <w:ind w:left="720" w:hanging="360"/>
      </w:pPr>
      <w:rPr>
        <w:rFonts w:ascii="Times New Roman" w:hAnsi="Times New Roman" w:cs="Times New Roman" w:hint="default"/>
        <w:b/>
        <w:i w:val="0"/>
        <w:rtl w:val="0"/>
        <w:cs w:val="0"/>
      </w:rPr>
    </w:lvl>
    <w:lvl w:ilvl="1">
      <w:start w:val="0"/>
      <w:numFmt w:val="none"/>
      <w:lvlJc w:val="left"/>
      <w:pPr>
        <w:tabs>
          <w:tab w:val="num" w:pos="360"/>
        </w:tabs>
      </w:pPr>
      <w:rPr>
        <w:rFonts w:ascii="Times New Roman" w:hAnsi="Times New Roman" w:cs="Times New Roman"/>
        <w:rtl w:val="0"/>
        <w:cs w:val="0"/>
      </w:rPr>
    </w:lvl>
    <w:lvl w:ilvl="2">
      <w:start w:val="0"/>
      <w:numFmt w:val="none"/>
      <w:lvlJc w:val="left"/>
      <w:pPr>
        <w:tabs>
          <w:tab w:val="num" w:pos="360"/>
        </w:tabs>
      </w:pPr>
      <w:rPr>
        <w:rFonts w:ascii="Times New Roman" w:hAnsi="Times New Roman" w:cs="Times New Roman"/>
        <w:rtl w:val="0"/>
        <w:cs w:val="0"/>
      </w:rPr>
    </w:lvl>
    <w:lvl w:ilvl="3">
      <w:start w:val="0"/>
      <w:numFmt w:val="none"/>
      <w:lvlJc w:val="left"/>
      <w:pPr>
        <w:tabs>
          <w:tab w:val="num" w:pos="360"/>
        </w:tabs>
      </w:pPr>
      <w:rPr>
        <w:rFonts w:ascii="Times New Roman" w:hAnsi="Times New Roman" w:cs="Times New Roman"/>
        <w:rtl w:val="0"/>
        <w:cs w:val="0"/>
      </w:rPr>
    </w:lvl>
    <w:lvl w:ilvl="4">
      <w:start w:val="0"/>
      <w:numFmt w:val="none"/>
      <w:lvlJc w:val="left"/>
      <w:pPr>
        <w:tabs>
          <w:tab w:val="num" w:pos="360"/>
        </w:tabs>
      </w:pPr>
      <w:rPr>
        <w:rFonts w:ascii="Times New Roman" w:hAnsi="Times New Roman" w:cs="Times New Roman"/>
        <w:rtl w:val="0"/>
        <w:cs w:val="0"/>
      </w:rPr>
    </w:lvl>
    <w:lvl w:ilvl="5">
      <w:start w:val="0"/>
      <w:numFmt w:val="none"/>
      <w:lvlJc w:val="left"/>
      <w:pPr>
        <w:tabs>
          <w:tab w:val="num" w:pos="360"/>
        </w:tabs>
      </w:pPr>
      <w:rPr>
        <w:rFonts w:ascii="Times New Roman" w:hAnsi="Times New Roman" w:cs="Times New Roman"/>
        <w:rtl w:val="0"/>
        <w:cs w:val="0"/>
      </w:rPr>
    </w:lvl>
    <w:lvl w:ilvl="6">
      <w:start w:val="0"/>
      <w:numFmt w:val="none"/>
      <w:lvlJc w:val="left"/>
      <w:pPr>
        <w:tabs>
          <w:tab w:val="num" w:pos="360"/>
        </w:tabs>
      </w:pPr>
      <w:rPr>
        <w:rFonts w:ascii="Times New Roman" w:hAnsi="Times New Roman" w:cs="Times New Roman"/>
        <w:rtl w:val="0"/>
        <w:cs w:val="0"/>
      </w:rPr>
    </w:lvl>
    <w:lvl w:ilvl="7">
      <w:start w:val="0"/>
      <w:numFmt w:val="none"/>
      <w:lvlJc w:val="left"/>
      <w:pPr>
        <w:tabs>
          <w:tab w:val="num" w:pos="360"/>
        </w:tabs>
      </w:pPr>
      <w:rPr>
        <w:rFonts w:ascii="Times New Roman" w:hAnsi="Times New Roman" w:cs="Times New Roman"/>
        <w:rtl w:val="0"/>
        <w:cs w:val="0"/>
      </w:rPr>
    </w:lvl>
    <w:lvl w:ilvl="8">
      <w:start w:val="0"/>
      <w:numFmt w:val="none"/>
      <w:lvlJc w:val="left"/>
      <w:pPr>
        <w:tabs>
          <w:tab w:val="num" w:pos="360"/>
        </w:tabs>
      </w:pPr>
      <w:rPr>
        <w:rFonts w:ascii="Times New Roman" w:hAnsi="Times New Roman" w:cs="Times New Roman"/>
        <w:rtl w:val="0"/>
        <w:cs w:val="0"/>
      </w:rPr>
    </w:lvl>
  </w:abstractNum>
  <w:abstractNum w:abstractNumId="5">
    <w:nsid w:val="1D7006AC"/>
    <w:multiLevelType w:val="hybridMultilevel"/>
    <w:tmpl w:val="43DA4D96"/>
    <w:lvl w:ilvl="0">
      <w:start w:val="1"/>
      <w:numFmt w:val="decimal"/>
      <w:pStyle w:val="Styl2"/>
      <w:lvlText w:val="%1./"/>
      <w:lvlJc w:val="left"/>
      <w:pPr>
        <w:tabs>
          <w:tab w:val="num" w:pos="927"/>
        </w:tabs>
        <w:ind w:left="927" w:hanging="360"/>
      </w:pPr>
      <w:rPr>
        <w:rFonts w:ascii="Times New Roman" w:hAnsi="Times New Roman" w:cs="Times New Roman" w:hint="default"/>
        <w:b/>
        <w:i w:val="0"/>
        <w:rtl w:val="0"/>
        <w:cs w:val="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
    <w:nsid w:val="1F9F4517"/>
    <w:multiLevelType w:val="hybridMultilevel"/>
    <w:tmpl w:val="5A2492EA"/>
    <w:lvl w:ilvl="0">
      <w:start w:val="1"/>
      <w:numFmt w:val="upperRoman"/>
      <w:lvlText w:val="%1."/>
      <w:lvlJc w:val="left"/>
      <w:pPr>
        <w:tabs>
          <w:tab w:val="num" w:pos="1080"/>
        </w:tabs>
        <w:ind w:left="1080" w:hanging="720"/>
      </w:pPr>
      <w:rPr>
        <w:rFonts w:ascii="Times New Roman" w:hAnsi="Times New Roman" w:cs="Times New Roman" w:hint="default"/>
        <w:b/>
        <w:i/>
        <w:sz w:val="26"/>
        <w:szCs w:val="26"/>
        <w:rtl w:val="0"/>
        <w:cs w:val="0"/>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7">
    <w:nsid w:val="246E4770"/>
    <w:multiLevelType w:val="multilevel"/>
    <w:tmpl w:val="74567376"/>
    <w:lvl w:ilvl="0">
      <w:start w:val="3"/>
      <w:numFmt w:val="decimal"/>
      <w:lvlText w:val="%1"/>
      <w:lvlJc w:val="left"/>
      <w:pPr>
        <w:tabs>
          <w:tab w:val="num" w:pos="705"/>
        </w:tabs>
        <w:ind w:left="705" w:hanging="705"/>
      </w:pPr>
      <w:rPr>
        <w:rFonts w:cs="Times New Roman" w:hint="default"/>
        <w:rtl w:val="0"/>
        <w:cs w:val="0"/>
      </w:rPr>
    </w:lvl>
    <w:lvl w:ilvl="1">
      <w:start w:val="1"/>
      <w:numFmt w:val="decimal"/>
      <w:lvlText w:val="%1.%2"/>
      <w:lvlJc w:val="left"/>
      <w:pPr>
        <w:tabs>
          <w:tab w:val="num" w:pos="705"/>
        </w:tabs>
        <w:ind w:left="705" w:hanging="705"/>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8">
    <w:nsid w:val="24CE386C"/>
    <w:multiLevelType w:val="multilevel"/>
    <w:tmpl w:val="78B2CD66"/>
    <w:lvl w:ilvl="0">
      <w:start w:val="3"/>
      <w:numFmt w:val="decimal"/>
      <w:lvlText w:val="%1"/>
      <w:lvlJc w:val="left"/>
      <w:pPr>
        <w:ind w:left="360" w:hanging="360"/>
      </w:pPr>
      <w:rPr>
        <w:rFonts w:cs="Times New Roman" w:hint="default"/>
        <w:rtl w:val="0"/>
        <w:cs w:val="0"/>
      </w:rPr>
    </w:lvl>
    <w:lvl w:ilvl="1">
      <w:start w:val="1"/>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9">
    <w:nsid w:val="25A90C81"/>
    <w:multiLevelType w:val="hybridMultilevel"/>
    <w:tmpl w:val="CA501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68037AA"/>
    <w:multiLevelType w:val="hybridMultilevel"/>
    <w:tmpl w:val="7D9EA9C2"/>
    <w:lvl w:ilvl="0">
      <w:start w:val="1"/>
      <w:numFmt w:val="lowerLetter"/>
      <w:lvlText w:val="%1)"/>
      <w:lvlJc w:val="left"/>
      <w:pPr>
        <w:tabs>
          <w:tab w:val="num" w:pos="3132"/>
        </w:tabs>
        <w:ind w:left="3132"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7F63C46"/>
    <w:multiLevelType w:val="hybridMultilevel"/>
    <w:tmpl w:val="5D0AD2CC"/>
    <w:lvl w:ilvl="0">
      <w:start w:val="1"/>
      <w:numFmt w:val="decimal"/>
      <w:lvlText w:val="%1./"/>
      <w:lvlJc w:val="left"/>
      <w:pPr>
        <w:tabs>
          <w:tab w:val="num" w:pos="567"/>
        </w:tabs>
        <w:ind w:left="567" w:hanging="567"/>
      </w:pPr>
      <w:rPr>
        <w:rFonts w:ascii="Times New Roman" w:eastAsia="Times New Roman" w:hAnsi="Times New Roman" w:cs="Times New Roman" w:hint="default"/>
        <w:b/>
        <w:rtl w:val="0"/>
        <w:cs w:val="0"/>
      </w:rPr>
    </w:lvl>
    <w:lvl w:ilvl="1">
      <w:start w:val="1"/>
      <w:numFmt w:val="decimal"/>
      <w:lvlText w:val="%2.)"/>
      <w:lvlJc w:val="left"/>
      <w:pPr>
        <w:tabs>
          <w:tab w:val="num" w:pos="1440"/>
        </w:tabs>
        <w:ind w:left="1440" w:hanging="360"/>
      </w:pPr>
      <w:rPr>
        <w:rFonts w:ascii="Times New Roman" w:hAnsi="Times New Roman" w:cs="Times New Roman" w:hint="default"/>
        <w:u w:val="words"/>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2">
    <w:nsid w:val="2C1B532B"/>
    <w:multiLevelType w:val="multilevel"/>
    <w:tmpl w:val="74567376"/>
    <w:lvl w:ilvl="0">
      <w:start w:val="4"/>
      <w:numFmt w:val="decimal"/>
      <w:lvlText w:val="%1"/>
      <w:lvlJc w:val="left"/>
      <w:pPr>
        <w:tabs>
          <w:tab w:val="num" w:pos="705"/>
        </w:tabs>
        <w:ind w:left="705" w:hanging="705"/>
      </w:pPr>
      <w:rPr>
        <w:rFonts w:cs="Times New Roman" w:hint="default"/>
        <w:rtl w:val="0"/>
        <w:cs w:val="0"/>
      </w:rPr>
    </w:lvl>
    <w:lvl w:ilvl="1">
      <w:start w:val="1"/>
      <w:numFmt w:val="decimal"/>
      <w:lvlText w:val="%1.%2"/>
      <w:lvlJc w:val="left"/>
      <w:pPr>
        <w:tabs>
          <w:tab w:val="num" w:pos="705"/>
        </w:tabs>
        <w:ind w:left="705" w:hanging="705"/>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3">
    <w:nsid w:val="2E1D594A"/>
    <w:multiLevelType w:val="hybridMultilevel"/>
    <w:tmpl w:val="C6B6EEF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3F695CA0"/>
    <w:multiLevelType w:val="hybridMultilevel"/>
    <w:tmpl w:val="F20C4BB0"/>
    <w:lvl w:ilvl="0">
      <w:start w:val="0"/>
      <w:numFmt w:val="bullet"/>
      <w:lvlText w:val="-"/>
      <w:lvlJc w:val="left"/>
      <w:pPr>
        <w:tabs>
          <w:tab w:val="num" w:pos="1527"/>
        </w:tabs>
        <w:ind w:left="1527" w:hanging="9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48327137"/>
    <w:multiLevelType w:val="hybridMultilevel"/>
    <w:tmpl w:val="52EA7264"/>
    <w:lvl w:ilvl="0">
      <w:start w:val="0"/>
      <w:numFmt w:val="bullet"/>
      <w:lvlText w:val="-"/>
      <w:lvlJc w:val="left"/>
      <w:pPr>
        <w:tabs>
          <w:tab w:val="num" w:pos="927"/>
        </w:tabs>
        <w:ind w:left="927" w:hanging="360"/>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6">
    <w:nsid w:val="48BC0EA1"/>
    <w:multiLevelType w:val="hybridMultilevel"/>
    <w:tmpl w:val="F5D23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8E701B1"/>
    <w:multiLevelType w:val="hybridMultilevel"/>
    <w:tmpl w:val="5A2492EA"/>
    <w:lvl w:ilvl="0">
      <w:start w:val="1"/>
      <w:numFmt w:val="bullet"/>
      <w:pStyle w:val="Odsek1"/>
      <w:lvlText w:val=""/>
      <w:lvlJc w:val="left"/>
      <w:pPr>
        <w:tabs>
          <w:tab w:val="num" w:pos="720"/>
        </w:tabs>
        <w:ind w:left="720" w:hanging="360"/>
      </w:pPr>
      <w:rPr>
        <w:rFonts w:ascii="Symbol" w:hAnsi="Symbol" w:hint="default"/>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55E04978"/>
    <w:multiLevelType w:val="hybridMultilevel"/>
    <w:tmpl w:val="67743C14"/>
    <w:lvl w:ilvl="0">
      <w:start w:val="1"/>
      <w:numFmt w:val="lowerLetter"/>
      <w:lvlText w:val="%1)"/>
      <w:lvlJc w:val="left"/>
      <w:pPr>
        <w:tabs>
          <w:tab w:val="num" w:pos="3132"/>
        </w:tabs>
        <w:ind w:left="3132" w:hanging="360"/>
      </w:pPr>
      <w:rPr>
        <w:rFonts w:ascii="Times New Roman" w:hAnsi="Times New Roman" w:cs="Times New Roman" w:hint="default"/>
        <w:rtl w:val="0"/>
        <w:cs w:val="0"/>
      </w:rPr>
    </w:lvl>
    <w:lvl w:ilvl="1">
      <w:start w:val="1"/>
      <w:numFmt w:val="upperLetter"/>
      <w:lvlText w:val="%2."/>
      <w:lvlJc w:val="left"/>
      <w:pPr>
        <w:tabs>
          <w:tab w:val="num" w:pos="2007"/>
        </w:tabs>
        <w:ind w:left="2007" w:hanging="360"/>
      </w:pPr>
      <w:rPr>
        <w:rFonts w:ascii="Times New Roman" w:hAnsi="Times New Roman" w:cs="Times New Roman" w:hint="default"/>
        <w:rtl w:val="0"/>
        <w:cs w:val="0"/>
      </w:rPr>
    </w:lvl>
    <w:lvl w:ilvl="2">
      <w:start w:val="1"/>
      <w:numFmt w:val="lowerRoman"/>
      <w:lvlText w:val="%3."/>
      <w:lvlJc w:val="right"/>
      <w:pPr>
        <w:tabs>
          <w:tab w:val="num" w:pos="2727"/>
        </w:tabs>
        <w:ind w:left="2727" w:hanging="180"/>
      </w:pPr>
      <w:rPr>
        <w:rFonts w:ascii="Times New Roman" w:hAnsi="Times New Roman" w:cs="Times New Roman"/>
        <w:rtl w:val="0"/>
        <w:cs w:val="0"/>
      </w:rPr>
    </w:lvl>
    <w:lvl w:ilvl="3">
      <w:start w:val="1"/>
      <w:numFmt w:val="decimal"/>
      <w:lvlText w:val="%4."/>
      <w:lvlJc w:val="left"/>
      <w:pPr>
        <w:tabs>
          <w:tab w:val="num" w:pos="3447"/>
        </w:tabs>
        <w:ind w:left="3447" w:hanging="360"/>
      </w:pPr>
      <w:rPr>
        <w:rFonts w:ascii="Times New Roman" w:hAnsi="Times New Roman" w:cs="Times New Roman"/>
        <w:rtl w:val="0"/>
        <w:cs w:val="0"/>
      </w:rPr>
    </w:lvl>
    <w:lvl w:ilvl="4">
      <w:start w:val="1"/>
      <w:numFmt w:val="lowerLetter"/>
      <w:lvlText w:val="%5."/>
      <w:lvlJc w:val="left"/>
      <w:pPr>
        <w:tabs>
          <w:tab w:val="num" w:pos="4167"/>
        </w:tabs>
        <w:ind w:left="4167" w:hanging="360"/>
      </w:pPr>
      <w:rPr>
        <w:rFonts w:ascii="Times New Roman" w:hAnsi="Times New Roman" w:cs="Times New Roman"/>
        <w:rtl w:val="0"/>
        <w:cs w:val="0"/>
      </w:rPr>
    </w:lvl>
    <w:lvl w:ilvl="5">
      <w:start w:val="1"/>
      <w:numFmt w:val="lowerRoman"/>
      <w:lvlText w:val="%6."/>
      <w:lvlJc w:val="right"/>
      <w:pPr>
        <w:tabs>
          <w:tab w:val="num" w:pos="4887"/>
        </w:tabs>
        <w:ind w:left="4887" w:hanging="180"/>
      </w:pPr>
      <w:rPr>
        <w:rFonts w:ascii="Times New Roman" w:hAnsi="Times New Roman" w:cs="Times New Roman"/>
        <w:rtl w:val="0"/>
        <w:cs w:val="0"/>
      </w:rPr>
    </w:lvl>
    <w:lvl w:ilvl="6">
      <w:start w:val="1"/>
      <w:numFmt w:val="decimal"/>
      <w:lvlText w:val="%7."/>
      <w:lvlJc w:val="left"/>
      <w:pPr>
        <w:tabs>
          <w:tab w:val="num" w:pos="5607"/>
        </w:tabs>
        <w:ind w:left="5607" w:hanging="360"/>
      </w:pPr>
      <w:rPr>
        <w:rFonts w:ascii="Times New Roman" w:hAnsi="Times New Roman" w:cs="Times New Roman"/>
        <w:rtl w:val="0"/>
        <w:cs w:val="0"/>
      </w:rPr>
    </w:lvl>
    <w:lvl w:ilvl="7">
      <w:start w:val="1"/>
      <w:numFmt w:val="lowerLetter"/>
      <w:lvlText w:val="%8."/>
      <w:lvlJc w:val="left"/>
      <w:pPr>
        <w:tabs>
          <w:tab w:val="num" w:pos="6327"/>
        </w:tabs>
        <w:ind w:left="6327" w:hanging="360"/>
      </w:pPr>
      <w:rPr>
        <w:rFonts w:ascii="Times New Roman" w:hAnsi="Times New Roman" w:cs="Times New Roman"/>
        <w:rtl w:val="0"/>
        <w:cs w:val="0"/>
      </w:rPr>
    </w:lvl>
    <w:lvl w:ilvl="8">
      <w:start w:val="1"/>
      <w:numFmt w:val="lowerRoman"/>
      <w:lvlText w:val="%9."/>
      <w:lvlJc w:val="right"/>
      <w:pPr>
        <w:tabs>
          <w:tab w:val="num" w:pos="7047"/>
        </w:tabs>
        <w:ind w:left="7047" w:hanging="180"/>
      </w:pPr>
      <w:rPr>
        <w:rFonts w:ascii="Times New Roman" w:hAnsi="Times New Roman" w:cs="Times New Roman"/>
        <w:rtl w:val="0"/>
        <w:cs w:val="0"/>
      </w:rPr>
    </w:lvl>
  </w:abstractNum>
  <w:abstractNum w:abstractNumId="19">
    <w:nsid w:val="5D426BA2"/>
    <w:multiLevelType w:val="multilevel"/>
    <w:tmpl w:val="74567376"/>
    <w:lvl w:ilvl="0">
      <w:start w:val="2"/>
      <w:numFmt w:val="decimal"/>
      <w:lvlText w:val="%1"/>
      <w:lvlJc w:val="left"/>
      <w:pPr>
        <w:tabs>
          <w:tab w:val="num" w:pos="705"/>
        </w:tabs>
        <w:ind w:left="705" w:hanging="705"/>
      </w:pPr>
      <w:rPr>
        <w:rFonts w:cs="Times New Roman" w:hint="default"/>
        <w:rtl w:val="0"/>
        <w:cs w:val="0"/>
      </w:rPr>
    </w:lvl>
    <w:lvl w:ilvl="1">
      <w:start w:val="5"/>
      <w:numFmt w:val="decimal"/>
      <w:lvlText w:val="%1.%2"/>
      <w:lvlJc w:val="left"/>
      <w:pPr>
        <w:tabs>
          <w:tab w:val="num" w:pos="705"/>
        </w:tabs>
        <w:ind w:left="705" w:hanging="705"/>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0">
    <w:nsid w:val="69604F6E"/>
    <w:multiLevelType w:val="hybridMultilevel"/>
    <w:tmpl w:val="D0E46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B164A91"/>
    <w:multiLevelType w:val="hybridMultilevel"/>
    <w:tmpl w:val="CE38E36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22">
    <w:nsid w:val="7E5C5C65"/>
    <w:multiLevelType w:val="hybridMultilevel"/>
    <w:tmpl w:val="D2500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FCD3510"/>
    <w:multiLevelType w:val="multilevel"/>
    <w:tmpl w:val="DB1AF462"/>
    <w:lvl w:ilvl="0">
      <w:start w:val="3"/>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1.%2"/>
      <w:lvlJc w:val="left"/>
      <w:pPr>
        <w:tabs>
          <w:tab w:val="num" w:pos="360"/>
        </w:tabs>
        <w:ind w:left="360" w:hanging="360"/>
      </w:pPr>
      <w:rPr>
        <w:rFonts w:ascii="Times New Roman" w:hAnsi="Times New Roman" w:cs="Times New Roman" w:hint="default"/>
        <w:rtl w:val="0"/>
        <w:cs w:val="0"/>
      </w:rPr>
    </w:lvl>
    <w:lvl w:ilvl="2">
      <w:start w:val="1"/>
      <w:numFmt w:val="decimal"/>
      <w:lvlText w:val="%1.%2.%3"/>
      <w:lvlJc w:val="left"/>
      <w:pPr>
        <w:tabs>
          <w:tab w:val="num" w:pos="720"/>
        </w:tabs>
        <w:ind w:left="720" w:hanging="720"/>
      </w:pPr>
      <w:rPr>
        <w:rFonts w:ascii="Times New Roman" w:hAnsi="Times New Roman" w:cs="Times New Roman" w:hint="default"/>
        <w:rtl w:val="0"/>
        <w:cs w:val="0"/>
      </w:rPr>
    </w:lvl>
    <w:lvl w:ilvl="3">
      <w:start w:val="1"/>
      <w:numFmt w:val="decimal"/>
      <w:lvlText w:val="%1.%2.%3.%4"/>
      <w:lvlJc w:val="left"/>
      <w:pPr>
        <w:tabs>
          <w:tab w:val="num" w:pos="720"/>
        </w:tabs>
        <w:ind w:left="720" w:hanging="720"/>
      </w:pPr>
      <w:rPr>
        <w:rFonts w:ascii="Times New Roman" w:hAnsi="Times New Roman" w:cs="Times New Roman" w:hint="default"/>
        <w:rtl w:val="0"/>
        <w:cs w:val="0"/>
      </w:rPr>
    </w:lvl>
    <w:lvl w:ilvl="4">
      <w:start w:val="1"/>
      <w:numFmt w:val="decimal"/>
      <w:lvlText w:val="%1.%2.%3.%4.%5"/>
      <w:lvlJc w:val="left"/>
      <w:pPr>
        <w:tabs>
          <w:tab w:val="num" w:pos="1080"/>
        </w:tabs>
        <w:ind w:left="1080" w:hanging="1080"/>
      </w:pPr>
      <w:rPr>
        <w:rFonts w:ascii="Times New Roman" w:hAnsi="Times New Roman" w:cs="Times New Roman" w:hint="default"/>
        <w:rtl w:val="0"/>
        <w:cs w:val="0"/>
      </w:rPr>
    </w:lvl>
    <w:lvl w:ilvl="5">
      <w:start w:val="1"/>
      <w:numFmt w:val="decimal"/>
      <w:lvlText w:val="%1.%2.%3.%4.%5.%6"/>
      <w:lvlJc w:val="left"/>
      <w:pPr>
        <w:tabs>
          <w:tab w:val="num" w:pos="1080"/>
        </w:tabs>
        <w:ind w:left="1080" w:hanging="1080"/>
      </w:pPr>
      <w:rPr>
        <w:rFonts w:ascii="Times New Roman" w:hAnsi="Times New Roman" w:cs="Times New Roman" w:hint="default"/>
        <w:rtl w:val="0"/>
        <w:cs w:val="0"/>
      </w:rPr>
    </w:lvl>
    <w:lvl w:ilvl="6">
      <w:start w:val="1"/>
      <w:numFmt w:val="decimal"/>
      <w:lvlText w:val="%1.%2.%3.%4.%5.%6.%7"/>
      <w:lvlJc w:val="left"/>
      <w:pPr>
        <w:tabs>
          <w:tab w:val="num" w:pos="1440"/>
        </w:tabs>
        <w:ind w:left="1440" w:hanging="1440"/>
      </w:pPr>
      <w:rPr>
        <w:rFonts w:ascii="Times New Roman" w:hAnsi="Times New Roman" w:cs="Times New Roman" w:hint="default"/>
        <w:rtl w:val="0"/>
        <w:cs w:val="0"/>
      </w:rPr>
    </w:lvl>
    <w:lvl w:ilvl="7">
      <w:start w:val="1"/>
      <w:numFmt w:val="decimal"/>
      <w:lvlText w:val="%1.%2.%3.%4.%5.%6.%7.%8"/>
      <w:lvlJc w:val="left"/>
      <w:pPr>
        <w:tabs>
          <w:tab w:val="num" w:pos="1440"/>
        </w:tabs>
        <w:ind w:left="1440" w:hanging="1440"/>
      </w:pPr>
      <w:rPr>
        <w:rFonts w:ascii="Times New Roman" w:hAnsi="Times New Roman" w:cs="Times New Roman" w:hint="default"/>
        <w:rtl w:val="0"/>
        <w:cs w:val="0"/>
      </w:rPr>
    </w:lvl>
    <w:lvl w:ilvl="8">
      <w:start w:val="1"/>
      <w:numFmt w:val="decimal"/>
      <w:lvlText w:val="%1.%2.%3.%4.%5.%6.%7.%8.%9"/>
      <w:lvlJc w:val="left"/>
      <w:pPr>
        <w:tabs>
          <w:tab w:val="num" w:pos="1800"/>
        </w:tabs>
        <w:ind w:left="1800" w:hanging="1800"/>
      </w:pPr>
      <w:rPr>
        <w:rFonts w:ascii="Times New Roman" w:hAnsi="Times New Roman" w:cs="Times New Roman" w:hint="default"/>
        <w:rtl w:val="0"/>
        <w:cs w:val="0"/>
      </w:rPr>
    </w:lvl>
  </w:abstractNum>
  <w:num w:numId="1">
    <w:abstractNumId w:val="3"/>
  </w:num>
  <w:num w:numId="2">
    <w:abstractNumId w:val="2"/>
  </w:num>
  <w:num w:numId="3">
    <w:abstractNumId w:val="4"/>
  </w:num>
  <w:num w:numId="4">
    <w:abstractNumId w:val="18"/>
  </w:num>
  <w:num w:numId="5">
    <w:abstractNumId w:val="23"/>
  </w:num>
  <w:num w:numId="6">
    <w:abstractNumId w:val="0"/>
  </w:num>
  <w:num w:numId="7">
    <w:abstractNumId w:val="1"/>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2"/>
    </w:lvlOverride>
    <w:lvlOverride w:ilvl="1"/>
    <w:lvlOverride w:ilvl="2"/>
    <w:lvlOverride w:ilvl="3"/>
    <w:lvlOverride w:ilvl="4"/>
    <w:lvlOverride w:ilvl="5"/>
    <w:lvlOverride w:ilvl="6"/>
    <w:lvlOverride w:ilvl="7"/>
    <w:lvlOverride w:ilvl="8"/>
  </w:num>
  <w:num w:numId="11">
    <w:abstractNumId w:val="7"/>
  </w:num>
  <w:num w:numId="1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20"/>
  </w:num>
  <w:num w:numId="22">
    <w:abstractNumId w:val="15"/>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7"/>
  </w:num>
  <w:num w:numId="26">
    <w:abstractNumId w:val="17"/>
  </w:num>
  <w:num w:numId="27">
    <w:abstractNumId w:val="17"/>
  </w:num>
  <w:num w:numId="28">
    <w:abstractNumId w:val="17"/>
  </w:num>
  <w:num w:numId="29">
    <w:abstractNumId w:val="8"/>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num>
  <w:num w:numId="33">
    <w:abstractNumId w:val="17"/>
  </w:num>
  <w:num w:numId="34">
    <w:abstractNumId w:val="17"/>
  </w:num>
  <w:num w:numId="35">
    <w:abstractNumId w:val="5"/>
  </w:num>
  <w:num w:numId="36">
    <w:abstractNumId w:val="5"/>
  </w:num>
  <w:num w:numId="37">
    <w:abstractNumId w:val="11"/>
  </w:num>
  <w:num w:numId="38">
    <w:abstractNumId w:val="5"/>
  </w:num>
  <w:num w:numId="39">
    <w:abstractNumId w:val="22"/>
  </w:num>
  <w:num w:numId="40">
    <w:abstractNumId w:val="17"/>
  </w:num>
  <w:num w:numId="41">
    <w:abstractNumId w:val="17"/>
  </w:num>
  <w:num w:numId="42">
    <w:abstractNumId w:val="5"/>
  </w:num>
  <w:num w:numId="43">
    <w:abstractNumId w:val="5"/>
  </w:num>
  <w:num w:numId="44">
    <w:abstractNumId w:val="17"/>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6"/>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51422"/>
    <w:rsid w:val="00000072"/>
    <w:rsid w:val="00004718"/>
    <w:rsid w:val="00020208"/>
    <w:rsid w:val="000204B9"/>
    <w:rsid w:val="000224D9"/>
    <w:rsid w:val="000249AF"/>
    <w:rsid w:val="00034313"/>
    <w:rsid w:val="000368DA"/>
    <w:rsid w:val="000546AE"/>
    <w:rsid w:val="00057B10"/>
    <w:rsid w:val="00082775"/>
    <w:rsid w:val="000832BF"/>
    <w:rsid w:val="000A394F"/>
    <w:rsid w:val="000A783E"/>
    <w:rsid w:val="000C1830"/>
    <w:rsid w:val="000D6A6F"/>
    <w:rsid w:val="000E51D8"/>
    <w:rsid w:val="000F4904"/>
    <w:rsid w:val="001030CF"/>
    <w:rsid w:val="00106CB5"/>
    <w:rsid w:val="001240BE"/>
    <w:rsid w:val="0012758D"/>
    <w:rsid w:val="00137834"/>
    <w:rsid w:val="00156767"/>
    <w:rsid w:val="00163D2D"/>
    <w:rsid w:val="00175461"/>
    <w:rsid w:val="00176DEC"/>
    <w:rsid w:val="00181193"/>
    <w:rsid w:val="001841A2"/>
    <w:rsid w:val="001B0BD4"/>
    <w:rsid w:val="001C6B04"/>
    <w:rsid w:val="001D609E"/>
    <w:rsid w:val="001D7608"/>
    <w:rsid w:val="001E0FDF"/>
    <w:rsid w:val="001F7099"/>
    <w:rsid w:val="00200EF0"/>
    <w:rsid w:val="002028E2"/>
    <w:rsid w:val="00213F6C"/>
    <w:rsid w:val="00221E63"/>
    <w:rsid w:val="002452ED"/>
    <w:rsid w:val="00254C9A"/>
    <w:rsid w:val="00257A0B"/>
    <w:rsid w:val="0027581B"/>
    <w:rsid w:val="002B3D63"/>
    <w:rsid w:val="002C2EF1"/>
    <w:rsid w:val="002C3B67"/>
    <w:rsid w:val="00311440"/>
    <w:rsid w:val="003143BF"/>
    <w:rsid w:val="00317F48"/>
    <w:rsid w:val="00333D38"/>
    <w:rsid w:val="00334714"/>
    <w:rsid w:val="003474EE"/>
    <w:rsid w:val="00356900"/>
    <w:rsid w:val="00356B84"/>
    <w:rsid w:val="00363CB7"/>
    <w:rsid w:val="00363F77"/>
    <w:rsid w:val="003643D8"/>
    <w:rsid w:val="00374F1E"/>
    <w:rsid w:val="00384852"/>
    <w:rsid w:val="00387D1C"/>
    <w:rsid w:val="00392626"/>
    <w:rsid w:val="00394E59"/>
    <w:rsid w:val="003C4A77"/>
    <w:rsid w:val="003D5936"/>
    <w:rsid w:val="003E26D2"/>
    <w:rsid w:val="003E404E"/>
    <w:rsid w:val="003E7BBA"/>
    <w:rsid w:val="003F0EA2"/>
    <w:rsid w:val="003F4A98"/>
    <w:rsid w:val="003F55BA"/>
    <w:rsid w:val="0041402F"/>
    <w:rsid w:val="00425CD3"/>
    <w:rsid w:val="0042610C"/>
    <w:rsid w:val="00433807"/>
    <w:rsid w:val="00434F76"/>
    <w:rsid w:val="00445315"/>
    <w:rsid w:val="00474F35"/>
    <w:rsid w:val="00475E39"/>
    <w:rsid w:val="004922ED"/>
    <w:rsid w:val="004967BF"/>
    <w:rsid w:val="004C40AF"/>
    <w:rsid w:val="004C799E"/>
    <w:rsid w:val="004D5016"/>
    <w:rsid w:val="004D5165"/>
    <w:rsid w:val="004E1B5E"/>
    <w:rsid w:val="004E25D9"/>
    <w:rsid w:val="004E423B"/>
    <w:rsid w:val="004F46F1"/>
    <w:rsid w:val="004F639D"/>
    <w:rsid w:val="0052015B"/>
    <w:rsid w:val="0052513B"/>
    <w:rsid w:val="00531FC8"/>
    <w:rsid w:val="00541EA6"/>
    <w:rsid w:val="00544BD2"/>
    <w:rsid w:val="00566F90"/>
    <w:rsid w:val="00574840"/>
    <w:rsid w:val="00577873"/>
    <w:rsid w:val="00582972"/>
    <w:rsid w:val="00585474"/>
    <w:rsid w:val="00591F0A"/>
    <w:rsid w:val="005A0799"/>
    <w:rsid w:val="005A3DB7"/>
    <w:rsid w:val="005C303C"/>
    <w:rsid w:val="005C43AA"/>
    <w:rsid w:val="005E06D1"/>
    <w:rsid w:val="005E1753"/>
    <w:rsid w:val="005E1F7F"/>
    <w:rsid w:val="005E6276"/>
    <w:rsid w:val="005F06D2"/>
    <w:rsid w:val="006048D2"/>
    <w:rsid w:val="0060508E"/>
    <w:rsid w:val="006100B0"/>
    <w:rsid w:val="0061482D"/>
    <w:rsid w:val="006223C0"/>
    <w:rsid w:val="00643421"/>
    <w:rsid w:val="00662CD2"/>
    <w:rsid w:val="00666621"/>
    <w:rsid w:val="0068047B"/>
    <w:rsid w:val="00693A48"/>
    <w:rsid w:val="006A1483"/>
    <w:rsid w:val="006A5019"/>
    <w:rsid w:val="006A50A6"/>
    <w:rsid w:val="006B281C"/>
    <w:rsid w:val="006B5123"/>
    <w:rsid w:val="006B5698"/>
    <w:rsid w:val="006B64C5"/>
    <w:rsid w:val="006B7049"/>
    <w:rsid w:val="006C05CE"/>
    <w:rsid w:val="006E5920"/>
    <w:rsid w:val="006F0463"/>
    <w:rsid w:val="006F1851"/>
    <w:rsid w:val="00706AF2"/>
    <w:rsid w:val="007156C0"/>
    <w:rsid w:val="00720759"/>
    <w:rsid w:val="00721266"/>
    <w:rsid w:val="007322D5"/>
    <w:rsid w:val="0075060A"/>
    <w:rsid w:val="00761183"/>
    <w:rsid w:val="00764EFE"/>
    <w:rsid w:val="0076698C"/>
    <w:rsid w:val="0077164B"/>
    <w:rsid w:val="00772F18"/>
    <w:rsid w:val="00783CC1"/>
    <w:rsid w:val="0078667A"/>
    <w:rsid w:val="007976A0"/>
    <w:rsid w:val="007A52D0"/>
    <w:rsid w:val="007B2BA7"/>
    <w:rsid w:val="007B78C1"/>
    <w:rsid w:val="007C4E80"/>
    <w:rsid w:val="007D31B1"/>
    <w:rsid w:val="007E2563"/>
    <w:rsid w:val="007F3231"/>
    <w:rsid w:val="008011EF"/>
    <w:rsid w:val="0080286E"/>
    <w:rsid w:val="00802AB4"/>
    <w:rsid w:val="008053E9"/>
    <w:rsid w:val="00810D51"/>
    <w:rsid w:val="00813638"/>
    <w:rsid w:val="008227D2"/>
    <w:rsid w:val="00822E6B"/>
    <w:rsid w:val="008407C9"/>
    <w:rsid w:val="008451AF"/>
    <w:rsid w:val="0084787D"/>
    <w:rsid w:val="00856E80"/>
    <w:rsid w:val="00882B3D"/>
    <w:rsid w:val="0088588F"/>
    <w:rsid w:val="008A2FE0"/>
    <w:rsid w:val="008B129C"/>
    <w:rsid w:val="008B2D6F"/>
    <w:rsid w:val="008C1E33"/>
    <w:rsid w:val="008C67E2"/>
    <w:rsid w:val="008D2A32"/>
    <w:rsid w:val="008F6F68"/>
    <w:rsid w:val="008F75B8"/>
    <w:rsid w:val="00910FCD"/>
    <w:rsid w:val="00926C57"/>
    <w:rsid w:val="00950C37"/>
    <w:rsid w:val="0095147B"/>
    <w:rsid w:val="0095299C"/>
    <w:rsid w:val="009577DC"/>
    <w:rsid w:val="00986D99"/>
    <w:rsid w:val="00993A23"/>
    <w:rsid w:val="009945D3"/>
    <w:rsid w:val="00995D93"/>
    <w:rsid w:val="009B4E70"/>
    <w:rsid w:val="009B5999"/>
    <w:rsid w:val="009E6FAB"/>
    <w:rsid w:val="009F0F45"/>
    <w:rsid w:val="00A034B4"/>
    <w:rsid w:val="00A04EFD"/>
    <w:rsid w:val="00A05FA4"/>
    <w:rsid w:val="00A127EB"/>
    <w:rsid w:val="00A17580"/>
    <w:rsid w:val="00A21256"/>
    <w:rsid w:val="00A21A0E"/>
    <w:rsid w:val="00A26C17"/>
    <w:rsid w:val="00A30825"/>
    <w:rsid w:val="00A344B1"/>
    <w:rsid w:val="00A3553D"/>
    <w:rsid w:val="00A3729B"/>
    <w:rsid w:val="00A43760"/>
    <w:rsid w:val="00A54FA5"/>
    <w:rsid w:val="00A604BA"/>
    <w:rsid w:val="00A630CB"/>
    <w:rsid w:val="00A64E08"/>
    <w:rsid w:val="00A70905"/>
    <w:rsid w:val="00A767BB"/>
    <w:rsid w:val="00A81ADF"/>
    <w:rsid w:val="00A85CB9"/>
    <w:rsid w:val="00A970B3"/>
    <w:rsid w:val="00AA6C1F"/>
    <w:rsid w:val="00AC3BAF"/>
    <w:rsid w:val="00AD0C18"/>
    <w:rsid w:val="00AD3713"/>
    <w:rsid w:val="00AD4007"/>
    <w:rsid w:val="00AD6765"/>
    <w:rsid w:val="00B0709D"/>
    <w:rsid w:val="00B1606A"/>
    <w:rsid w:val="00B229F1"/>
    <w:rsid w:val="00B2744E"/>
    <w:rsid w:val="00B30CB2"/>
    <w:rsid w:val="00B30D7C"/>
    <w:rsid w:val="00B3168A"/>
    <w:rsid w:val="00B32700"/>
    <w:rsid w:val="00B36309"/>
    <w:rsid w:val="00B43A02"/>
    <w:rsid w:val="00B4483C"/>
    <w:rsid w:val="00B44E32"/>
    <w:rsid w:val="00B51143"/>
    <w:rsid w:val="00B85EBF"/>
    <w:rsid w:val="00B96C1E"/>
    <w:rsid w:val="00BA507C"/>
    <w:rsid w:val="00BA7A8D"/>
    <w:rsid w:val="00BB355C"/>
    <w:rsid w:val="00BB52AB"/>
    <w:rsid w:val="00BC1F81"/>
    <w:rsid w:val="00BC657A"/>
    <w:rsid w:val="00BC7B96"/>
    <w:rsid w:val="00BD3284"/>
    <w:rsid w:val="00BE1B6E"/>
    <w:rsid w:val="00BE42A9"/>
    <w:rsid w:val="00BF2B83"/>
    <w:rsid w:val="00BF69E7"/>
    <w:rsid w:val="00C03F40"/>
    <w:rsid w:val="00C13CA3"/>
    <w:rsid w:val="00C14C15"/>
    <w:rsid w:val="00C33764"/>
    <w:rsid w:val="00C412ED"/>
    <w:rsid w:val="00C51422"/>
    <w:rsid w:val="00C64E64"/>
    <w:rsid w:val="00C6537E"/>
    <w:rsid w:val="00C6554F"/>
    <w:rsid w:val="00C71980"/>
    <w:rsid w:val="00C7497A"/>
    <w:rsid w:val="00C75C40"/>
    <w:rsid w:val="00C774C0"/>
    <w:rsid w:val="00C833F3"/>
    <w:rsid w:val="00C86177"/>
    <w:rsid w:val="00C90640"/>
    <w:rsid w:val="00C93F3F"/>
    <w:rsid w:val="00C9672C"/>
    <w:rsid w:val="00CC156D"/>
    <w:rsid w:val="00CC2DC5"/>
    <w:rsid w:val="00CD1D21"/>
    <w:rsid w:val="00CD3A41"/>
    <w:rsid w:val="00CE2BE5"/>
    <w:rsid w:val="00D0755B"/>
    <w:rsid w:val="00D1335A"/>
    <w:rsid w:val="00D1597E"/>
    <w:rsid w:val="00D267EB"/>
    <w:rsid w:val="00D317F4"/>
    <w:rsid w:val="00D346D9"/>
    <w:rsid w:val="00D40B90"/>
    <w:rsid w:val="00D47D0D"/>
    <w:rsid w:val="00D54730"/>
    <w:rsid w:val="00D57D3B"/>
    <w:rsid w:val="00D67CD1"/>
    <w:rsid w:val="00D73D67"/>
    <w:rsid w:val="00D8253B"/>
    <w:rsid w:val="00D94D1C"/>
    <w:rsid w:val="00DA5B8F"/>
    <w:rsid w:val="00DB1E71"/>
    <w:rsid w:val="00DC17B1"/>
    <w:rsid w:val="00DD5127"/>
    <w:rsid w:val="00E1029A"/>
    <w:rsid w:val="00E25641"/>
    <w:rsid w:val="00E54E0F"/>
    <w:rsid w:val="00E66D6E"/>
    <w:rsid w:val="00E70881"/>
    <w:rsid w:val="00E71989"/>
    <w:rsid w:val="00E73663"/>
    <w:rsid w:val="00E77BB7"/>
    <w:rsid w:val="00E81492"/>
    <w:rsid w:val="00E86D19"/>
    <w:rsid w:val="00E93685"/>
    <w:rsid w:val="00EA095A"/>
    <w:rsid w:val="00EA159C"/>
    <w:rsid w:val="00EB3995"/>
    <w:rsid w:val="00EB4F66"/>
    <w:rsid w:val="00ED37F3"/>
    <w:rsid w:val="00ED5702"/>
    <w:rsid w:val="00ED6907"/>
    <w:rsid w:val="00EE7BEA"/>
    <w:rsid w:val="00EE7E3A"/>
    <w:rsid w:val="00F13A21"/>
    <w:rsid w:val="00F25B08"/>
    <w:rsid w:val="00F31370"/>
    <w:rsid w:val="00F40EB6"/>
    <w:rsid w:val="00F455E6"/>
    <w:rsid w:val="00F46371"/>
    <w:rsid w:val="00F46C00"/>
    <w:rsid w:val="00F53507"/>
    <w:rsid w:val="00F53FFE"/>
    <w:rsid w:val="00F550DA"/>
    <w:rsid w:val="00F63F3B"/>
    <w:rsid w:val="00F7007F"/>
    <w:rsid w:val="00F83CD9"/>
    <w:rsid w:val="00F8602F"/>
    <w:rsid w:val="00F9548A"/>
    <w:rsid w:val="00FA312E"/>
    <w:rsid w:val="00FC29CB"/>
    <w:rsid w:val="00FD0C0E"/>
    <w:rsid w:val="00FD3E3A"/>
    <w:rsid w:val="00FD3ED5"/>
    <w:rsid w:val="00FE03A5"/>
    <w:rsid w:val="00FE7A2D"/>
    <w:rsid w:val="00FF1B8C"/>
    <w:rsid w:val="00FF6F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qFormat/>
    <w:pPr>
      <w:keepNext/>
      <w:spacing w:before="120"/>
      <w:jc w:val="both"/>
      <w:outlineLvl w:val="0"/>
    </w:pPr>
    <w:rPr>
      <w:i/>
      <w:iCs/>
    </w:rPr>
  </w:style>
  <w:style w:type="paragraph" w:styleId="Heading2">
    <w:name w:val="heading 2"/>
    <w:basedOn w:val="Normal"/>
    <w:qFormat/>
    <w:pPr>
      <w:spacing w:before="100" w:beforeAutospacing="1" w:after="100" w:afterAutospacing="1"/>
      <w:jc w:val="left"/>
      <w:outlineLvl w:val="1"/>
    </w:pPr>
    <w:rPr>
      <w:rFonts w:ascii="Arial Unicode MS" w:eastAsia="Arial Unicode MS" w:hAnsi="Arial Unicode MS"/>
      <w:b/>
      <w:bCs/>
      <w:sz w:val="36"/>
      <w:szCs w:val="36"/>
    </w:rPr>
  </w:style>
  <w:style w:type="paragraph" w:styleId="Heading3">
    <w:name w:val="heading 3"/>
    <w:basedOn w:val="Normal"/>
    <w:next w:val="Normal"/>
    <w:qFormat/>
    <w:pPr>
      <w:keepNext/>
      <w:overflowPunct w:val="0"/>
      <w:autoSpaceDE w:val="0"/>
      <w:autoSpaceDN w:val="0"/>
      <w:adjustRightInd w:val="0"/>
      <w:jc w:val="left"/>
      <w:outlineLvl w:val="2"/>
    </w:pPr>
    <w:rPr>
      <w:rFonts w:ascii="Arial" w:eastAsia="Arial Unicode MS" w:hAnsi="Arial"/>
      <w:b/>
      <w:bCs/>
      <w:lang w:val="sk-SK"/>
    </w:rPr>
  </w:style>
  <w:style w:type="paragraph" w:styleId="Heading4">
    <w:name w:val="heading 4"/>
    <w:basedOn w:val="Normal"/>
    <w:qFormat/>
    <w:pPr>
      <w:spacing w:before="100" w:beforeAutospacing="1" w:after="100" w:afterAutospacing="1"/>
      <w:jc w:val="left"/>
      <w:outlineLvl w:val="3"/>
    </w:pPr>
    <w:rPr>
      <w:rFonts w:ascii="Arial Unicode MS" w:eastAsia="Arial Unicode MS" w:hAnsi="Arial Unicode MS"/>
      <w:b/>
      <w:bCs/>
    </w:rPr>
  </w:style>
  <w:style w:type="paragraph" w:styleId="Heading5">
    <w:name w:val="heading 5"/>
    <w:basedOn w:val="Normal"/>
    <w:next w:val="Normal"/>
    <w:qFormat/>
    <w:pPr>
      <w:keepNext/>
      <w:autoSpaceDE w:val="0"/>
      <w:autoSpaceDN w:val="0"/>
      <w:adjustRightInd w:val="0"/>
      <w:spacing w:before="120"/>
      <w:jc w:val="both"/>
      <w:outlineLvl w:val="4"/>
    </w:pPr>
    <w:rPr>
      <w:b/>
      <w:bCs/>
    </w:rPr>
  </w:style>
  <w:style w:type="paragraph" w:styleId="Heading6">
    <w:name w:val="heading 6"/>
    <w:basedOn w:val="Normal"/>
    <w:next w:val="Normal"/>
    <w:qFormat/>
    <w:pPr>
      <w:keepNext/>
      <w:jc w:val="center"/>
      <w:outlineLvl w:val="5"/>
    </w:pPr>
    <w:rPr>
      <w:rFonts w:ascii="Arial Narrow" w:hAnsi="Arial Narrow"/>
      <w:b/>
      <w:bCs/>
      <w:sz w:val="20"/>
      <w:szCs w:val="20"/>
      <w:lang w:val="sk-SK"/>
    </w:rPr>
  </w:style>
  <w:style w:type="paragraph" w:styleId="Heading7">
    <w:name w:val="heading 7"/>
    <w:basedOn w:val="Normal"/>
    <w:next w:val="Normal"/>
    <w:qFormat/>
    <w:pPr>
      <w:keepNext/>
      <w:overflowPunct w:val="0"/>
      <w:autoSpaceDE w:val="0"/>
      <w:autoSpaceDN w:val="0"/>
      <w:adjustRightInd w:val="0"/>
      <w:jc w:val="center"/>
      <w:outlineLvl w:val="6"/>
    </w:pPr>
    <w:rPr>
      <w:b/>
      <w:bCs/>
    </w:rPr>
  </w:style>
  <w:style w:type="paragraph" w:styleId="Heading8">
    <w:name w:val="heading 8"/>
    <w:basedOn w:val="Normal"/>
    <w:next w:val="Normal"/>
    <w:qFormat/>
    <w:pPr>
      <w:keepNext/>
      <w:tabs>
        <w:tab w:val="right" w:pos="9072"/>
      </w:tabs>
      <w:spacing w:before="360"/>
      <w:jc w:val="both"/>
      <w:outlineLvl w:val="7"/>
    </w:pPr>
    <w:rPr>
      <w:b/>
      <w:bCs/>
      <w:lang w:val="sk-SK"/>
    </w:rPr>
  </w:style>
  <w:style w:type="paragraph" w:styleId="Heading9">
    <w:name w:val="heading 9"/>
    <w:basedOn w:val="Normal"/>
    <w:next w:val="Normal"/>
    <w:qFormat/>
    <w:pPr>
      <w:keepNext/>
      <w:jc w:val="left"/>
      <w:outlineLvl w:val="8"/>
    </w:pPr>
    <w:rPr>
      <w:rFonts w:ascii="Arial Narrow" w:hAnsi="Arial Narrow"/>
      <w:b/>
      <w:bCs/>
      <w:sz w:val="20"/>
      <w:szCs w:val="20"/>
      <w:lang w:val="sk-SK"/>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rPr>
      <w:rFonts w:ascii="Cambria" w:hAnsi="Cambria" w:cs="Cambria"/>
      <w:b/>
      <w:kern w:val="32"/>
      <w:sz w:val="32"/>
      <w:lang w:val="cs-CZ" w:eastAsia="cs-CZ"/>
    </w:rPr>
  </w:style>
  <w:style w:type="character" w:customStyle="1" w:styleId="Heading2Char">
    <w:name w:val="Heading 2 Char"/>
    <w:rPr>
      <w:rFonts w:ascii="Arial Unicode MS" w:eastAsia="Arial Unicode MS" w:hAnsi="Arial Unicode MS"/>
      <w:b/>
      <w:sz w:val="36"/>
      <w:lang w:val="cs-CZ" w:eastAsia="cs-CZ"/>
    </w:rPr>
  </w:style>
  <w:style w:type="character" w:customStyle="1" w:styleId="Heading3Char">
    <w:name w:val="Heading 3 Char"/>
    <w:rPr>
      <w:rFonts w:ascii="Cambria" w:hAnsi="Cambria" w:cs="Cambria"/>
      <w:b/>
      <w:sz w:val="26"/>
      <w:lang w:val="cs-CZ" w:eastAsia="cs-CZ"/>
    </w:rPr>
  </w:style>
  <w:style w:type="character" w:customStyle="1" w:styleId="Heading4Char">
    <w:name w:val="Heading 4 Char"/>
    <w:rPr>
      <w:rFonts w:ascii="Times New Roman" w:hAnsi="Times New Roman" w:cs="Times New Roman"/>
      <w:b/>
      <w:sz w:val="28"/>
      <w:lang w:val="cs-CZ" w:eastAsia="cs-CZ"/>
    </w:rPr>
  </w:style>
  <w:style w:type="character" w:customStyle="1" w:styleId="Heading5Char">
    <w:name w:val="Heading 5 Char"/>
    <w:rPr>
      <w:rFonts w:ascii="Times New Roman" w:hAnsi="Times New Roman" w:cs="Times New Roman"/>
      <w:b/>
      <w:i/>
      <w:sz w:val="26"/>
      <w:lang w:val="cs-CZ" w:eastAsia="cs-CZ"/>
    </w:rPr>
  </w:style>
  <w:style w:type="character" w:customStyle="1" w:styleId="Heading6Char">
    <w:name w:val="Heading 6 Char"/>
    <w:rPr>
      <w:rFonts w:ascii="Times New Roman" w:hAnsi="Times New Roman" w:cs="Times New Roman"/>
      <w:b/>
      <w:lang w:val="cs-CZ" w:eastAsia="cs-CZ"/>
    </w:rPr>
  </w:style>
  <w:style w:type="character" w:customStyle="1" w:styleId="Heading7Char">
    <w:name w:val="Heading 7 Char"/>
    <w:rPr>
      <w:rFonts w:ascii="Times New Roman" w:hAnsi="Times New Roman" w:cs="Times New Roman"/>
      <w:sz w:val="24"/>
      <w:lang w:val="cs-CZ" w:eastAsia="cs-CZ"/>
    </w:rPr>
  </w:style>
  <w:style w:type="character" w:customStyle="1" w:styleId="Heading8Char">
    <w:name w:val="Heading 8 Char"/>
    <w:rPr>
      <w:rFonts w:ascii="Times New Roman" w:hAnsi="Times New Roman" w:cs="Times New Roman"/>
      <w:i/>
      <w:sz w:val="24"/>
      <w:lang w:val="cs-CZ" w:eastAsia="cs-CZ"/>
    </w:rPr>
  </w:style>
  <w:style w:type="character" w:customStyle="1" w:styleId="Heading9Char">
    <w:name w:val="Heading 9 Char"/>
    <w:rPr>
      <w:rFonts w:ascii="Cambria" w:hAnsi="Cambria" w:cs="Cambria"/>
      <w:lang w:val="cs-CZ" w:eastAsia="cs-CZ"/>
    </w:rPr>
  </w:style>
  <w:style w:type="paragraph" w:styleId="Header">
    <w:name w:val="header"/>
    <w:basedOn w:val="Normal"/>
    <w:semiHidden/>
    <w:pPr>
      <w:tabs>
        <w:tab w:val="center" w:pos="4703"/>
        <w:tab w:val="right" w:pos="9406"/>
      </w:tabs>
      <w:jc w:val="left"/>
    </w:pPr>
  </w:style>
  <w:style w:type="character" w:customStyle="1" w:styleId="HeaderChar">
    <w:name w:val="Header Char"/>
    <w:rPr>
      <w:rFonts w:ascii="Times New Roman" w:hAnsi="Times New Roman" w:cs="Times New Roman"/>
      <w:sz w:val="24"/>
      <w:lang w:val="cs-CZ" w:eastAsia="cs-CZ"/>
    </w:rPr>
  </w:style>
  <w:style w:type="paragraph" w:styleId="Footer">
    <w:name w:val="footer"/>
    <w:basedOn w:val="Normal"/>
    <w:semiHidden/>
    <w:pPr>
      <w:tabs>
        <w:tab w:val="center" w:pos="4703"/>
        <w:tab w:val="right" w:pos="9406"/>
      </w:tabs>
      <w:jc w:val="left"/>
    </w:pPr>
  </w:style>
  <w:style w:type="character" w:customStyle="1" w:styleId="FooterChar">
    <w:name w:val="Footer Char"/>
    <w:rPr>
      <w:rFonts w:ascii="Times New Roman" w:hAnsi="Times New Roman" w:cs="Times New Roman"/>
      <w:sz w:val="24"/>
      <w:lang w:val="cs-CZ" w:eastAsia="cs-CZ"/>
    </w:rPr>
  </w:style>
  <w:style w:type="character" w:styleId="PageNumber">
    <w:name w:val="page number"/>
    <w:semiHidden/>
    <w:rPr>
      <w:rFonts w:ascii="Times New Roman" w:hAnsi="Times New Roman" w:cs="Times New Roman"/>
    </w:rPr>
  </w:style>
  <w:style w:type="paragraph" w:customStyle="1" w:styleId="BodyTextIndent1">
    <w:name w:val="Body Text Indent1"/>
    <w:basedOn w:val="Normal"/>
    <w:pPr>
      <w:tabs>
        <w:tab w:val="num" w:pos="540"/>
      </w:tabs>
      <w:overflowPunct w:val="0"/>
      <w:autoSpaceDE w:val="0"/>
      <w:autoSpaceDN w:val="0"/>
      <w:adjustRightInd w:val="0"/>
      <w:spacing w:before="120"/>
      <w:jc w:val="both"/>
    </w:pPr>
    <w:rPr>
      <w:lang w:val="sk-SK"/>
    </w:rPr>
  </w:style>
  <w:style w:type="character" w:customStyle="1" w:styleId="BodyTextIndentChar">
    <w:name w:val="Body Text Indent Char"/>
    <w:rPr>
      <w:rFonts w:ascii="Times New Roman" w:hAnsi="Times New Roman" w:cs="Times New Roman"/>
      <w:sz w:val="24"/>
      <w:lang w:val="cs-CZ" w:eastAsia="cs-CZ"/>
    </w:rPr>
  </w:style>
  <w:style w:type="paragraph" w:styleId="BodyTextIndent2">
    <w:name w:val="Body Text Indent 2"/>
    <w:basedOn w:val="Normal"/>
    <w:semiHidden/>
    <w:pPr>
      <w:ind w:left="2160" w:hanging="2160"/>
      <w:jc w:val="both"/>
    </w:pPr>
    <w:rPr>
      <w:lang w:val="sk-SK"/>
    </w:rPr>
  </w:style>
  <w:style w:type="character" w:customStyle="1" w:styleId="BodyTextIndent2Char">
    <w:name w:val="Body Text Indent 2 Char"/>
    <w:rPr>
      <w:rFonts w:ascii="Times New Roman" w:hAnsi="Times New Roman" w:cs="Times New Roman"/>
      <w:sz w:val="24"/>
      <w:lang w:val="cs-CZ" w:eastAsia="cs-CZ"/>
    </w:rPr>
  </w:style>
  <w:style w:type="character" w:styleId="Hyperlink">
    <w:name w:val="Hyperlink"/>
    <w:semiHidden/>
    <w:rPr>
      <w:rFonts w:ascii="Times New Roman" w:hAnsi="Times New Roman" w:cs="Times New Roman"/>
      <w:color w:val="0000FF"/>
      <w:u w:val="single"/>
    </w:rPr>
  </w:style>
  <w:style w:type="character" w:customStyle="1" w:styleId="ra">
    <w:name w:val="ra"/>
    <w:rPr>
      <w:rFonts w:ascii="Times New Roman" w:hAnsi="Times New Roman" w:cs="Times New Roman"/>
    </w:rPr>
  </w:style>
  <w:style w:type="paragraph" w:customStyle="1" w:styleId="ostavec2">
    <w:name w:val="ostavec 2"/>
    <w:basedOn w:val="Normal"/>
    <w:next w:val="Normal"/>
    <w:pPr>
      <w:widowControl w:val="0"/>
      <w:tabs>
        <w:tab w:val="num" w:pos="927"/>
      </w:tabs>
      <w:overflowPunct w:val="0"/>
      <w:autoSpaceDE w:val="0"/>
      <w:autoSpaceDN w:val="0"/>
      <w:adjustRightInd w:val="0"/>
      <w:spacing w:before="120" w:after="60"/>
      <w:ind w:left="927" w:hanging="360"/>
      <w:jc w:val="both"/>
    </w:pPr>
    <w:rPr>
      <w:lang w:val="sk-SK"/>
    </w:rPr>
  </w:style>
  <w:style w:type="paragraph" w:styleId="BodyTextIndent3">
    <w:name w:val="Body Text Indent 3"/>
    <w:basedOn w:val="Normal"/>
    <w:semiHidden/>
    <w:pPr>
      <w:spacing w:before="120"/>
      <w:ind w:left="360"/>
      <w:jc w:val="both"/>
    </w:pPr>
    <w:rPr>
      <w:lang w:val="sk-SK"/>
    </w:rPr>
  </w:style>
  <w:style w:type="character" w:customStyle="1" w:styleId="BodyTextIndent3Char">
    <w:name w:val="Body Text Indent 3 Char"/>
    <w:rPr>
      <w:rFonts w:ascii="Times New Roman" w:hAnsi="Times New Roman" w:cs="Times New Roman"/>
      <w:sz w:val="16"/>
      <w:lang w:val="cs-CZ" w:eastAsia="cs-CZ"/>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rPr>
  </w:style>
  <w:style w:type="character" w:styleId="Strong">
    <w:name w:val="Strong"/>
    <w:qFormat/>
    <w:rPr>
      <w:rFonts w:ascii="Times New Roman" w:hAnsi="Times New Roman" w:cs="Times New Roman"/>
      <w:b/>
    </w:rPr>
  </w:style>
  <w:style w:type="paragraph" w:customStyle="1" w:styleId="ostavec3">
    <w:name w:val="ostavec 3."/>
    <w:basedOn w:val="Normal"/>
    <w:pPr>
      <w:numPr>
        <w:numId w:val="7"/>
      </w:numPr>
      <w:tabs>
        <w:tab w:val="left" w:pos="924"/>
        <w:tab w:val="num" w:pos="1494"/>
      </w:tabs>
      <w:overflowPunct w:val="0"/>
      <w:autoSpaceDE w:val="0"/>
      <w:autoSpaceDN w:val="0"/>
      <w:adjustRightInd w:val="0"/>
      <w:spacing w:before="60" w:after="60"/>
      <w:ind w:left="924" w:hanging="357"/>
      <w:jc w:val="both"/>
    </w:pPr>
    <w:rPr>
      <w:lang w:val="sk-SK"/>
    </w:rPr>
  </w:style>
  <w:style w:type="paragraph" w:styleId="BodyText">
    <w:name w:val="Body Text"/>
    <w:basedOn w:val="Normal"/>
    <w:semiHidden/>
    <w:pPr>
      <w:overflowPunct w:val="0"/>
      <w:autoSpaceDE w:val="0"/>
      <w:autoSpaceDN w:val="0"/>
      <w:adjustRightInd w:val="0"/>
      <w:spacing w:before="120" w:line="360" w:lineRule="auto"/>
      <w:ind w:firstLine="567"/>
      <w:jc w:val="both"/>
    </w:pPr>
    <w:rPr>
      <w:sz w:val="22"/>
      <w:szCs w:val="22"/>
      <w:lang w:val="sk-SK"/>
    </w:rPr>
  </w:style>
  <w:style w:type="character" w:customStyle="1" w:styleId="BodyTextChar">
    <w:name w:val="Body Text Char"/>
    <w:rPr>
      <w:rFonts w:ascii="Times New Roman" w:hAnsi="Times New Roman" w:cs="Times New Roman"/>
      <w:sz w:val="24"/>
      <w:lang w:val="cs-CZ" w:eastAsia="cs-CZ"/>
    </w:rPr>
  </w:style>
  <w:style w:type="paragraph" w:customStyle="1" w:styleId="Obsahlistu">
    <w:name w:val="Obsah listu"/>
    <w:basedOn w:val="Normal"/>
    <w:pPr>
      <w:tabs>
        <w:tab w:val="left" w:pos="720"/>
      </w:tabs>
      <w:overflowPunct w:val="0"/>
      <w:autoSpaceDE w:val="0"/>
      <w:autoSpaceDN w:val="0"/>
      <w:adjustRightInd w:val="0"/>
      <w:spacing w:after="120"/>
      <w:ind w:firstLine="720"/>
      <w:jc w:val="left"/>
    </w:pPr>
    <w:rPr>
      <w:rFonts w:ascii="Arial" w:hAnsi="Arial" w:cs="Arial"/>
      <w:sz w:val="22"/>
      <w:szCs w:val="22"/>
      <w:lang w:val="sk-SK" w:eastAsia="en-US"/>
    </w:rPr>
  </w:style>
  <w:style w:type="paragraph" w:styleId="BodyText3">
    <w:name w:val="Body Text 3"/>
    <w:basedOn w:val="Normal"/>
    <w:semiHidden/>
    <w:pPr>
      <w:jc w:val="left"/>
    </w:pPr>
    <w:rPr>
      <w:b/>
      <w:bCs/>
      <w:i/>
      <w:iCs/>
    </w:rPr>
  </w:style>
  <w:style w:type="character" w:customStyle="1" w:styleId="BodyText3Char">
    <w:name w:val="Body Text 3 Char"/>
    <w:rPr>
      <w:rFonts w:ascii="Times New Roman" w:hAnsi="Times New Roman" w:cs="Times New Roman"/>
      <w:sz w:val="16"/>
      <w:lang w:val="cs-CZ" w:eastAsia="cs-CZ"/>
    </w:rPr>
  </w:style>
  <w:style w:type="paragraph" w:customStyle="1" w:styleId="Styl2">
    <w:name w:val="Styl 2"/>
    <w:basedOn w:val="Normal"/>
    <w:next w:val="Normal"/>
    <w:pPr>
      <w:numPr>
        <w:numId w:val="9"/>
      </w:numPr>
      <w:tabs>
        <w:tab w:val="num" w:pos="927"/>
      </w:tabs>
      <w:spacing w:before="120" w:after="120"/>
      <w:ind w:left="927" w:hanging="360"/>
      <w:jc w:val="both"/>
    </w:pPr>
    <w:rPr>
      <w:rFonts w:ascii="Arial Narrow" w:hAnsi="Arial Narrow"/>
      <w:sz w:val="22"/>
      <w:szCs w:val="22"/>
      <w:lang w:val="sk-SK"/>
    </w:rPr>
  </w:style>
  <w:style w:type="character" w:styleId="FootnoteReference">
    <w:name w:val="footnote reference"/>
    <w:uiPriority w:val="99"/>
    <w:rPr>
      <w:rFonts w:ascii="Times New Roman" w:hAnsi="Times New Roman" w:cs="Times New Roman"/>
      <w:vertAlign w:val="superscript"/>
    </w:rPr>
  </w:style>
  <w:style w:type="paragraph" w:styleId="FootnoteText">
    <w:name w:val="footnote text"/>
    <w:basedOn w:val="Normal"/>
    <w:link w:val="FootnoteTextChar1"/>
    <w:pPr>
      <w:jc w:val="left"/>
    </w:pPr>
    <w:rPr>
      <w:sz w:val="20"/>
      <w:szCs w:val="20"/>
    </w:rPr>
  </w:style>
  <w:style w:type="character" w:customStyle="1" w:styleId="FootnoteTextChar">
    <w:name w:val="Footnote Text Char"/>
    <w:rPr>
      <w:rFonts w:ascii="Times New Roman" w:hAnsi="Times New Roman" w:cs="Times New Roman"/>
      <w:sz w:val="20"/>
      <w:lang w:val="cs-CZ" w:eastAsia="cs-CZ"/>
    </w:rPr>
  </w:style>
  <w:style w:type="paragraph" w:customStyle="1" w:styleId="Zkladntext21">
    <w:name w:val="Základný text 21"/>
    <w:basedOn w:val="Normal"/>
    <w:pPr>
      <w:overflowPunct w:val="0"/>
      <w:autoSpaceDE w:val="0"/>
      <w:autoSpaceDN w:val="0"/>
      <w:adjustRightInd w:val="0"/>
      <w:spacing w:before="120"/>
      <w:ind w:firstLine="567"/>
      <w:jc w:val="both"/>
    </w:pPr>
    <w:rPr>
      <w:rFonts w:ascii="Arial" w:hAnsi="Arial" w:cs="Arial"/>
      <w:lang w:val="sk-SK"/>
    </w:rPr>
  </w:style>
  <w:style w:type="paragraph" w:styleId="BodyTextIndent">
    <w:name w:val="Body Text Indent"/>
    <w:basedOn w:val="Normal"/>
    <w:semiHidden/>
    <w:pPr>
      <w:spacing w:before="60"/>
      <w:jc w:val="both"/>
    </w:pPr>
    <w:rPr>
      <w:sz w:val="20"/>
      <w:szCs w:val="20"/>
      <w:lang w:val="sk-SK"/>
    </w:rPr>
  </w:style>
  <w:style w:type="character" w:customStyle="1" w:styleId="BodyText2Char">
    <w:name w:val="Body Text 2 Char"/>
    <w:rPr>
      <w:rFonts w:ascii="Times New Roman" w:hAnsi="Times New Roman" w:cs="Times New Roman"/>
      <w:sz w:val="24"/>
      <w:lang w:val="cs-CZ" w:eastAsia="cs-CZ"/>
    </w:rPr>
  </w:style>
  <w:style w:type="paragraph" w:customStyle="1" w:styleId="Zkladntext22">
    <w:name w:val="Základný text 22"/>
    <w:basedOn w:val="Normal"/>
    <w:pPr>
      <w:overflowPunct w:val="0"/>
      <w:autoSpaceDE w:val="0"/>
      <w:autoSpaceDN w:val="0"/>
      <w:adjustRightInd w:val="0"/>
      <w:jc w:val="both"/>
    </w:pPr>
    <w:rPr>
      <w:rFonts w:ascii="Arial" w:hAnsi="Arial" w:cs="Arial"/>
      <w:lang w:val="sk-SK"/>
    </w:rPr>
  </w:style>
  <w:style w:type="paragraph" w:customStyle="1" w:styleId="ListParagraph1">
    <w:name w:val="List Paragraph1"/>
    <w:basedOn w:val="Normal"/>
    <w:pPr>
      <w:ind w:left="708"/>
      <w:jc w:val="left"/>
    </w:pPr>
  </w:style>
  <w:style w:type="paragraph" w:styleId="BlockText">
    <w:name w:val="Block Text"/>
    <w:basedOn w:val="Normal"/>
    <w:semiHidden/>
    <w:pPr>
      <w:tabs>
        <w:tab w:val="left" w:pos="9000"/>
      </w:tabs>
      <w:ind w:left="360" w:right="72" w:hanging="360"/>
      <w:jc w:val="both"/>
    </w:pPr>
    <w:rPr>
      <w:b/>
      <w:bCs/>
      <w:lang w:val="sk-SK"/>
    </w:rPr>
  </w:style>
  <w:style w:type="character" w:customStyle="1" w:styleId="PlaceholderText1">
    <w:name w:val="Placeholder Text1"/>
    <w:rPr>
      <w:rFonts w:ascii="Times New Roman" w:hAnsi="Times New Roman" w:cs="Times New Roman"/>
      <w:color w:val="808080"/>
    </w:rPr>
  </w:style>
  <w:style w:type="paragraph" w:customStyle="1" w:styleId="Odsek1">
    <w:name w:val="Odsek 1"/>
    <w:basedOn w:val="Normal"/>
    <w:pPr>
      <w:numPr>
        <w:numId w:val="16"/>
      </w:numPr>
      <w:tabs>
        <w:tab w:val="num" w:pos="720"/>
      </w:tabs>
      <w:ind w:left="720" w:hanging="360"/>
      <w:jc w:val="left"/>
    </w:pPr>
  </w:style>
  <w:style w:type="character" w:customStyle="1" w:styleId="ro">
    <w:name w:val="ro"/>
    <w:basedOn w:val="DefaultParagraphFont"/>
    <w:rPr>
      <w:rFonts w:cs="Times New Roman"/>
      <w:rtl w:val="0"/>
      <w:cs w:val="0"/>
    </w:rPr>
  </w:style>
  <w:style w:type="character" w:customStyle="1" w:styleId="bbtext">
    <w:name w:val="bbtext"/>
    <w:basedOn w:val="DefaultParagraphFont"/>
    <w:rPr>
      <w:rFonts w:cs="Times New Roman"/>
      <w:rtl w:val="0"/>
      <w:cs w:val="0"/>
    </w:rPr>
  </w:style>
  <w:style w:type="character" w:customStyle="1" w:styleId="h1a">
    <w:name w:val="h1a"/>
    <w:basedOn w:val="DefaultParagraphFont"/>
    <w:rPr>
      <w:rFonts w:cs="Times New Roman"/>
      <w:rtl w:val="0"/>
      <w:cs w:val="0"/>
    </w:rPr>
  </w:style>
  <w:style w:type="paragraph" w:styleId="Caption">
    <w:name w:val="caption"/>
    <w:basedOn w:val="Normal"/>
    <w:next w:val="Normal"/>
    <w:qFormat/>
    <w:pPr>
      <w:spacing w:before="60"/>
      <w:jc w:val="left"/>
    </w:pPr>
    <w:rPr>
      <w:i/>
      <w:iCs/>
      <w:color w:val="008000"/>
      <w:sz w:val="20"/>
      <w:szCs w:val="20"/>
      <w:lang w:val="sk-SK"/>
    </w:rPr>
  </w:style>
  <w:style w:type="paragraph" w:styleId="BalloonText">
    <w:name w:val="Balloon Text"/>
    <w:basedOn w:val="Normal"/>
    <w:link w:val="BalloonTextChar"/>
    <w:uiPriority w:val="99"/>
    <w:semiHidden/>
    <w:unhideWhenUsed/>
    <w:rsid w:val="000E51D8"/>
    <w:pPr>
      <w:jc w:val="left"/>
    </w:pPr>
    <w:rPr>
      <w:rFonts w:ascii="Segoe UI" w:hAnsi="Segoe UI" w:cs="Segoe UI"/>
      <w:sz w:val="18"/>
      <w:szCs w:val="18"/>
    </w:rPr>
  </w:style>
  <w:style w:type="character" w:customStyle="1" w:styleId="BalloonTextChar">
    <w:name w:val="Balloon Text Char"/>
    <w:link w:val="BalloonText"/>
    <w:uiPriority w:val="99"/>
    <w:semiHidden/>
    <w:locked/>
    <w:rsid w:val="000E51D8"/>
    <w:rPr>
      <w:rFonts w:ascii="Segoe UI" w:hAnsi="Segoe UI" w:cs="Segoe UI"/>
      <w:sz w:val="18"/>
      <w:lang w:val="cs-CZ" w:eastAsia="cs-CZ"/>
    </w:rPr>
  </w:style>
  <w:style w:type="paragraph" w:customStyle="1" w:styleId="BodyText21">
    <w:name w:val="Body Text 21"/>
    <w:basedOn w:val="Normal"/>
    <w:rsid w:val="003143BF"/>
    <w:pPr>
      <w:overflowPunct w:val="0"/>
      <w:autoSpaceDE w:val="0"/>
      <w:autoSpaceDN w:val="0"/>
      <w:adjustRightInd w:val="0"/>
      <w:spacing w:before="120"/>
      <w:ind w:firstLine="567"/>
      <w:jc w:val="both"/>
    </w:pPr>
    <w:rPr>
      <w:rFonts w:ascii="Arial" w:hAnsi="Arial"/>
      <w:szCs w:val="20"/>
      <w:lang w:val="sk-SK"/>
    </w:rPr>
  </w:style>
  <w:style w:type="character" w:styleId="SubtleEmphasis">
    <w:name w:val="Subtle Emphasis"/>
    <w:uiPriority w:val="19"/>
    <w:qFormat/>
    <w:rsid w:val="000C1830"/>
    <w:rPr>
      <w:i/>
      <w:color w:val="404040"/>
    </w:rPr>
  </w:style>
  <w:style w:type="character" w:customStyle="1" w:styleId="FootnoteTextChar1">
    <w:name w:val="Footnote Text Char1"/>
    <w:link w:val="FootnoteText"/>
    <w:uiPriority w:val="99"/>
    <w:locked/>
    <w:rsid w:val="000A783E"/>
    <w:rPr>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atfund.gov.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2892F-4A91-43EA-BAB3-73FC0122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37</Pages>
  <Words>11985</Words>
  <Characters>68316</Characters>
  <Application>Microsoft Office Word</Application>
  <DocSecurity>0</DocSecurity>
  <Lines>0</Lines>
  <Paragraphs>0</Paragraphs>
  <ScaleCrop>false</ScaleCrop>
  <Company>TOSHIBA</Company>
  <LinksUpToDate>false</LinksUpToDate>
  <CharactersWithSpaces>80141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macugova</dc:creator>
  <cp:lastModifiedBy>Gašparíková, Jarmila</cp:lastModifiedBy>
  <cp:revision>2</cp:revision>
  <cp:lastPrinted>2015-03-09T10:16:00Z</cp:lastPrinted>
  <dcterms:created xsi:type="dcterms:W3CDTF">2015-05-25T15:24:00Z</dcterms:created>
  <dcterms:modified xsi:type="dcterms:W3CDTF">2015-05-25T15:24:00Z</dcterms:modified>
</cp:coreProperties>
</file>