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C05EF" w:rsidRPr="00D50D44" w:rsidP="00D62C95">
      <w:pPr>
        <w:tabs>
          <w:tab w:val="left" w:pos="851"/>
          <w:tab w:val="left" w:pos="5103"/>
          <w:tab w:val="left" w:pos="8222"/>
        </w:tabs>
        <w:bidi w:val="0"/>
        <w:jc w:val="center"/>
        <w:rPr>
          <w:rFonts w:ascii="Times New Roman" w:hAnsi="Times New Roman" w:cs="Times New Roman"/>
          <w:b/>
          <w:sz w:val="28"/>
          <w:szCs w:val="28"/>
        </w:rPr>
      </w:pPr>
      <w:r w:rsidRPr="00D50D44">
        <w:rPr>
          <w:rFonts w:ascii="Times New Roman" w:hAnsi="Times New Roman" w:cs="Times New Roman"/>
          <w:b/>
          <w:sz w:val="28"/>
          <w:szCs w:val="28"/>
        </w:rPr>
        <w:t xml:space="preserve">Správa o stave implementácie štrukturálnych fondov a Kohézneho fondu </w:t>
      </w:r>
    </w:p>
    <w:p w:rsidR="00F17675" w:rsidRPr="00D50D44" w:rsidP="00F17675">
      <w:pPr>
        <w:tabs>
          <w:tab w:val="left" w:pos="851"/>
          <w:tab w:val="left" w:pos="5103"/>
          <w:tab w:val="left" w:pos="8222"/>
        </w:tabs>
        <w:bidi w:val="0"/>
        <w:jc w:val="center"/>
        <w:rPr>
          <w:rFonts w:ascii="Times New Roman" w:hAnsi="Times New Roman" w:cs="Times New Roman"/>
          <w:b/>
          <w:sz w:val="28"/>
          <w:szCs w:val="28"/>
        </w:rPr>
      </w:pPr>
      <w:r w:rsidRPr="00D50D44" w:rsidR="009C05EF">
        <w:rPr>
          <w:rFonts w:ascii="Times New Roman" w:hAnsi="Times New Roman" w:cs="Times New Roman"/>
          <w:b/>
          <w:sz w:val="28"/>
          <w:szCs w:val="28"/>
        </w:rPr>
        <w:t>v programovom období 2007 – 2013</w:t>
      </w:r>
      <w:r w:rsidRPr="00D50D44" w:rsidR="006B6A98">
        <w:rPr>
          <w:rFonts w:ascii="Times New Roman" w:hAnsi="Times New Roman" w:cs="Times New Roman"/>
          <w:b/>
          <w:sz w:val="28"/>
          <w:szCs w:val="28"/>
        </w:rPr>
        <w:t xml:space="preserve"> </w:t>
      </w:r>
      <w:r w:rsidRPr="00D50D44">
        <w:rPr>
          <w:rFonts w:ascii="Times New Roman" w:hAnsi="Times New Roman" w:cs="Times New Roman"/>
          <w:b/>
          <w:sz w:val="28"/>
          <w:szCs w:val="28"/>
        </w:rPr>
        <w:t xml:space="preserve"> </w:t>
      </w:r>
    </w:p>
    <w:p w:rsidR="00EA7DC6" w:rsidRPr="00D50D44" w:rsidP="00D62C95">
      <w:pPr>
        <w:bidi w:val="0"/>
        <w:jc w:val="both"/>
        <w:rPr>
          <w:rFonts w:ascii="Times New Roman" w:hAnsi="Times New Roman" w:cs="Times New Roman"/>
        </w:rPr>
      </w:pPr>
    </w:p>
    <w:p w:rsidR="00EC0FC3" w:rsidRPr="00FD303B" w:rsidP="00D62C95">
      <w:pPr>
        <w:pStyle w:val="TOCHeading"/>
        <w:bidi w:val="0"/>
        <w:rPr>
          <w:rFonts w:ascii="Times New Roman" w:hAnsi="Times New Roman" w:cs="Times New Roman"/>
          <w:color w:val="548DD4" w:themeColor="tx2" w:themeShade="FF" w:themeTint="99"/>
          <w:sz w:val="26"/>
          <w:szCs w:val="26"/>
        </w:rPr>
      </w:pPr>
      <w:r w:rsidRPr="00FD303B">
        <w:rPr>
          <w:rFonts w:ascii="Times New Roman" w:hAnsi="Times New Roman" w:cs="Times New Roman"/>
          <w:color w:val="548DD4" w:themeColor="tx2" w:themeShade="FF" w:themeTint="99"/>
          <w:sz w:val="26"/>
          <w:szCs w:val="26"/>
        </w:rPr>
        <w:t>Obsah</w:t>
      </w:r>
    </w:p>
    <w:p w:rsidR="00FD303B" w:rsidRPr="00FD303B" w:rsidP="00FD303B">
      <w:pPr>
        <w:bidi w:val="0"/>
        <w:rPr>
          <w:lang w:eastAsia="sk-SK"/>
        </w:rPr>
      </w:pPr>
    </w:p>
    <w:p w:rsidR="001D246C">
      <w:pPr>
        <w:pStyle w:val="TOC2"/>
        <w:bidi w:val="0"/>
        <w:rPr>
          <w:rFonts w:eastAsiaTheme="minorEastAsia"/>
          <w:noProof/>
          <w:lang w:eastAsia="sk-SK"/>
        </w:rPr>
      </w:pPr>
      <w:r w:rsidRPr="00D50D44" w:rsidR="00EC0FC3">
        <w:fldChar w:fldCharType="begin"/>
      </w:r>
      <w:r w:rsidRPr="00D50D44" w:rsidR="00EC0FC3">
        <w:instrText xml:space="preserve"> TOC \o "1-3" \h \z \u </w:instrText>
      </w:r>
      <w:r w:rsidRPr="00D50D44" w:rsidR="00EC0FC3">
        <w:fldChar w:fldCharType="separate"/>
      </w:r>
      <w:hyperlink w:anchor="_Toc419481405" w:history="1">
        <w:r w:rsidRPr="00BA4718">
          <w:rPr>
            <w:rStyle w:val="Hyperlink"/>
            <w:rFonts w:ascii="Times New Roman" w:hAnsi="Times New Roman"/>
            <w:strike w:val="0"/>
            <w:dstrike w:val="0"/>
            <w:noProof/>
            <w:u w:val="none"/>
            <w:effect w:val="none"/>
          </w:rPr>
          <w:t>1.</w:t>
        </w:r>
        <w:r>
          <w:rPr>
            <w:rFonts w:eastAsiaTheme="minorEastAsia"/>
            <w:noProof/>
            <w:lang w:eastAsia="sk-SK"/>
          </w:rPr>
          <w:tab/>
        </w:r>
        <w:r w:rsidRPr="00BA4718">
          <w:rPr>
            <w:rStyle w:val="Hyperlink"/>
            <w:rFonts w:ascii="Times New Roman" w:hAnsi="Times New Roman"/>
            <w:strike w:val="0"/>
            <w:dstrike w:val="0"/>
            <w:noProof/>
            <w:u w:val="none"/>
            <w:effect w:val="none"/>
          </w:rPr>
          <w:t>Úvod</w:t>
        </w:r>
        <w:r>
          <w:rPr>
            <w:noProof/>
            <w:webHidden/>
          </w:rPr>
          <w:tab/>
        </w:r>
        <w:r>
          <w:rPr>
            <w:noProof/>
            <w:webHidden/>
          </w:rPr>
          <w:fldChar w:fldCharType="begin"/>
        </w:r>
        <w:r>
          <w:rPr>
            <w:noProof/>
            <w:webHidden/>
          </w:rPr>
          <w:instrText xml:space="preserve"> PAGEREF _Toc419481405 \h </w:instrText>
        </w:r>
        <w:r>
          <w:rPr>
            <w:noProof/>
            <w:webHidden/>
          </w:rPr>
          <w:fldChar w:fldCharType="separate"/>
        </w:r>
        <w:r w:rsidR="00C81E35">
          <w:rPr>
            <w:noProof/>
            <w:webHidden/>
          </w:rPr>
          <w:t>2</w:t>
        </w:r>
        <w:r>
          <w:rPr>
            <w:noProof/>
            <w:webHidden/>
          </w:rPr>
          <w:fldChar w:fldCharType="end"/>
        </w:r>
      </w:hyperlink>
    </w:p>
    <w:p w:rsidR="001D246C">
      <w:pPr>
        <w:pStyle w:val="TOC2"/>
        <w:bidi w:val="0"/>
        <w:rPr>
          <w:rFonts w:eastAsiaTheme="minorEastAsia"/>
          <w:noProof/>
          <w:lang w:eastAsia="sk-SK"/>
        </w:rPr>
      </w:pPr>
      <w:hyperlink w:anchor="_Toc419481406" w:history="1">
        <w:r w:rsidRPr="00BA4718">
          <w:rPr>
            <w:rStyle w:val="Hyperlink"/>
            <w:rFonts w:ascii="Times New Roman" w:hAnsi="Times New Roman"/>
            <w:strike w:val="0"/>
            <w:dstrike w:val="0"/>
            <w:noProof/>
            <w:u w:val="none"/>
            <w:effect w:val="none"/>
          </w:rPr>
          <w:t>2.</w:t>
        </w:r>
        <w:r>
          <w:rPr>
            <w:rFonts w:eastAsiaTheme="minorEastAsia"/>
            <w:noProof/>
            <w:lang w:eastAsia="sk-SK"/>
          </w:rPr>
          <w:tab/>
        </w:r>
        <w:r w:rsidRPr="00BA4718">
          <w:rPr>
            <w:rStyle w:val="Hyperlink"/>
            <w:rFonts w:ascii="Times New Roman" w:hAnsi="Times New Roman"/>
            <w:strike w:val="0"/>
            <w:dstrike w:val="0"/>
            <w:noProof/>
            <w:u w:val="none"/>
            <w:effect w:val="none"/>
          </w:rPr>
          <w:t>Stav zverejňovania výziev na predkladanie žiadostí o poskytnutie nenávratného finančného príspevku</w:t>
        </w:r>
        <w:r>
          <w:rPr>
            <w:noProof/>
            <w:webHidden/>
          </w:rPr>
          <w:tab/>
        </w:r>
        <w:r>
          <w:rPr>
            <w:noProof/>
            <w:webHidden/>
          </w:rPr>
          <w:fldChar w:fldCharType="begin"/>
        </w:r>
        <w:r>
          <w:rPr>
            <w:noProof/>
            <w:webHidden/>
          </w:rPr>
          <w:instrText xml:space="preserve"> PAGEREF _Toc419481406 \h </w:instrText>
        </w:r>
        <w:r>
          <w:rPr>
            <w:noProof/>
            <w:webHidden/>
          </w:rPr>
          <w:fldChar w:fldCharType="separate"/>
        </w:r>
        <w:r w:rsidR="00C81E35">
          <w:rPr>
            <w:noProof/>
            <w:webHidden/>
          </w:rPr>
          <w:t>3</w:t>
        </w:r>
        <w:r>
          <w:rPr>
            <w:noProof/>
            <w:webHidden/>
          </w:rPr>
          <w:fldChar w:fldCharType="end"/>
        </w:r>
      </w:hyperlink>
    </w:p>
    <w:p w:rsidR="001D246C">
      <w:pPr>
        <w:pStyle w:val="TOC2"/>
        <w:bidi w:val="0"/>
        <w:rPr>
          <w:rFonts w:eastAsiaTheme="minorEastAsia"/>
          <w:noProof/>
          <w:lang w:eastAsia="sk-SK"/>
        </w:rPr>
      </w:pPr>
      <w:hyperlink w:anchor="_Toc419481407" w:history="1">
        <w:r w:rsidRPr="00BA4718">
          <w:rPr>
            <w:rStyle w:val="Hyperlink"/>
            <w:rFonts w:ascii="Times New Roman" w:hAnsi="Times New Roman"/>
            <w:strike w:val="0"/>
            <w:dstrike w:val="0"/>
            <w:noProof/>
            <w:u w:val="none"/>
            <w:effect w:val="none"/>
          </w:rPr>
          <w:t>3.</w:t>
        </w:r>
        <w:r>
          <w:rPr>
            <w:rFonts w:eastAsiaTheme="minorEastAsia"/>
            <w:noProof/>
            <w:lang w:eastAsia="sk-SK"/>
          </w:rPr>
          <w:tab/>
        </w:r>
        <w:r w:rsidRPr="00BA4718">
          <w:rPr>
            <w:rStyle w:val="Hyperlink"/>
            <w:rFonts w:ascii="Times New Roman" w:hAnsi="Times New Roman"/>
            <w:strike w:val="0"/>
            <w:dstrike w:val="0"/>
            <w:noProof/>
            <w:u w:val="none"/>
            <w:effect w:val="none"/>
          </w:rPr>
          <w:t>Stav uzatvárania zmlúv o poskytnutí nenávratného finančného príspevku</w:t>
        </w:r>
        <w:r>
          <w:rPr>
            <w:noProof/>
            <w:webHidden/>
          </w:rPr>
          <w:tab/>
        </w:r>
        <w:r>
          <w:rPr>
            <w:noProof/>
            <w:webHidden/>
          </w:rPr>
          <w:fldChar w:fldCharType="begin"/>
        </w:r>
        <w:r>
          <w:rPr>
            <w:noProof/>
            <w:webHidden/>
          </w:rPr>
          <w:instrText xml:space="preserve"> PAGEREF _Toc419481407 \h </w:instrText>
        </w:r>
        <w:r>
          <w:rPr>
            <w:noProof/>
            <w:webHidden/>
          </w:rPr>
          <w:fldChar w:fldCharType="separate"/>
        </w:r>
        <w:r w:rsidR="00C81E35">
          <w:rPr>
            <w:noProof/>
            <w:webHidden/>
          </w:rPr>
          <w:t>4</w:t>
        </w:r>
        <w:r>
          <w:rPr>
            <w:noProof/>
            <w:webHidden/>
          </w:rPr>
          <w:fldChar w:fldCharType="end"/>
        </w:r>
      </w:hyperlink>
    </w:p>
    <w:p w:rsidR="001D246C">
      <w:pPr>
        <w:pStyle w:val="TOC2"/>
        <w:bidi w:val="0"/>
        <w:rPr>
          <w:rFonts w:eastAsiaTheme="minorEastAsia"/>
          <w:noProof/>
          <w:lang w:eastAsia="sk-SK"/>
        </w:rPr>
      </w:pPr>
      <w:hyperlink w:anchor="_Toc419481408" w:history="1">
        <w:r w:rsidRPr="00BA4718">
          <w:rPr>
            <w:rStyle w:val="Hyperlink"/>
            <w:rFonts w:ascii="Times New Roman" w:hAnsi="Times New Roman"/>
            <w:strike w:val="0"/>
            <w:dstrike w:val="0"/>
            <w:noProof/>
            <w:u w:val="none"/>
            <w:effect w:val="none"/>
          </w:rPr>
          <w:t>4.</w:t>
        </w:r>
        <w:r>
          <w:rPr>
            <w:rFonts w:eastAsiaTheme="minorEastAsia"/>
            <w:noProof/>
            <w:lang w:eastAsia="sk-SK"/>
          </w:rPr>
          <w:tab/>
        </w:r>
        <w:r w:rsidRPr="00BA4718">
          <w:rPr>
            <w:rStyle w:val="Hyperlink"/>
            <w:rFonts w:ascii="Times New Roman" w:hAnsi="Times New Roman"/>
            <w:strike w:val="0"/>
            <w:dstrike w:val="0"/>
            <w:noProof/>
            <w:u w:val="none"/>
            <w:effect w:val="none"/>
          </w:rPr>
          <w:t>Čerpanie záväzku NSRR</w:t>
        </w:r>
        <w:r>
          <w:rPr>
            <w:noProof/>
            <w:webHidden/>
          </w:rPr>
          <w:tab/>
        </w:r>
        <w:r>
          <w:rPr>
            <w:noProof/>
            <w:webHidden/>
          </w:rPr>
          <w:fldChar w:fldCharType="begin"/>
        </w:r>
        <w:r>
          <w:rPr>
            <w:noProof/>
            <w:webHidden/>
          </w:rPr>
          <w:instrText xml:space="preserve"> PAGEREF _Toc419481408 \h </w:instrText>
        </w:r>
        <w:r>
          <w:rPr>
            <w:noProof/>
            <w:webHidden/>
          </w:rPr>
          <w:fldChar w:fldCharType="separate"/>
        </w:r>
        <w:r w:rsidR="00C81E35">
          <w:rPr>
            <w:noProof/>
            <w:webHidden/>
          </w:rPr>
          <w:t>7</w:t>
        </w:r>
        <w:r>
          <w:rPr>
            <w:noProof/>
            <w:webHidden/>
          </w:rPr>
          <w:fldChar w:fldCharType="end"/>
        </w:r>
      </w:hyperlink>
    </w:p>
    <w:p w:rsidR="001D246C">
      <w:pPr>
        <w:pStyle w:val="TOC3"/>
        <w:bidi w:val="0"/>
        <w:rPr>
          <w:rFonts w:eastAsiaTheme="minorEastAsia"/>
          <w:noProof/>
          <w:lang w:eastAsia="sk-SK"/>
        </w:rPr>
      </w:pPr>
      <w:hyperlink w:anchor="_Toc419481409" w:history="1">
        <w:r w:rsidRPr="00BA4718">
          <w:rPr>
            <w:rStyle w:val="Hyperlink"/>
            <w:rFonts w:ascii="Times New Roman" w:hAnsi="Times New Roman"/>
            <w:strike w:val="0"/>
            <w:dstrike w:val="0"/>
            <w:noProof/>
            <w:u w:val="none"/>
            <w:effect w:val="none"/>
          </w:rPr>
          <w:t>4.1 Aktuálny stav čerpania</w:t>
        </w:r>
        <w:r>
          <w:rPr>
            <w:noProof/>
            <w:webHidden/>
          </w:rPr>
          <w:tab/>
        </w:r>
        <w:r>
          <w:rPr>
            <w:noProof/>
            <w:webHidden/>
          </w:rPr>
          <w:fldChar w:fldCharType="begin"/>
        </w:r>
        <w:r>
          <w:rPr>
            <w:noProof/>
            <w:webHidden/>
          </w:rPr>
          <w:instrText xml:space="preserve"> PAGEREF _Toc419481409 \h </w:instrText>
        </w:r>
        <w:r>
          <w:rPr>
            <w:noProof/>
            <w:webHidden/>
          </w:rPr>
          <w:fldChar w:fldCharType="separate"/>
        </w:r>
        <w:r w:rsidR="00C81E35">
          <w:rPr>
            <w:noProof/>
            <w:webHidden/>
          </w:rPr>
          <w:t>7</w:t>
        </w:r>
        <w:r>
          <w:rPr>
            <w:noProof/>
            <w:webHidden/>
          </w:rPr>
          <w:fldChar w:fldCharType="end"/>
        </w:r>
      </w:hyperlink>
    </w:p>
    <w:p w:rsidR="001D246C">
      <w:pPr>
        <w:pStyle w:val="TOC3"/>
        <w:bidi w:val="0"/>
        <w:rPr>
          <w:rFonts w:eastAsiaTheme="minorEastAsia"/>
          <w:noProof/>
          <w:lang w:eastAsia="sk-SK"/>
        </w:rPr>
      </w:pPr>
      <w:hyperlink w:anchor="_Toc419481410" w:history="1">
        <w:r w:rsidRPr="00BA4718">
          <w:rPr>
            <w:rStyle w:val="Hyperlink"/>
            <w:rFonts w:ascii="Times New Roman" w:hAnsi="Times New Roman"/>
            <w:strike w:val="0"/>
            <w:dstrike w:val="0"/>
            <w:noProof/>
            <w:u w:val="none"/>
            <w:effect w:val="none"/>
          </w:rPr>
          <w:t>4.2  Opatrenia prijaté na zrýchlenie čerpania</w:t>
        </w:r>
        <w:r>
          <w:rPr>
            <w:noProof/>
            <w:webHidden/>
          </w:rPr>
          <w:tab/>
        </w:r>
        <w:r>
          <w:rPr>
            <w:noProof/>
            <w:webHidden/>
          </w:rPr>
          <w:fldChar w:fldCharType="begin"/>
        </w:r>
        <w:r>
          <w:rPr>
            <w:noProof/>
            <w:webHidden/>
          </w:rPr>
          <w:instrText xml:space="preserve"> PAGEREF _Toc419481410 \h </w:instrText>
        </w:r>
        <w:r>
          <w:rPr>
            <w:noProof/>
            <w:webHidden/>
          </w:rPr>
          <w:fldChar w:fldCharType="separate"/>
        </w:r>
        <w:r w:rsidR="00C81E35">
          <w:rPr>
            <w:noProof/>
            <w:webHidden/>
          </w:rPr>
          <w:t>9</w:t>
        </w:r>
        <w:r>
          <w:rPr>
            <w:noProof/>
            <w:webHidden/>
          </w:rPr>
          <w:fldChar w:fldCharType="end"/>
        </w:r>
      </w:hyperlink>
    </w:p>
    <w:p w:rsidR="001D246C">
      <w:pPr>
        <w:pStyle w:val="TOC2"/>
        <w:bidi w:val="0"/>
        <w:rPr>
          <w:rFonts w:eastAsiaTheme="minorEastAsia"/>
          <w:noProof/>
          <w:lang w:eastAsia="sk-SK"/>
        </w:rPr>
      </w:pPr>
      <w:hyperlink w:anchor="_Toc419481411" w:history="1">
        <w:r w:rsidRPr="00BA4718">
          <w:rPr>
            <w:rStyle w:val="Hyperlink"/>
            <w:rFonts w:ascii="Times New Roman" w:hAnsi="Times New Roman"/>
            <w:strike w:val="0"/>
            <w:dstrike w:val="0"/>
            <w:noProof/>
            <w:u w:val="none"/>
            <w:effect w:val="none"/>
          </w:rPr>
          <w:t>5.</w:t>
        </w:r>
        <w:r>
          <w:rPr>
            <w:rFonts w:eastAsiaTheme="minorEastAsia"/>
            <w:noProof/>
            <w:lang w:eastAsia="sk-SK"/>
          </w:rPr>
          <w:tab/>
        </w:r>
        <w:r w:rsidRPr="00BA4718">
          <w:rPr>
            <w:rStyle w:val="Hyperlink"/>
            <w:rFonts w:ascii="Times New Roman" w:hAnsi="Times New Roman"/>
            <w:strike w:val="0"/>
            <w:dstrike w:val="0"/>
            <w:noProof/>
            <w:u w:val="none"/>
            <w:effect w:val="none"/>
          </w:rPr>
          <w:t>Akčná skupina pre lepšiu implementáciu („TASK FORCE“)</w:t>
        </w:r>
        <w:r>
          <w:rPr>
            <w:noProof/>
            <w:webHidden/>
          </w:rPr>
          <w:tab/>
        </w:r>
        <w:r>
          <w:rPr>
            <w:noProof/>
            <w:webHidden/>
          </w:rPr>
          <w:fldChar w:fldCharType="begin"/>
        </w:r>
        <w:r>
          <w:rPr>
            <w:noProof/>
            <w:webHidden/>
          </w:rPr>
          <w:instrText xml:space="preserve"> PAGEREF _Toc419481411 \h </w:instrText>
        </w:r>
        <w:r>
          <w:rPr>
            <w:noProof/>
            <w:webHidden/>
          </w:rPr>
          <w:fldChar w:fldCharType="separate"/>
        </w:r>
        <w:r w:rsidR="00C81E35">
          <w:rPr>
            <w:noProof/>
            <w:webHidden/>
          </w:rPr>
          <w:t>10</w:t>
        </w:r>
        <w:r>
          <w:rPr>
            <w:noProof/>
            <w:webHidden/>
          </w:rPr>
          <w:fldChar w:fldCharType="end"/>
        </w:r>
      </w:hyperlink>
    </w:p>
    <w:p w:rsidR="001D246C">
      <w:pPr>
        <w:pStyle w:val="TOC2"/>
        <w:bidi w:val="0"/>
        <w:rPr>
          <w:rFonts w:eastAsiaTheme="minorEastAsia"/>
          <w:noProof/>
          <w:lang w:eastAsia="sk-SK"/>
        </w:rPr>
      </w:pPr>
      <w:hyperlink w:anchor="_Toc419481412" w:history="1">
        <w:r w:rsidRPr="00BA4718">
          <w:rPr>
            <w:rStyle w:val="Hyperlink"/>
            <w:rFonts w:ascii="Times New Roman" w:hAnsi="Times New Roman"/>
            <w:strike w:val="0"/>
            <w:dstrike w:val="0"/>
            <w:noProof/>
            <w:u w:val="none"/>
            <w:effect w:val="none"/>
          </w:rPr>
          <w:t>6.</w:t>
        </w:r>
        <w:r>
          <w:rPr>
            <w:rFonts w:eastAsiaTheme="minorEastAsia"/>
            <w:noProof/>
            <w:lang w:eastAsia="sk-SK"/>
          </w:rPr>
          <w:tab/>
        </w:r>
        <w:r w:rsidRPr="00BA4718">
          <w:rPr>
            <w:rStyle w:val="Hyperlink"/>
            <w:rFonts w:ascii="Times New Roman" w:hAnsi="Times New Roman"/>
            <w:strike w:val="0"/>
            <w:dstrike w:val="0"/>
            <w:noProof/>
            <w:u w:val="none"/>
            <w:effect w:val="none"/>
          </w:rPr>
          <w:t>Pozastavené platby a korekcie</w:t>
        </w:r>
        <w:r>
          <w:rPr>
            <w:noProof/>
            <w:webHidden/>
          </w:rPr>
          <w:tab/>
        </w:r>
        <w:r>
          <w:rPr>
            <w:noProof/>
            <w:webHidden/>
          </w:rPr>
          <w:fldChar w:fldCharType="begin"/>
        </w:r>
        <w:r>
          <w:rPr>
            <w:noProof/>
            <w:webHidden/>
          </w:rPr>
          <w:instrText xml:space="preserve"> PAGEREF _Toc419481412 \h </w:instrText>
        </w:r>
        <w:r>
          <w:rPr>
            <w:noProof/>
            <w:webHidden/>
          </w:rPr>
          <w:fldChar w:fldCharType="separate"/>
        </w:r>
        <w:r w:rsidR="00C81E35">
          <w:rPr>
            <w:noProof/>
            <w:webHidden/>
          </w:rPr>
          <w:t>12</w:t>
        </w:r>
        <w:r>
          <w:rPr>
            <w:noProof/>
            <w:webHidden/>
          </w:rPr>
          <w:fldChar w:fldCharType="end"/>
        </w:r>
      </w:hyperlink>
    </w:p>
    <w:p w:rsidR="001D246C">
      <w:pPr>
        <w:pStyle w:val="TOC3"/>
        <w:bidi w:val="0"/>
        <w:rPr>
          <w:rFonts w:eastAsiaTheme="minorEastAsia"/>
          <w:noProof/>
          <w:lang w:eastAsia="sk-SK"/>
        </w:rPr>
      </w:pPr>
      <w:hyperlink w:anchor="_Toc419481413" w:history="1">
        <w:r w:rsidRPr="00BA4718">
          <w:rPr>
            <w:rStyle w:val="Hyperlink"/>
            <w:rFonts w:ascii="Times New Roman" w:hAnsi="Times New Roman"/>
            <w:strike w:val="0"/>
            <w:dstrike w:val="0"/>
            <w:noProof/>
            <w:u w:val="none"/>
            <w:effect w:val="none"/>
          </w:rPr>
          <w:t>6.1 Pozastavené platby</w:t>
        </w:r>
        <w:r>
          <w:rPr>
            <w:noProof/>
            <w:webHidden/>
          </w:rPr>
          <w:tab/>
        </w:r>
        <w:r>
          <w:rPr>
            <w:noProof/>
            <w:webHidden/>
          </w:rPr>
          <w:fldChar w:fldCharType="begin"/>
        </w:r>
        <w:r>
          <w:rPr>
            <w:noProof/>
            <w:webHidden/>
          </w:rPr>
          <w:instrText xml:space="preserve"> PAGEREF _Toc419481413 \h </w:instrText>
        </w:r>
        <w:r>
          <w:rPr>
            <w:noProof/>
            <w:webHidden/>
          </w:rPr>
          <w:fldChar w:fldCharType="separate"/>
        </w:r>
        <w:r w:rsidR="00C81E35">
          <w:rPr>
            <w:noProof/>
            <w:webHidden/>
          </w:rPr>
          <w:t>12</w:t>
        </w:r>
        <w:r>
          <w:rPr>
            <w:noProof/>
            <w:webHidden/>
          </w:rPr>
          <w:fldChar w:fldCharType="end"/>
        </w:r>
      </w:hyperlink>
    </w:p>
    <w:p w:rsidR="001D246C">
      <w:pPr>
        <w:pStyle w:val="TOC3"/>
        <w:bidi w:val="0"/>
        <w:rPr>
          <w:rFonts w:eastAsiaTheme="minorEastAsia"/>
          <w:noProof/>
          <w:lang w:eastAsia="sk-SK"/>
        </w:rPr>
      </w:pPr>
      <w:hyperlink w:anchor="_Toc419481414" w:history="1">
        <w:r w:rsidRPr="00BA4718">
          <w:rPr>
            <w:rStyle w:val="Hyperlink"/>
            <w:rFonts w:ascii="Times New Roman" w:hAnsi="Times New Roman"/>
            <w:strike w:val="0"/>
            <w:dstrike w:val="0"/>
            <w:noProof/>
            <w:u w:val="none"/>
            <w:effect w:val="none"/>
          </w:rPr>
          <w:t>6.2. Korekcie</w:t>
        </w:r>
        <w:r>
          <w:rPr>
            <w:noProof/>
            <w:webHidden/>
          </w:rPr>
          <w:tab/>
        </w:r>
        <w:r>
          <w:rPr>
            <w:noProof/>
            <w:webHidden/>
          </w:rPr>
          <w:fldChar w:fldCharType="begin"/>
        </w:r>
        <w:r>
          <w:rPr>
            <w:noProof/>
            <w:webHidden/>
          </w:rPr>
          <w:instrText xml:space="preserve"> PAGEREF _Toc419481414 \h </w:instrText>
        </w:r>
        <w:r>
          <w:rPr>
            <w:noProof/>
            <w:webHidden/>
          </w:rPr>
          <w:fldChar w:fldCharType="separate"/>
        </w:r>
        <w:r w:rsidR="00C81E35">
          <w:rPr>
            <w:noProof/>
            <w:webHidden/>
          </w:rPr>
          <w:t>13</w:t>
        </w:r>
        <w:r>
          <w:rPr>
            <w:noProof/>
            <w:webHidden/>
          </w:rPr>
          <w:fldChar w:fldCharType="end"/>
        </w:r>
      </w:hyperlink>
    </w:p>
    <w:p w:rsidR="001D246C">
      <w:pPr>
        <w:pStyle w:val="TOC2"/>
        <w:bidi w:val="0"/>
        <w:rPr>
          <w:rFonts w:eastAsiaTheme="minorEastAsia"/>
          <w:noProof/>
          <w:lang w:eastAsia="sk-SK"/>
        </w:rPr>
      </w:pPr>
      <w:hyperlink w:anchor="_Toc419481415" w:history="1">
        <w:r w:rsidRPr="00BA4718">
          <w:rPr>
            <w:rStyle w:val="Hyperlink"/>
            <w:rFonts w:ascii="Times New Roman" w:hAnsi="Times New Roman"/>
            <w:strike w:val="0"/>
            <w:dstrike w:val="0"/>
            <w:noProof/>
            <w:u w:val="none"/>
            <w:effect w:val="none"/>
          </w:rPr>
          <w:t>7.</w:t>
        </w:r>
        <w:r>
          <w:rPr>
            <w:rFonts w:eastAsiaTheme="minorEastAsia"/>
            <w:noProof/>
            <w:lang w:eastAsia="sk-SK"/>
          </w:rPr>
          <w:tab/>
        </w:r>
        <w:r w:rsidRPr="00BA4718">
          <w:rPr>
            <w:rStyle w:val="Hyperlink"/>
            <w:rFonts w:ascii="Times New Roman" w:hAnsi="Times New Roman"/>
            <w:strike w:val="0"/>
            <w:dstrike w:val="0"/>
            <w:noProof/>
            <w:u w:val="none"/>
            <w:effect w:val="none"/>
          </w:rPr>
          <w:t>Záver</w:t>
        </w:r>
        <w:r>
          <w:rPr>
            <w:noProof/>
            <w:webHidden/>
          </w:rPr>
          <w:tab/>
        </w:r>
        <w:r>
          <w:rPr>
            <w:noProof/>
            <w:webHidden/>
          </w:rPr>
          <w:fldChar w:fldCharType="begin"/>
        </w:r>
        <w:r>
          <w:rPr>
            <w:noProof/>
            <w:webHidden/>
          </w:rPr>
          <w:instrText xml:space="preserve"> PAGEREF _Toc419481415 \h </w:instrText>
        </w:r>
        <w:r>
          <w:rPr>
            <w:noProof/>
            <w:webHidden/>
          </w:rPr>
          <w:fldChar w:fldCharType="separate"/>
        </w:r>
        <w:r w:rsidR="00C81E35">
          <w:rPr>
            <w:noProof/>
            <w:webHidden/>
          </w:rPr>
          <w:t>13</w:t>
        </w:r>
        <w:r>
          <w:rPr>
            <w:noProof/>
            <w:webHidden/>
          </w:rPr>
          <w:fldChar w:fldCharType="end"/>
        </w:r>
      </w:hyperlink>
    </w:p>
    <w:p w:rsidR="001D246C">
      <w:pPr>
        <w:pStyle w:val="TOC2"/>
        <w:bidi w:val="0"/>
        <w:rPr>
          <w:rFonts w:eastAsiaTheme="minorEastAsia"/>
          <w:noProof/>
          <w:lang w:eastAsia="sk-SK"/>
        </w:rPr>
      </w:pPr>
      <w:hyperlink w:anchor="_Toc419481416" w:history="1">
        <w:r w:rsidRPr="00BA4718">
          <w:rPr>
            <w:rStyle w:val="Hyperlink"/>
            <w:rFonts w:ascii="Times New Roman" w:hAnsi="Times New Roman"/>
            <w:strike w:val="0"/>
            <w:dstrike w:val="0"/>
            <w:noProof/>
            <w:u w:val="none"/>
            <w:effect w:val="none"/>
          </w:rPr>
          <w:t>8.</w:t>
        </w:r>
        <w:r>
          <w:rPr>
            <w:rFonts w:eastAsiaTheme="minorEastAsia"/>
            <w:noProof/>
            <w:lang w:eastAsia="sk-SK"/>
          </w:rPr>
          <w:tab/>
        </w:r>
        <w:r w:rsidRPr="00BA4718">
          <w:rPr>
            <w:rStyle w:val="Hyperlink"/>
            <w:rFonts w:ascii="Times New Roman" w:hAnsi="Times New Roman"/>
            <w:strike w:val="0"/>
            <w:dstrike w:val="0"/>
            <w:noProof/>
            <w:u w:val="none"/>
            <w:effect w:val="none"/>
          </w:rPr>
          <w:t>Zoznam použitých skratiek</w:t>
        </w:r>
        <w:r>
          <w:rPr>
            <w:noProof/>
            <w:webHidden/>
          </w:rPr>
          <w:tab/>
        </w:r>
        <w:r>
          <w:rPr>
            <w:noProof/>
            <w:webHidden/>
          </w:rPr>
          <w:fldChar w:fldCharType="begin"/>
        </w:r>
        <w:r>
          <w:rPr>
            <w:noProof/>
            <w:webHidden/>
          </w:rPr>
          <w:instrText xml:space="preserve"> PAGEREF _Toc419481416 \h </w:instrText>
        </w:r>
        <w:r>
          <w:rPr>
            <w:noProof/>
            <w:webHidden/>
          </w:rPr>
          <w:fldChar w:fldCharType="separate"/>
        </w:r>
        <w:r w:rsidR="00C81E35">
          <w:rPr>
            <w:noProof/>
            <w:webHidden/>
          </w:rPr>
          <w:t>15</w:t>
        </w:r>
        <w:r>
          <w:rPr>
            <w:noProof/>
            <w:webHidden/>
          </w:rPr>
          <w:fldChar w:fldCharType="end"/>
        </w:r>
      </w:hyperlink>
    </w:p>
    <w:p w:rsidR="00EC0FC3" w:rsidRPr="00D50D44" w:rsidP="00D62C95">
      <w:pPr>
        <w:bidi w:val="0"/>
        <w:rPr>
          <w:rFonts w:ascii="Times New Roman" w:hAnsi="Times New Roman" w:cs="Times New Roman"/>
        </w:rPr>
      </w:pPr>
      <w:r w:rsidRPr="00D50D44">
        <w:fldChar w:fldCharType="end"/>
      </w:r>
    </w:p>
    <w:p w:rsidR="006B6A98" w:rsidRPr="00D50D44" w:rsidP="00D62C95">
      <w:pPr>
        <w:pStyle w:val="Heading2"/>
        <w:bidi w:val="0"/>
        <w:ind w:left="720"/>
        <w:rPr>
          <w:rFonts w:ascii="Times New Roman" w:hAnsi="Times New Roman" w:cs="Times New Roman"/>
        </w:rPr>
      </w:pPr>
    </w:p>
    <w:p w:rsidR="00F17675" w:rsidRPr="00D50D44" w:rsidP="00D62C95">
      <w:pPr>
        <w:bidi w:val="0"/>
        <w:rPr>
          <w:rFonts w:ascii="Times New Roman" w:hAnsi="Times New Roman" w:cs="Times New Roman"/>
        </w:rPr>
      </w:pPr>
    </w:p>
    <w:p w:rsidR="00F17675" w:rsidRPr="00D50D44" w:rsidP="00D62C95">
      <w:pPr>
        <w:bidi w:val="0"/>
        <w:rPr>
          <w:rFonts w:ascii="Times New Roman" w:hAnsi="Times New Roman" w:cs="Times New Roman"/>
        </w:rPr>
      </w:pPr>
    </w:p>
    <w:p w:rsidR="006B6A98" w:rsidRPr="00D50D44" w:rsidP="00D62C95">
      <w:pPr>
        <w:bidi w:val="0"/>
        <w:rPr>
          <w:rFonts w:ascii="Times New Roman" w:hAnsi="Times New Roman" w:eastAsiaTheme="majorEastAsia" w:cs="Times New Roman"/>
          <w:b/>
          <w:bCs/>
          <w:color w:val="4F81BD" w:themeColor="accent1" w:themeShade="FF"/>
          <w:sz w:val="26"/>
          <w:szCs w:val="26"/>
        </w:rPr>
      </w:pPr>
      <w:r w:rsidRPr="00D50D44">
        <w:rPr>
          <w:rFonts w:ascii="Times New Roman" w:hAnsi="Times New Roman" w:cs="Times New Roman"/>
        </w:rPr>
        <w:br w:type="page"/>
      </w:r>
    </w:p>
    <w:p w:rsidR="00CE5534" w:rsidRPr="00D50D44" w:rsidP="00D62C95">
      <w:pPr>
        <w:pStyle w:val="Heading2"/>
        <w:numPr>
          <w:numId w:val="36"/>
        </w:numPr>
        <w:bidi w:val="0"/>
        <w:rPr>
          <w:rFonts w:ascii="Times New Roman" w:hAnsi="Times New Roman" w:cs="Times New Roman" w:hint="default"/>
        </w:rPr>
      </w:pPr>
      <w:bookmarkStart w:id="0" w:name="_Toc419481405"/>
      <w:r w:rsidRPr="00D50D44">
        <w:rPr>
          <w:rFonts w:ascii="Times New Roman" w:hAnsi="Times New Roman" w:cs="Times New Roman" w:hint="default"/>
        </w:rPr>
        <w:t>Ú</w:t>
      </w:r>
      <w:r w:rsidRPr="00D50D44">
        <w:rPr>
          <w:rFonts w:ascii="Times New Roman" w:hAnsi="Times New Roman" w:cs="Times New Roman" w:hint="default"/>
        </w:rPr>
        <w:t>vod</w:t>
      </w:r>
      <w:bookmarkEnd w:id="0"/>
    </w:p>
    <w:p w:rsidR="00BA1FAA" w:rsidRPr="00D50D44" w:rsidP="00D62C95">
      <w:pPr>
        <w:bidi w:val="0"/>
        <w:spacing w:after="0"/>
        <w:jc w:val="both"/>
        <w:rPr>
          <w:rFonts w:ascii="Times New Roman" w:hAnsi="Times New Roman" w:cs="Times New Roman"/>
        </w:rPr>
      </w:pPr>
    </w:p>
    <w:p w:rsidR="00BA1FAA" w:rsidRPr="00D50D44" w:rsidP="00D62C95">
      <w:pPr>
        <w:bidi w:val="0"/>
        <w:spacing w:after="0"/>
        <w:ind w:firstLine="708"/>
        <w:jc w:val="both"/>
        <w:rPr>
          <w:rFonts w:ascii="Times New Roman" w:hAnsi="Times New Roman" w:cs="Times New Roman"/>
        </w:rPr>
      </w:pPr>
      <w:r w:rsidRPr="00D50D44" w:rsidR="00D37F13">
        <w:rPr>
          <w:rFonts w:ascii="Times New Roman" w:hAnsi="Times New Roman" w:cs="Times New Roman"/>
        </w:rPr>
        <w:t xml:space="preserve">Vláda Slovenskej republiky si uvedomuje jedinečnosť a neopakovateľnosť zdrojov poskytnutých EÚ vo forme </w:t>
      </w:r>
      <w:r w:rsidRPr="007833B0" w:rsidR="007833B0">
        <w:rPr>
          <w:rFonts w:ascii="Times New Roman" w:hAnsi="Times New Roman" w:cs="Times New Roman"/>
        </w:rPr>
        <w:t>štrukturálnych fondov a Kohézneho fondu (ďalej len „ŠF a KF“)</w:t>
      </w:r>
      <w:r w:rsidRPr="00D50D44" w:rsidR="00D50BA3">
        <w:rPr>
          <w:rFonts w:ascii="Times New Roman" w:hAnsi="Times New Roman" w:cs="Times New Roman"/>
        </w:rPr>
        <w:t>.</w:t>
      </w:r>
      <w:r w:rsidRPr="00D50D44" w:rsidR="00D37F13">
        <w:rPr>
          <w:rFonts w:ascii="Times New Roman" w:hAnsi="Times New Roman" w:cs="Times New Roman"/>
        </w:rPr>
        <w:t xml:space="preserve"> Slovensko využíva fondy</w:t>
      </w:r>
      <w:r w:rsidR="002F0F07">
        <w:rPr>
          <w:rFonts w:ascii="Times New Roman" w:hAnsi="Times New Roman" w:cs="Times New Roman"/>
        </w:rPr>
        <w:t xml:space="preserve"> EÚ</w:t>
      </w:r>
      <w:r w:rsidR="00D45CB5">
        <w:rPr>
          <w:rFonts w:ascii="Times New Roman" w:hAnsi="Times New Roman" w:cs="Times New Roman"/>
        </w:rPr>
        <w:t xml:space="preserve"> </w:t>
      </w:r>
      <w:r w:rsidRPr="00D50D44" w:rsidR="00D37F13">
        <w:rPr>
          <w:rFonts w:ascii="Times New Roman" w:hAnsi="Times New Roman" w:cs="Times New Roman"/>
        </w:rPr>
        <w:t>na</w:t>
      </w:r>
      <w:r w:rsidRPr="00D50D44" w:rsidR="00F40A3C">
        <w:rPr>
          <w:rFonts w:ascii="Times New Roman" w:hAnsi="Times New Roman" w:cs="Times New Roman"/>
        </w:rPr>
        <w:t> </w:t>
      </w:r>
      <w:r w:rsidRPr="00D50D44" w:rsidR="00D37F13">
        <w:rPr>
          <w:rFonts w:ascii="Times New Roman" w:hAnsi="Times New Roman" w:cs="Times New Roman"/>
        </w:rPr>
        <w:t xml:space="preserve">financovanie </w:t>
      </w:r>
      <w:r w:rsidRPr="00D50D44">
        <w:rPr>
          <w:rFonts w:ascii="Times New Roman" w:hAnsi="Times New Roman" w:cs="Times New Roman"/>
        </w:rPr>
        <w:t xml:space="preserve">cca </w:t>
      </w:r>
      <w:r w:rsidRPr="00D50D44" w:rsidR="006B6A98">
        <w:rPr>
          <w:rFonts w:ascii="Times New Roman" w:hAnsi="Times New Roman" w:cs="Times New Roman"/>
        </w:rPr>
        <w:t xml:space="preserve">80-tich % </w:t>
      </w:r>
      <w:r w:rsidRPr="00D50D44" w:rsidR="00D37F13">
        <w:rPr>
          <w:rFonts w:ascii="Times New Roman" w:hAnsi="Times New Roman" w:cs="Times New Roman"/>
        </w:rPr>
        <w:t>všetkých svojich verejných investícií a</w:t>
      </w:r>
      <w:r w:rsidRPr="00D50D44" w:rsidR="006B6A98">
        <w:rPr>
          <w:rFonts w:ascii="Times New Roman" w:hAnsi="Times New Roman" w:cs="Times New Roman"/>
        </w:rPr>
        <w:t> ich príspevok k hospodárskemu rastu</w:t>
      </w:r>
      <w:r w:rsidRPr="00D50D44" w:rsidR="00EA7DC6">
        <w:rPr>
          <w:rFonts w:ascii="Times New Roman" w:hAnsi="Times New Roman" w:cs="Times New Roman"/>
        </w:rPr>
        <w:t xml:space="preserve"> krajiny v sledovanom období </w:t>
      </w:r>
      <w:r w:rsidRPr="00D50D44" w:rsidR="006B6A98">
        <w:rPr>
          <w:rFonts w:ascii="Times New Roman" w:hAnsi="Times New Roman" w:cs="Times New Roman"/>
        </w:rPr>
        <w:t xml:space="preserve">predstavuje </w:t>
      </w:r>
      <w:r w:rsidRPr="00D50D44" w:rsidR="00EA7DC6">
        <w:rPr>
          <w:rFonts w:ascii="Times New Roman" w:hAnsi="Times New Roman" w:cs="Times New Roman"/>
        </w:rPr>
        <w:t xml:space="preserve">v priemere </w:t>
      </w:r>
      <w:r w:rsidRPr="00D50D44" w:rsidR="00D37F13">
        <w:rPr>
          <w:rFonts w:ascii="Times New Roman" w:hAnsi="Times New Roman" w:cs="Times New Roman"/>
        </w:rPr>
        <w:t xml:space="preserve">ročne </w:t>
      </w:r>
      <w:r w:rsidRPr="00D50D44" w:rsidR="006B6A98">
        <w:rPr>
          <w:rFonts w:ascii="Times New Roman" w:hAnsi="Times New Roman" w:cs="Times New Roman"/>
        </w:rPr>
        <w:t>približne</w:t>
      </w:r>
      <w:r w:rsidRPr="00D50D44" w:rsidR="00D37F13">
        <w:rPr>
          <w:rFonts w:ascii="Times New Roman" w:hAnsi="Times New Roman" w:cs="Times New Roman"/>
        </w:rPr>
        <w:t xml:space="preserve"> </w:t>
      </w:r>
      <w:r w:rsidRPr="00D50D44" w:rsidR="00EA7DC6">
        <w:rPr>
          <w:rFonts w:ascii="Times New Roman" w:hAnsi="Times New Roman" w:cs="Times New Roman"/>
        </w:rPr>
        <w:t>0</w:t>
      </w:r>
      <w:r w:rsidR="00503FDB">
        <w:rPr>
          <w:rFonts w:ascii="Times New Roman" w:hAnsi="Times New Roman" w:cs="Times New Roman"/>
        </w:rPr>
        <w:t>,</w:t>
      </w:r>
      <w:r w:rsidRPr="00D50D44" w:rsidR="00EA7DC6">
        <w:rPr>
          <w:rFonts w:ascii="Times New Roman" w:hAnsi="Times New Roman" w:cs="Times New Roman"/>
        </w:rPr>
        <w:t xml:space="preserve">9 </w:t>
      </w:r>
      <w:r w:rsidRPr="00D50D44" w:rsidR="00D37F13">
        <w:rPr>
          <w:rFonts w:ascii="Times New Roman" w:hAnsi="Times New Roman" w:cs="Times New Roman"/>
        </w:rPr>
        <w:t>%</w:t>
      </w:r>
      <w:r w:rsidRPr="00D50D44" w:rsidR="00275D19">
        <w:rPr>
          <w:rFonts w:ascii="Times New Roman" w:hAnsi="Times New Roman" w:cs="Times New Roman"/>
        </w:rPr>
        <w:t xml:space="preserve"> HDP</w:t>
      </w:r>
      <w:r w:rsidRPr="00D50D44" w:rsidR="006B6A98">
        <w:rPr>
          <w:rFonts w:ascii="Times New Roman" w:hAnsi="Times New Roman" w:cs="Times New Roman"/>
        </w:rPr>
        <w:t xml:space="preserve">. </w:t>
      </w:r>
    </w:p>
    <w:p w:rsidR="004133C5" w:rsidRPr="00D50D44" w:rsidP="00D62C95">
      <w:pPr>
        <w:bidi w:val="0"/>
        <w:spacing w:after="0"/>
        <w:ind w:firstLine="360"/>
        <w:jc w:val="both"/>
        <w:rPr>
          <w:rFonts w:ascii="Times New Roman" w:hAnsi="Times New Roman" w:cs="Times New Roman"/>
        </w:rPr>
      </w:pPr>
    </w:p>
    <w:p w:rsidR="00275D19" w:rsidRPr="00D50D44" w:rsidP="00275D19">
      <w:pPr>
        <w:bidi w:val="0"/>
        <w:spacing w:after="0"/>
        <w:ind w:firstLine="708"/>
        <w:jc w:val="both"/>
        <w:rPr>
          <w:rFonts w:ascii="Times New Roman" w:hAnsi="Times New Roman" w:cs="Times New Roman"/>
        </w:rPr>
      </w:pPr>
      <w:r w:rsidRPr="00D50D44" w:rsidR="00D37F13">
        <w:rPr>
          <w:rFonts w:ascii="Times New Roman" w:hAnsi="Times New Roman" w:cs="Times New Roman"/>
        </w:rPr>
        <w:t xml:space="preserve">V </w:t>
      </w:r>
      <w:r w:rsidR="00983293">
        <w:rPr>
          <w:rFonts w:ascii="Times New Roman" w:hAnsi="Times New Roman" w:cs="Times New Roman"/>
        </w:rPr>
        <w:t>programovom období 2007 -</w:t>
      </w:r>
      <w:r w:rsidRPr="00D50D44" w:rsidR="00D37F13">
        <w:rPr>
          <w:rFonts w:ascii="Times New Roman" w:hAnsi="Times New Roman" w:cs="Times New Roman"/>
        </w:rPr>
        <w:t xml:space="preserve"> 2013</w:t>
      </w:r>
      <w:r w:rsidRPr="00D50D44" w:rsidR="006B6A98">
        <w:rPr>
          <w:rFonts w:ascii="Times New Roman" w:hAnsi="Times New Roman" w:cs="Times New Roman"/>
        </w:rPr>
        <w:t xml:space="preserve"> </w:t>
      </w:r>
      <w:r w:rsidRPr="00D50D44" w:rsidR="00D37F13">
        <w:rPr>
          <w:rFonts w:ascii="Times New Roman" w:hAnsi="Times New Roman" w:cs="Times New Roman"/>
        </w:rPr>
        <w:t xml:space="preserve">je </w:t>
      </w:r>
      <w:r w:rsidRPr="00D50D44">
        <w:rPr>
          <w:rFonts w:ascii="Times New Roman" w:hAnsi="Times New Roman" w:cs="Times New Roman"/>
        </w:rPr>
        <w:t>v rámci operačných programov Národného strategického referenčného rámca SR k dispozícii celková</w:t>
      </w:r>
      <w:r w:rsidRPr="00D50D44" w:rsidR="00D37F13">
        <w:rPr>
          <w:rFonts w:ascii="Times New Roman" w:hAnsi="Times New Roman" w:cs="Times New Roman"/>
        </w:rPr>
        <w:t xml:space="preserve"> </w:t>
      </w:r>
      <w:r w:rsidRPr="00D50D44">
        <w:rPr>
          <w:rFonts w:ascii="Times New Roman" w:hAnsi="Times New Roman" w:cs="Times New Roman"/>
        </w:rPr>
        <w:t xml:space="preserve">alokácia </w:t>
      </w:r>
      <w:r w:rsidRPr="00D50D44" w:rsidR="006B6A98">
        <w:rPr>
          <w:rFonts w:ascii="Times New Roman" w:hAnsi="Times New Roman" w:cs="Times New Roman"/>
        </w:rPr>
        <w:t xml:space="preserve">vo výške </w:t>
      </w:r>
      <w:r w:rsidRPr="00D50D44" w:rsidR="00BA1FAA">
        <w:rPr>
          <w:rFonts w:ascii="Times New Roman" w:hAnsi="Times New Roman" w:cs="Times New Roman"/>
        </w:rPr>
        <w:t xml:space="preserve"> </w:t>
      </w:r>
      <w:r w:rsidRPr="00D50D44" w:rsidR="00D37F13">
        <w:rPr>
          <w:rFonts w:ascii="Times New Roman" w:hAnsi="Times New Roman" w:cs="Times New Roman"/>
        </w:rPr>
        <w:t xml:space="preserve">11,482 mld. </w:t>
      </w:r>
      <w:r w:rsidRPr="00D50D44" w:rsidR="007A35B4">
        <w:rPr>
          <w:rFonts w:ascii="Times New Roman" w:hAnsi="Times New Roman" w:cs="Times New Roman"/>
        </w:rPr>
        <w:t>EUR</w:t>
      </w:r>
      <w:r w:rsidR="007833B0">
        <w:rPr>
          <w:rFonts w:ascii="Times New Roman" w:hAnsi="Times New Roman" w:cs="Times New Roman"/>
        </w:rPr>
        <w:t xml:space="preserve"> (EÚ zdroj)</w:t>
      </w:r>
      <w:r w:rsidRPr="00D50D44" w:rsidR="00D37F13">
        <w:rPr>
          <w:rFonts w:ascii="Times New Roman" w:hAnsi="Times New Roman" w:cs="Times New Roman"/>
        </w:rPr>
        <w:t>, z kto</w:t>
      </w:r>
      <w:r w:rsidRPr="00D50D44">
        <w:rPr>
          <w:rFonts w:ascii="Times New Roman" w:hAnsi="Times New Roman" w:cs="Times New Roman"/>
        </w:rPr>
        <w:t>rej</w:t>
      </w:r>
      <w:r w:rsidRPr="00D50D44" w:rsidR="006B6A98">
        <w:rPr>
          <w:rFonts w:ascii="Times New Roman" w:hAnsi="Times New Roman" w:cs="Times New Roman"/>
        </w:rPr>
        <w:t xml:space="preserve"> </w:t>
      </w:r>
      <w:r w:rsidRPr="00D50D44" w:rsidR="00AB7997">
        <w:rPr>
          <w:rFonts w:ascii="Times New Roman" w:hAnsi="Times New Roman" w:cs="Times New Roman"/>
        </w:rPr>
        <w:t>SR úspešne implementovala</w:t>
      </w:r>
      <w:r w:rsidRPr="00D50D44" w:rsidR="00D37F13">
        <w:rPr>
          <w:rFonts w:ascii="Times New Roman" w:hAnsi="Times New Roman" w:cs="Times New Roman"/>
        </w:rPr>
        <w:t xml:space="preserve"> vrátane predfinancovania</w:t>
      </w:r>
      <w:r w:rsidRPr="00D50D44" w:rsidR="00BA1FAA">
        <w:rPr>
          <w:rFonts w:ascii="Times New Roman" w:hAnsi="Times New Roman" w:cs="Times New Roman"/>
        </w:rPr>
        <w:t xml:space="preserve"> </w:t>
      </w:r>
      <w:r w:rsidRPr="00D50D44">
        <w:rPr>
          <w:rFonts w:ascii="Times New Roman" w:hAnsi="Times New Roman" w:cs="Times New Roman"/>
        </w:rPr>
        <w:t xml:space="preserve">a zálohových platieb </w:t>
      </w:r>
      <w:r w:rsidRPr="00D50D44" w:rsidR="00BA1FAA">
        <w:rPr>
          <w:rFonts w:ascii="Times New Roman" w:hAnsi="Times New Roman" w:cs="Times New Roman"/>
        </w:rPr>
        <w:t xml:space="preserve">do </w:t>
      </w:r>
      <w:r w:rsidRPr="00D50D44" w:rsidR="006B6A98">
        <w:rPr>
          <w:rFonts w:ascii="Times New Roman" w:hAnsi="Times New Roman" w:cs="Times New Roman"/>
        </w:rPr>
        <w:t xml:space="preserve">apríla </w:t>
      </w:r>
      <w:r w:rsidRPr="00D50D44" w:rsidR="00BA1FAA">
        <w:rPr>
          <w:rFonts w:ascii="Times New Roman" w:hAnsi="Times New Roman" w:cs="Times New Roman"/>
        </w:rPr>
        <w:t>2015</w:t>
      </w:r>
      <w:r w:rsidRPr="00D50D44" w:rsidR="00D37F13">
        <w:rPr>
          <w:rFonts w:ascii="Times New Roman" w:hAnsi="Times New Roman" w:cs="Times New Roman"/>
        </w:rPr>
        <w:t xml:space="preserve"> </w:t>
      </w:r>
      <w:r w:rsidRPr="00D50D44" w:rsidR="00EA7DC6">
        <w:rPr>
          <w:rFonts w:ascii="Times New Roman" w:hAnsi="Times New Roman" w:cs="Times New Roman"/>
        </w:rPr>
        <w:t xml:space="preserve">čiastku </w:t>
      </w:r>
      <w:r w:rsidRPr="00D50D44" w:rsidR="009E41D1">
        <w:rPr>
          <w:rFonts w:ascii="Times New Roman" w:hAnsi="Times New Roman" w:cs="Times New Roman"/>
        </w:rPr>
        <w:t>8,07</w:t>
      </w:r>
      <w:r w:rsidRPr="00D50D44" w:rsidR="00D37F13">
        <w:rPr>
          <w:rFonts w:ascii="Times New Roman" w:hAnsi="Times New Roman" w:cs="Times New Roman"/>
        </w:rPr>
        <w:t xml:space="preserve">4 mld. </w:t>
      </w:r>
      <w:r w:rsidRPr="00D50D44" w:rsidR="007A35B4">
        <w:rPr>
          <w:rFonts w:ascii="Times New Roman" w:hAnsi="Times New Roman" w:cs="Times New Roman"/>
        </w:rPr>
        <w:t>EUR</w:t>
      </w:r>
      <w:r w:rsidRPr="00D50D44" w:rsidR="00D37F13">
        <w:rPr>
          <w:rFonts w:ascii="Times New Roman" w:hAnsi="Times New Roman" w:cs="Times New Roman"/>
        </w:rPr>
        <w:t>.</w:t>
      </w:r>
      <w:r w:rsidRPr="00D50D44" w:rsidR="007A35B4">
        <w:rPr>
          <w:rFonts w:ascii="Times New Roman" w:hAnsi="Times New Roman" w:cs="Times New Roman"/>
        </w:rPr>
        <w:t xml:space="preserve"> </w:t>
      </w:r>
      <w:r w:rsidRPr="00D50D44" w:rsidR="00D37F13">
        <w:rPr>
          <w:rFonts w:ascii="Times New Roman" w:hAnsi="Times New Roman" w:cs="Times New Roman"/>
        </w:rPr>
        <w:t xml:space="preserve"> </w:t>
      </w:r>
      <w:r w:rsidRPr="00D50D44" w:rsidR="006B6A98">
        <w:rPr>
          <w:rFonts w:ascii="Times New Roman" w:hAnsi="Times New Roman" w:cs="Times New Roman"/>
        </w:rPr>
        <w:t xml:space="preserve">Uvedená </w:t>
      </w:r>
      <w:r w:rsidRPr="00D50D44">
        <w:rPr>
          <w:rFonts w:ascii="Times New Roman" w:hAnsi="Times New Roman" w:cs="Times New Roman"/>
        </w:rPr>
        <w:t>suma</w:t>
      </w:r>
      <w:r w:rsidRPr="00D50D44" w:rsidR="006B6A98">
        <w:rPr>
          <w:rFonts w:ascii="Times New Roman" w:hAnsi="Times New Roman" w:cs="Times New Roman"/>
        </w:rPr>
        <w:t xml:space="preserve"> znamená, že </w:t>
      </w:r>
      <w:r w:rsidRPr="00D50D44" w:rsidR="00D37F13">
        <w:rPr>
          <w:rFonts w:ascii="Times New Roman" w:hAnsi="Times New Roman" w:cs="Times New Roman"/>
        </w:rPr>
        <w:t xml:space="preserve">70 % disponibilných prostriedkov bolo </w:t>
      </w:r>
      <w:r w:rsidRPr="00D50D44" w:rsidR="006B6A98">
        <w:rPr>
          <w:rFonts w:ascii="Times New Roman" w:hAnsi="Times New Roman" w:cs="Times New Roman"/>
        </w:rPr>
        <w:t>alokovaných na r</w:t>
      </w:r>
      <w:r w:rsidRPr="00D50D44" w:rsidR="00D37F13">
        <w:rPr>
          <w:rFonts w:ascii="Times New Roman" w:hAnsi="Times New Roman" w:cs="Times New Roman"/>
        </w:rPr>
        <w:t xml:space="preserve">ealizáciu projektov zameraných </w:t>
      </w:r>
      <w:r w:rsidRPr="00D50D44">
        <w:rPr>
          <w:rFonts w:ascii="Times New Roman" w:hAnsi="Times New Roman" w:cs="Times New Roman"/>
        </w:rPr>
        <w:t>na  infraštruktúru primárne v oblasti dopravy, životného prostredia, regionálnu dostupnosť, vedomostnú ekonomiku (veda</w:t>
      </w:r>
      <w:r w:rsidR="00983293">
        <w:rPr>
          <w:rFonts w:ascii="Times New Roman" w:hAnsi="Times New Roman" w:cs="Times New Roman"/>
        </w:rPr>
        <w:t>,</w:t>
      </w:r>
      <w:r w:rsidRPr="00D50D44">
        <w:rPr>
          <w:rFonts w:ascii="Times New Roman" w:hAnsi="Times New Roman" w:cs="Times New Roman"/>
        </w:rPr>
        <w:t xml:space="preserve"> výskum a inovácie) a ľudské zdroje (podpora rastu zamestnanosti, vzdelávanie a sociálne začlenenie). </w:t>
      </w:r>
    </w:p>
    <w:p w:rsidR="00275D19" w:rsidRPr="00D50D44" w:rsidP="00D62C95">
      <w:pPr>
        <w:bidi w:val="0"/>
        <w:spacing w:after="0"/>
        <w:ind w:firstLine="708"/>
        <w:jc w:val="both"/>
        <w:rPr>
          <w:rFonts w:ascii="Times New Roman" w:hAnsi="Times New Roman" w:cs="Times New Roman"/>
        </w:rPr>
      </w:pPr>
    </w:p>
    <w:p w:rsidR="006B6A98" w:rsidRPr="00D50D44" w:rsidP="00D62C95">
      <w:pPr>
        <w:bidi w:val="0"/>
        <w:spacing w:after="0"/>
        <w:ind w:firstLine="708"/>
        <w:jc w:val="both"/>
        <w:rPr>
          <w:rFonts w:ascii="Times New Roman" w:hAnsi="Times New Roman" w:cs="Times New Roman"/>
        </w:rPr>
      </w:pPr>
      <w:r w:rsidRPr="00D50D44">
        <w:rPr>
          <w:rFonts w:ascii="Times New Roman" w:hAnsi="Times New Roman" w:cs="Times New Roman"/>
        </w:rPr>
        <w:t>Vzhľadom na skutočnos</w:t>
      </w:r>
      <w:r w:rsidR="00983293">
        <w:rPr>
          <w:rFonts w:ascii="Times New Roman" w:hAnsi="Times New Roman" w:cs="Times New Roman"/>
        </w:rPr>
        <w:t>ť, že programové obdobie 2007 -</w:t>
      </w:r>
      <w:r w:rsidRPr="00D50D44">
        <w:rPr>
          <w:rFonts w:ascii="Times New Roman" w:hAnsi="Times New Roman" w:cs="Times New Roman"/>
        </w:rPr>
        <w:t xml:space="preserve"> 2013 je historick</w:t>
      </w:r>
      <w:r w:rsidRPr="00D50D44" w:rsidR="00D50BA3">
        <w:rPr>
          <w:rFonts w:ascii="Times New Roman" w:hAnsi="Times New Roman" w:cs="Times New Roman"/>
        </w:rPr>
        <w:t>y</w:t>
      </w:r>
      <w:r w:rsidRPr="00D50D44">
        <w:rPr>
          <w:rFonts w:ascii="Times New Roman" w:hAnsi="Times New Roman" w:cs="Times New Roman"/>
        </w:rPr>
        <w:t xml:space="preserve"> prvým riadnym sedemročným implementačným obdobím</w:t>
      </w:r>
      <w:r w:rsidRPr="00D50D44" w:rsidR="004E7546">
        <w:rPr>
          <w:rFonts w:ascii="Times New Roman" w:hAnsi="Times New Roman" w:cs="Times New Roman"/>
        </w:rPr>
        <w:t xml:space="preserve"> od vstupu Slovenskej republiky do Európskej únie, všetky zainteresova</w:t>
      </w:r>
      <w:r w:rsidRPr="00D50D44" w:rsidR="00EA7DC6">
        <w:rPr>
          <w:rFonts w:ascii="Times New Roman" w:hAnsi="Times New Roman" w:cs="Times New Roman"/>
        </w:rPr>
        <w:t>né subjekty museli čeliť mnohým</w:t>
      </w:r>
      <w:r w:rsidRPr="00D50D44" w:rsidR="004E7546">
        <w:rPr>
          <w:rFonts w:ascii="Times New Roman" w:hAnsi="Times New Roman" w:cs="Times New Roman"/>
        </w:rPr>
        <w:t xml:space="preserve"> náročným úlohám, ktorých plnenie sa nevyhlo ani niektorým nedostatkom. Vláda Slovenskej republiky si je tý</w:t>
      </w:r>
      <w:r w:rsidRPr="00D50D44" w:rsidR="00EA7DC6">
        <w:rPr>
          <w:rFonts w:ascii="Times New Roman" w:hAnsi="Times New Roman" w:cs="Times New Roman"/>
        </w:rPr>
        <w:t>chto nedostatkov v implementácii</w:t>
      </w:r>
      <w:r w:rsidRPr="00D50D44" w:rsidR="004E7546">
        <w:rPr>
          <w:rFonts w:ascii="Times New Roman" w:hAnsi="Times New Roman" w:cs="Times New Roman"/>
        </w:rPr>
        <w:t xml:space="preserve"> operačných programov vedomá a vyvíja maximá</w:t>
      </w:r>
      <w:r w:rsidRPr="00D50D44" w:rsidR="00EA7DC6">
        <w:rPr>
          <w:rFonts w:ascii="Times New Roman" w:hAnsi="Times New Roman" w:cs="Times New Roman"/>
        </w:rPr>
        <w:t>lne úsilie na zlepšenie čerpania</w:t>
      </w:r>
      <w:r w:rsidRPr="00D50D44" w:rsidR="004E7546">
        <w:rPr>
          <w:rFonts w:ascii="Times New Roman" w:hAnsi="Times New Roman" w:cs="Times New Roman"/>
        </w:rPr>
        <w:t xml:space="preserve"> zdrojov</w:t>
      </w:r>
      <w:r w:rsidRPr="00D50D44" w:rsidR="00D50BA3">
        <w:rPr>
          <w:rFonts w:ascii="Times New Roman" w:hAnsi="Times New Roman" w:cs="Times New Roman"/>
        </w:rPr>
        <w:t xml:space="preserve"> ŠF a KF</w:t>
      </w:r>
      <w:r w:rsidRPr="00D50D44" w:rsidR="00896FDE">
        <w:rPr>
          <w:rFonts w:ascii="Times New Roman" w:hAnsi="Times New Roman" w:cs="Times New Roman"/>
        </w:rPr>
        <w:t xml:space="preserve">. </w:t>
      </w:r>
      <w:r w:rsidRPr="00D50D44">
        <w:rPr>
          <w:rFonts w:ascii="Times New Roman" w:hAnsi="Times New Roman" w:cs="Times New Roman"/>
        </w:rPr>
        <w:t xml:space="preserve"> </w:t>
      </w:r>
    </w:p>
    <w:p w:rsidR="004133C5" w:rsidRPr="00D50D44" w:rsidP="00D62C95">
      <w:pPr>
        <w:bidi w:val="0"/>
        <w:spacing w:after="0"/>
        <w:ind w:firstLine="360"/>
        <w:jc w:val="both"/>
        <w:rPr>
          <w:rFonts w:ascii="Times New Roman" w:hAnsi="Times New Roman" w:cs="Times New Roman"/>
          <w:color w:val="FF0000"/>
        </w:rPr>
      </w:pPr>
    </w:p>
    <w:p w:rsidR="00896FDE" w:rsidRPr="00D50D44" w:rsidP="00D62C95">
      <w:pPr>
        <w:bidi w:val="0"/>
        <w:spacing w:after="0"/>
        <w:ind w:firstLine="708"/>
        <w:jc w:val="both"/>
        <w:rPr>
          <w:rFonts w:ascii="Times New Roman" w:hAnsi="Times New Roman" w:cs="Times New Roman"/>
        </w:rPr>
      </w:pPr>
      <w:r w:rsidRPr="00D50D44" w:rsidR="00275D19">
        <w:rPr>
          <w:rFonts w:ascii="Times New Roman" w:hAnsi="Times New Roman" w:cs="Times New Roman"/>
        </w:rPr>
        <w:t xml:space="preserve">Riadiace orgány (ďalej len „RO“) zodpovedné za jednotlivé operačné programy NSRR sa vo svojich analýzach zhodli, že kľúčovým problémom implementácie a čerpania operačných programov je proces verejného obstarávania (ďalej len „VO“).  Niekoľkoročné skúsenosti poukazujú na dve roviny tohto problému. Prvou je nízka kvalita prípravy a vyhodnocovania VO zo strany prijímateľov, čo má za následok opakované rušenie súťaží, prípadne potrebu opravy súťažných podkladov a iných dokumentov súvisiacich s VO. Následkom toho dochádzalo k časovým posunom v celom projektovom cykle a z celkového hľadiska negatívne vplývalo na čerpanie ročných záväzkov.  Jedným z prijatých opatrení na zlepšenie tohto stavu je aj intenzívna komunikácia RO so samotnými prijímateľmi s cieľom usmerňovať ich a vykonávať kontrolu VO  ešte pred začiatkom celého procesu.  Druhou rovinou problému v oblasti VO je vývoj situácie na trhu v dôsledku globálnej hospodárskej krízy. Tá mala, okrem iného, za následok aj vyhrotenie konkurencie medzi uchádzačmi v procese VO. Neúspešní uchádzači využívali v porovnaní s minulosťou oveľa častejšie inštitút námietok vo VO, čím sa proces VO neúmerne predĺžil, osobitne pri väčších a infraštruktúrnych projektoch. S týmto typom projektov sú spojené aj nereálne nízke ceny, ktoré sa následne prejavili  v nižšom ako plánovanom kontrahovaní.  </w:t>
      </w:r>
      <w:r w:rsidRPr="00D50D44">
        <w:rPr>
          <w:rFonts w:ascii="Times New Roman" w:hAnsi="Times New Roman" w:cs="Times New Roman"/>
        </w:rPr>
        <w:t xml:space="preserve">  </w:t>
      </w:r>
    </w:p>
    <w:p w:rsidR="004133C5" w:rsidRPr="00D50D44" w:rsidP="00D62C95">
      <w:pPr>
        <w:bidi w:val="0"/>
        <w:spacing w:after="0"/>
        <w:ind w:firstLine="360"/>
        <w:jc w:val="both"/>
        <w:rPr>
          <w:rFonts w:ascii="Times New Roman" w:hAnsi="Times New Roman" w:cs="Times New Roman"/>
        </w:rPr>
      </w:pPr>
    </w:p>
    <w:p w:rsidR="00BA1FAA" w:rsidRPr="00D50D44" w:rsidP="00D62C95">
      <w:pPr>
        <w:bidi w:val="0"/>
        <w:spacing w:after="0"/>
        <w:ind w:firstLine="708"/>
        <w:jc w:val="both"/>
        <w:rPr>
          <w:rFonts w:ascii="Times New Roman" w:hAnsi="Times New Roman" w:cs="Times New Roman"/>
        </w:rPr>
      </w:pPr>
      <w:r w:rsidRPr="00D50D44" w:rsidR="00D37F13">
        <w:rPr>
          <w:rFonts w:ascii="Times New Roman" w:hAnsi="Times New Roman" w:cs="Times New Roman"/>
        </w:rPr>
        <w:t xml:space="preserve">Negatívny vplyv na čerpanie majú aj korekcie udelené za pochybenia (hlavne v oblasti VO) v minulosti. </w:t>
      </w:r>
      <w:r w:rsidRPr="00D50D44" w:rsidR="004437B2">
        <w:rPr>
          <w:rFonts w:ascii="Times New Roman" w:hAnsi="Times New Roman" w:cs="Times New Roman"/>
        </w:rPr>
        <w:t>Mnohí p</w:t>
      </w:r>
      <w:r w:rsidRPr="00D50D44" w:rsidR="00D37F13">
        <w:rPr>
          <w:rFonts w:ascii="Times New Roman" w:hAnsi="Times New Roman" w:cs="Times New Roman"/>
        </w:rPr>
        <w:t xml:space="preserve">rijímatelia v rámci projektov nie sú schopní zrealizovať bezchybné </w:t>
      </w:r>
      <w:r w:rsidRPr="00D50D44" w:rsidR="00896FDE">
        <w:rPr>
          <w:rFonts w:ascii="Times New Roman" w:hAnsi="Times New Roman" w:cs="Times New Roman"/>
        </w:rPr>
        <w:t xml:space="preserve">VO, často musia celý proces niekoľkokrát opakovať, čo má za následok nedodržanie plánovaných termínov realizácie projektov </w:t>
      </w:r>
      <w:r w:rsidRPr="00D50D44" w:rsidR="00D37F13">
        <w:rPr>
          <w:rFonts w:ascii="Times New Roman" w:hAnsi="Times New Roman" w:cs="Times New Roman"/>
        </w:rPr>
        <w:t xml:space="preserve">a tým aj neustále odďaľovanie samotného čerpania finančných prostriedkov. </w:t>
      </w:r>
    </w:p>
    <w:p w:rsidR="004133C5" w:rsidRPr="00D50D44" w:rsidP="00D62C95">
      <w:pPr>
        <w:bidi w:val="0"/>
        <w:spacing w:after="0"/>
        <w:ind w:firstLine="360"/>
        <w:jc w:val="both"/>
        <w:rPr>
          <w:rFonts w:ascii="Times New Roman" w:hAnsi="Times New Roman" w:cs="Times New Roman"/>
        </w:rPr>
      </w:pPr>
    </w:p>
    <w:p w:rsidR="00896FDE" w:rsidRPr="00D50D44" w:rsidP="0031554D">
      <w:pPr>
        <w:bidi w:val="0"/>
        <w:spacing w:after="0"/>
        <w:ind w:firstLine="708"/>
        <w:jc w:val="both"/>
        <w:rPr>
          <w:rFonts w:ascii="Times New Roman" w:hAnsi="Times New Roman" w:cs="Times New Roman"/>
        </w:rPr>
      </w:pPr>
      <w:r w:rsidRPr="00D50D44">
        <w:rPr>
          <w:rFonts w:ascii="Times New Roman" w:hAnsi="Times New Roman" w:cs="Times New Roman"/>
        </w:rPr>
        <w:t xml:space="preserve">Osobitnou a mimoriadne významnou kapitolou procesu implementácie </w:t>
      </w:r>
      <w:r w:rsidRPr="00D50D44" w:rsidR="00D50BA3">
        <w:rPr>
          <w:rFonts w:ascii="Times New Roman" w:hAnsi="Times New Roman" w:cs="Times New Roman"/>
        </w:rPr>
        <w:t xml:space="preserve">ŠF a KF </w:t>
      </w:r>
      <w:r w:rsidRPr="00D50D44" w:rsidR="00D37F13">
        <w:rPr>
          <w:rFonts w:ascii="Times New Roman" w:hAnsi="Times New Roman" w:cs="Times New Roman"/>
        </w:rPr>
        <w:t>je kvalita verejnej správy a riadenia ľudských zdrojov v rámci verejnej správy</w:t>
      </w:r>
      <w:r w:rsidRPr="00D50D44">
        <w:rPr>
          <w:rFonts w:ascii="Times New Roman" w:hAnsi="Times New Roman" w:cs="Times New Roman"/>
        </w:rPr>
        <w:t xml:space="preserve">. </w:t>
      </w:r>
      <w:r w:rsidRPr="00D50D44" w:rsidR="00D37F13">
        <w:rPr>
          <w:rFonts w:ascii="Times New Roman" w:hAnsi="Times New Roman" w:cs="Times New Roman"/>
        </w:rPr>
        <w:t xml:space="preserve"> </w:t>
      </w:r>
      <w:r w:rsidRPr="00D50D44" w:rsidR="003F7B2E">
        <w:rPr>
          <w:rFonts w:ascii="Times New Roman" w:hAnsi="Times New Roman" w:cs="Times New Roman"/>
        </w:rPr>
        <w:t xml:space="preserve">Tento problém  však nie je špecifikom len </w:t>
      </w:r>
      <w:r w:rsidRPr="00D50D44">
        <w:rPr>
          <w:rFonts w:ascii="Times New Roman" w:hAnsi="Times New Roman" w:cs="Times New Roman"/>
        </w:rPr>
        <w:t>Slovenska. Európska komisia</w:t>
      </w:r>
      <w:r w:rsidR="00BA0258">
        <w:rPr>
          <w:rFonts w:ascii="Times New Roman" w:hAnsi="Times New Roman" w:cs="Times New Roman"/>
        </w:rPr>
        <w:t xml:space="preserve"> (ďalej len „EK“)</w:t>
      </w:r>
      <w:r w:rsidRPr="00D50D44">
        <w:rPr>
          <w:rFonts w:ascii="Times New Roman" w:hAnsi="Times New Roman" w:cs="Times New Roman"/>
        </w:rPr>
        <w:t xml:space="preserve"> v rámci iniciatív zameraných na poslinenie administratívnych kapacít členských štátov implementujúcich kohéznu politiku identifikovala ako jeden z hlavných nedostatkov </w:t>
      </w:r>
      <w:r w:rsidRPr="00D50D44" w:rsidR="00D37F13">
        <w:rPr>
          <w:rFonts w:ascii="Times New Roman" w:hAnsi="Times New Roman" w:cs="Times New Roman"/>
        </w:rPr>
        <w:t xml:space="preserve">vplyv politického cyklu na </w:t>
      </w:r>
      <w:r w:rsidRPr="00D50D44">
        <w:rPr>
          <w:rFonts w:ascii="Times New Roman" w:hAnsi="Times New Roman" w:cs="Times New Roman"/>
        </w:rPr>
        <w:t>stabilitu ľudských zdrojov vo verejnej správe. Časté výmeny na postoch štátnych úradníkov</w:t>
      </w:r>
      <w:r w:rsidRPr="00D50D44" w:rsidR="003F7B2E">
        <w:rPr>
          <w:rFonts w:ascii="Times New Roman" w:hAnsi="Times New Roman" w:cs="Times New Roman"/>
        </w:rPr>
        <w:t xml:space="preserve"> </w:t>
      </w:r>
      <w:r w:rsidRPr="00D50D44" w:rsidR="004437B2">
        <w:rPr>
          <w:rFonts w:ascii="Times New Roman" w:hAnsi="Times New Roman" w:cs="Times New Roman"/>
        </w:rPr>
        <w:t xml:space="preserve">spojené s nástupom novej exekutívy </w:t>
      </w:r>
      <w:r w:rsidRPr="00D50D44" w:rsidR="003F7B2E">
        <w:rPr>
          <w:rFonts w:ascii="Times New Roman" w:hAnsi="Times New Roman" w:cs="Times New Roman"/>
        </w:rPr>
        <w:t>vedú k omeškaniam a často až  k pozastaveniam implementačných procesov. Vláda Slovenskej republiky reagovala na výzvy E</w:t>
      </w:r>
      <w:r w:rsidR="00BA0258">
        <w:rPr>
          <w:rFonts w:ascii="Times New Roman" w:hAnsi="Times New Roman" w:cs="Times New Roman"/>
        </w:rPr>
        <w:t>K</w:t>
      </w:r>
      <w:r w:rsidRPr="00D50D44" w:rsidR="003F7B2E">
        <w:rPr>
          <w:rFonts w:ascii="Times New Roman" w:hAnsi="Times New Roman" w:cs="Times New Roman"/>
        </w:rPr>
        <w:t xml:space="preserve"> smerujúce k posilneniu prvku stability a efektívnosti verejnej správy vytvorením operačného programu Efektívna verejná správa</w:t>
      </w:r>
      <w:r w:rsidR="00D303EF">
        <w:rPr>
          <w:rFonts w:ascii="Times New Roman" w:hAnsi="Times New Roman" w:cs="Times New Roman"/>
        </w:rPr>
        <w:t xml:space="preserve">, </w:t>
      </w:r>
      <w:r w:rsidRPr="00D50D44" w:rsidR="003F7B2E">
        <w:rPr>
          <w:rFonts w:ascii="Times New Roman" w:hAnsi="Times New Roman" w:cs="Times New Roman"/>
        </w:rPr>
        <w:t>ako aj prípravou návrhu zákona o štátnej službe. Prínosy týchto opatrení sa však prejavia až v novom programovom období</w:t>
      </w:r>
      <w:r w:rsidRPr="00D50D44" w:rsidR="00275D19">
        <w:rPr>
          <w:rFonts w:ascii="Times New Roman" w:hAnsi="Times New Roman" w:cs="Times New Roman"/>
        </w:rPr>
        <w:t xml:space="preserve"> 2014-2020</w:t>
      </w:r>
      <w:r w:rsidRPr="00D50D44" w:rsidR="0031554D">
        <w:rPr>
          <w:rFonts w:ascii="Times New Roman" w:hAnsi="Times New Roman" w:cs="Times New Roman"/>
        </w:rPr>
        <w:t xml:space="preserve">. </w:t>
      </w:r>
      <w:r w:rsidRPr="00D50D44" w:rsidR="003F7B2E">
        <w:rPr>
          <w:rFonts w:ascii="Times New Roman" w:hAnsi="Times New Roman" w:cs="Times New Roman"/>
        </w:rPr>
        <w:t xml:space="preserve"> </w:t>
      </w:r>
    </w:p>
    <w:p w:rsidR="003F7B2E" w:rsidRPr="00D50D44" w:rsidP="00D62C95">
      <w:pPr>
        <w:bidi w:val="0"/>
        <w:spacing w:after="0"/>
        <w:ind w:firstLine="360"/>
        <w:jc w:val="both"/>
        <w:rPr>
          <w:rFonts w:ascii="Times New Roman" w:hAnsi="Times New Roman" w:cs="Times New Roman"/>
          <w:color w:val="FF0000"/>
        </w:rPr>
      </w:pPr>
    </w:p>
    <w:p w:rsidR="0031554D" w:rsidRPr="00D50D44" w:rsidP="0031554D">
      <w:pPr>
        <w:bidi w:val="0"/>
        <w:spacing w:after="0"/>
        <w:ind w:firstLine="708"/>
        <w:jc w:val="both"/>
        <w:rPr>
          <w:rFonts w:ascii="Times New Roman" w:hAnsi="Times New Roman" w:cs="Times New Roman"/>
        </w:rPr>
      </w:pPr>
      <w:r w:rsidRPr="00D50D44">
        <w:rPr>
          <w:rFonts w:ascii="Times New Roman" w:hAnsi="Times New Roman" w:cs="Times New Roman"/>
        </w:rPr>
        <w:t xml:space="preserve">Pre úspešné ukončenie programového obdobia </w:t>
      </w:r>
      <w:r w:rsidR="00503FDB">
        <w:rPr>
          <w:rFonts w:ascii="Times New Roman" w:hAnsi="Times New Roman" w:cs="Times New Roman"/>
        </w:rPr>
        <w:t>2007 - 2013</w:t>
      </w:r>
      <w:r w:rsidRPr="00D50D44">
        <w:rPr>
          <w:rFonts w:ascii="Times New Roman" w:hAnsi="Times New Roman" w:cs="Times New Roman"/>
        </w:rPr>
        <w:t xml:space="preserve"> je mimoriadne dôležité, aby si samotní prijímatelia splnili svoje záväzky  a riadne ukončili fyzickú a finančnú realizáciu projektov financovaných z</w:t>
      </w:r>
      <w:r w:rsidR="00D45CB5">
        <w:rPr>
          <w:rFonts w:ascii="Times New Roman" w:hAnsi="Times New Roman" w:cs="Times New Roman"/>
        </w:rPr>
        <w:t> </w:t>
      </w:r>
      <w:r w:rsidRPr="00D50D44">
        <w:rPr>
          <w:rFonts w:ascii="Times New Roman" w:hAnsi="Times New Roman" w:cs="Times New Roman"/>
        </w:rPr>
        <w:t>fondov</w:t>
      </w:r>
      <w:r w:rsidR="00D45CB5">
        <w:rPr>
          <w:rFonts w:ascii="Times New Roman" w:hAnsi="Times New Roman" w:cs="Times New Roman"/>
        </w:rPr>
        <w:t xml:space="preserve"> EÚ</w:t>
      </w:r>
      <w:r w:rsidRPr="00D50D44">
        <w:rPr>
          <w:rFonts w:ascii="Times New Roman" w:hAnsi="Times New Roman" w:cs="Times New Roman"/>
        </w:rPr>
        <w:t xml:space="preserve">. </w:t>
      </w:r>
      <w:r w:rsidR="00503FDB">
        <w:rPr>
          <w:rFonts w:ascii="Times New Roman" w:hAnsi="Times New Roman" w:cs="Times New Roman"/>
        </w:rPr>
        <w:t>Tým, že v</w:t>
      </w:r>
      <w:r w:rsidRPr="00D50D44">
        <w:rPr>
          <w:rFonts w:ascii="Times New Roman" w:hAnsi="Times New Roman" w:cs="Times New Roman"/>
        </w:rPr>
        <w:t>láda Slovenskej republiky dosiahla vyššie ako 100% kontrahovanie prostriedkov fondov EÚ, umožnila financovanie jednotlivých  projektov. Aj napriek dôslednému monitorovaniu na úrovni operačných programov, ako aj na úrovni samotných projektov, však aj naďalej existuje riziko, že prijímatelia nevyužijú ponúknuté zdroje z dôvodov ako napríklad neukončené VO, omeškania v harmonograme prípravy</w:t>
      </w:r>
      <w:r w:rsidR="00D303EF">
        <w:rPr>
          <w:rFonts w:ascii="Times New Roman" w:hAnsi="Times New Roman" w:cs="Times New Roman"/>
        </w:rPr>
        <w:t xml:space="preserve">, </w:t>
      </w:r>
      <w:r w:rsidRPr="00D50D44">
        <w:rPr>
          <w:rFonts w:ascii="Times New Roman" w:hAnsi="Times New Roman" w:cs="Times New Roman"/>
        </w:rPr>
        <w:t xml:space="preserve">resp. realizácie projektov alebo z iných príčin. </w:t>
      </w:r>
    </w:p>
    <w:p w:rsidR="00DD780A" w:rsidRPr="00D50D44" w:rsidP="00D62C95">
      <w:pPr>
        <w:bidi w:val="0"/>
        <w:spacing w:after="0"/>
        <w:ind w:firstLine="360"/>
        <w:jc w:val="both"/>
        <w:rPr>
          <w:rFonts w:ascii="Times New Roman" w:hAnsi="Times New Roman" w:cs="Times New Roman"/>
        </w:rPr>
      </w:pPr>
    </w:p>
    <w:p w:rsidR="00D37F13" w:rsidRPr="00D50D44" w:rsidP="00D62C95">
      <w:pPr>
        <w:bidi w:val="0"/>
        <w:ind w:firstLine="708"/>
        <w:jc w:val="both"/>
        <w:rPr>
          <w:rFonts w:ascii="Times New Roman" w:hAnsi="Times New Roman" w:cs="Times New Roman"/>
        </w:rPr>
      </w:pPr>
      <w:r w:rsidRPr="00D50D44" w:rsidR="00DD780A">
        <w:rPr>
          <w:rFonts w:ascii="Times New Roman" w:hAnsi="Times New Roman" w:cs="Times New Roman"/>
        </w:rPr>
        <w:t xml:space="preserve">Akýkoľvek odhad výšky nenaplnenia záväzku je dnes v rovine špekulácií a nepodložených dohadov. </w:t>
      </w:r>
      <w:r w:rsidR="00983293">
        <w:rPr>
          <w:rFonts w:ascii="Times New Roman" w:hAnsi="Times New Roman" w:cs="Times New Roman"/>
        </w:rPr>
        <w:t>Veľké množstvo</w:t>
      </w:r>
      <w:r w:rsidRPr="00D50D44" w:rsidR="00DD780A">
        <w:rPr>
          <w:rFonts w:ascii="Times New Roman" w:hAnsi="Times New Roman" w:cs="Times New Roman"/>
        </w:rPr>
        <w:t xml:space="preserve"> projektov je aj v súčasnosti v štádiu realizácie. Vláda Slovenskej republiky prijala celý rad opatrení na urýchlenie čerpania na strane </w:t>
      </w:r>
      <w:r w:rsidRPr="00D50D44">
        <w:rPr>
          <w:rFonts w:ascii="Times New Roman" w:hAnsi="Times New Roman" w:cs="Times New Roman"/>
        </w:rPr>
        <w:t>prijímateľov</w:t>
      </w:r>
      <w:r w:rsidRPr="00D50D44" w:rsidR="00DD780A">
        <w:rPr>
          <w:rFonts w:ascii="Times New Roman" w:hAnsi="Times New Roman" w:cs="Times New Roman"/>
        </w:rPr>
        <w:t xml:space="preserve"> a je presvedčená, že aj ich vplyvom sa zopakuje situácia z obdobia 2004</w:t>
      </w:r>
      <w:r w:rsidR="00503FDB">
        <w:rPr>
          <w:rFonts w:ascii="Times New Roman" w:hAnsi="Times New Roman" w:cs="Times New Roman"/>
        </w:rPr>
        <w:t xml:space="preserve"> </w:t>
      </w:r>
      <w:r w:rsidRPr="00D50D44" w:rsidR="00DD780A">
        <w:rPr>
          <w:rFonts w:ascii="Times New Roman" w:hAnsi="Times New Roman" w:cs="Times New Roman"/>
        </w:rPr>
        <w:t>-</w:t>
      </w:r>
      <w:r w:rsidR="00503FDB">
        <w:rPr>
          <w:rFonts w:ascii="Times New Roman" w:hAnsi="Times New Roman" w:cs="Times New Roman"/>
        </w:rPr>
        <w:t xml:space="preserve"> </w:t>
      </w:r>
      <w:r w:rsidRPr="00D50D44" w:rsidR="00DD780A">
        <w:rPr>
          <w:rFonts w:ascii="Times New Roman" w:hAnsi="Times New Roman" w:cs="Times New Roman"/>
        </w:rPr>
        <w:t xml:space="preserve">2006, pri ktorom vzrástlo čerpanie zdrojov v poslednom roku implementácie </w:t>
      </w:r>
      <w:r w:rsidRPr="00D50D44" w:rsidR="00AF3054">
        <w:rPr>
          <w:rFonts w:ascii="Times New Roman" w:hAnsi="Times New Roman" w:cs="Times New Roman"/>
        </w:rPr>
        <w:t>o 35</w:t>
      </w:r>
      <w:r w:rsidRPr="00D50D44" w:rsidR="0031554D">
        <w:rPr>
          <w:rFonts w:ascii="Times New Roman" w:hAnsi="Times New Roman" w:cs="Times New Roman"/>
        </w:rPr>
        <w:t xml:space="preserve"> %, čím SR vyčerpala</w:t>
      </w:r>
      <w:r w:rsidRPr="00D50D44">
        <w:rPr>
          <w:rFonts w:ascii="Times New Roman" w:hAnsi="Times New Roman" w:cs="Times New Roman"/>
        </w:rPr>
        <w:t xml:space="preserve"> </w:t>
      </w:r>
      <w:r w:rsidRPr="00D50D44" w:rsidR="00DD780A">
        <w:rPr>
          <w:rFonts w:ascii="Times New Roman" w:hAnsi="Times New Roman" w:cs="Times New Roman"/>
        </w:rPr>
        <w:t xml:space="preserve">takmer na </w:t>
      </w:r>
      <w:r w:rsidRPr="00D50D44" w:rsidR="00BA1FAA">
        <w:rPr>
          <w:rFonts w:ascii="Times New Roman" w:hAnsi="Times New Roman" w:cs="Times New Roman"/>
        </w:rPr>
        <w:t xml:space="preserve"> 100 % pridelenú alokáciu.</w:t>
      </w:r>
    </w:p>
    <w:p w:rsidR="001546EF" w:rsidRPr="00D50D44" w:rsidP="009426BD">
      <w:pPr>
        <w:bidi w:val="0"/>
        <w:spacing w:after="0"/>
        <w:ind w:firstLine="708"/>
        <w:jc w:val="both"/>
        <w:rPr>
          <w:rFonts w:ascii="Times New Roman" w:hAnsi="Times New Roman" w:cs="Times New Roman"/>
        </w:rPr>
      </w:pPr>
    </w:p>
    <w:p w:rsidR="00BA1FAA" w:rsidRPr="00D50D44" w:rsidP="00D62C95">
      <w:pPr>
        <w:pStyle w:val="Heading2"/>
        <w:numPr>
          <w:numId w:val="36"/>
        </w:numPr>
        <w:bidi w:val="0"/>
        <w:rPr>
          <w:rFonts w:ascii="Times New Roman" w:hAnsi="Times New Roman" w:cs="Times New Roman"/>
        </w:rPr>
      </w:pPr>
      <w:bookmarkStart w:id="1" w:name="_Toc419481406"/>
      <w:r w:rsidRPr="00D50D44" w:rsidR="006A5552">
        <w:rPr>
          <w:rFonts w:ascii="Times New Roman" w:hAnsi="Times New Roman" w:cs="Times New Roman" w:hint="default"/>
        </w:rPr>
        <w:t>Stav zverejň</w:t>
      </w:r>
      <w:r w:rsidRPr="00D50D44" w:rsidR="006A5552">
        <w:rPr>
          <w:rFonts w:ascii="Times New Roman" w:hAnsi="Times New Roman" w:cs="Times New Roman" w:hint="default"/>
        </w:rPr>
        <w:t>ovania vý</w:t>
      </w:r>
      <w:r w:rsidRPr="00D50D44" w:rsidR="006A5552">
        <w:rPr>
          <w:rFonts w:ascii="Times New Roman" w:hAnsi="Times New Roman" w:cs="Times New Roman" w:hint="default"/>
        </w:rPr>
        <w:t>ziev na predkladanie ž</w:t>
      </w:r>
      <w:r w:rsidRPr="00D50D44" w:rsidR="006A5552">
        <w:rPr>
          <w:rFonts w:ascii="Times New Roman" w:hAnsi="Times New Roman" w:cs="Times New Roman" w:hint="default"/>
        </w:rPr>
        <w:t>iadostí</w:t>
      </w:r>
      <w:r w:rsidRPr="00D50D44" w:rsidR="006A5552">
        <w:rPr>
          <w:rFonts w:ascii="Times New Roman" w:hAnsi="Times New Roman" w:cs="Times New Roman" w:hint="default"/>
        </w:rPr>
        <w:t xml:space="preserve"> o </w:t>
      </w:r>
      <w:r w:rsidRPr="00D50D44" w:rsidR="006A5552">
        <w:rPr>
          <w:rFonts w:ascii="Times New Roman" w:hAnsi="Times New Roman" w:cs="Times New Roman" w:hint="default"/>
        </w:rPr>
        <w:t>poskytnutie nená</w:t>
      </w:r>
      <w:r w:rsidRPr="00D50D44" w:rsidR="006A5552">
        <w:rPr>
          <w:rFonts w:ascii="Times New Roman" w:hAnsi="Times New Roman" w:cs="Times New Roman" w:hint="default"/>
        </w:rPr>
        <w:t>vratné</w:t>
      </w:r>
      <w:r w:rsidRPr="00D50D44" w:rsidR="006A5552">
        <w:rPr>
          <w:rFonts w:ascii="Times New Roman" w:hAnsi="Times New Roman" w:cs="Times New Roman" w:hint="default"/>
        </w:rPr>
        <w:t>ho finanč</w:t>
      </w:r>
      <w:r w:rsidRPr="00D50D44" w:rsidR="006A5552">
        <w:rPr>
          <w:rFonts w:ascii="Times New Roman" w:hAnsi="Times New Roman" w:cs="Times New Roman" w:hint="default"/>
        </w:rPr>
        <w:t>né</w:t>
      </w:r>
      <w:r w:rsidRPr="00D50D44" w:rsidR="006A5552">
        <w:rPr>
          <w:rFonts w:ascii="Times New Roman" w:hAnsi="Times New Roman" w:cs="Times New Roman" w:hint="default"/>
        </w:rPr>
        <w:t>ho prí</w:t>
      </w:r>
      <w:r w:rsidRPr="00D50D44" w:rsidR="006A5552">
        <w:rPr>
          <w:rFonts w:ascii="Times New Roman" w:hAnsi="Times New Roman" w:cs="Times New Roman" w:hint="default"/>
        </w:rPr>
        <w:t>spevku</w:t>
      </w:r>
      <w:bookmarkEnd w:id="1"/>
      <w:r w:rsidRPr="00D50D44" w:rsidR="006A5552">
        <w:rPr>
          <w:rFonts w:ascii="Times New Roman" w:hAnsi="Times New Roman" w:cs="Times New Roman" w:hint="default"/>
        </w:rPr>
        <w:t xml:space="preserve"> </w:t>
      </w:r>
    </w:p>
    <w:p w:rsidR="001546EF" w:rsidRPr="00D50D44" w:rsidP="00D62C95">
      <w:pPr>
        <w:bidi w:val="0"/>
        <w:spacing w:after="0"/>
        <w:ind w:firstLine="709"/>
        <w:jc w:val="both"/>
        <w:rPr>
          <w:rFonts w:ascii="Times New Roman" w:hAnsi="Times New Roman" w:cs="Times New Roman"/>
          <w:szCs w:val="24"/>
        </w:rPr>
      </w:pPr>
    </w:p>
    <w:p w:rsidR="004437B2" w:rsidRPr="00D50D44" w:rsidP="00D62C95">
      <w:pPr>
        <w:bidi w:val="0"/>
        <w:spacing w:after="0"/>
        <w:ind w:firstLine="709"/>
        <w:jc w:val="both"/>
        <w:rPr>
          <w:rFonts w:ascii="Times New Roman" w:hAnsi="Times New Roman" w:cs="Times New Roman"/>
        </w:rPr>
      </w:pPr>
      <w:r w:rsidRPr="00D50D44">
        <w:rPr>
          <w:rFonts w:ascii="Times New Roman" w:hAnsi="Times New Roman" w:cs="Times New Roman"/>
        </w:rPr>
        <w:t xml:space="preserve">Základným predpokladom úspešnej implementácie ŠF a KF v iniciačnej fáze každého programového obdobia je vyhlásenie výziev. </w:t>
      </w:r>
    </w:p>
    <w:p w:rsidR="004437B2" w:rsidRPr="00D50D44" w:rsidP="00D62C95">
      <w:pPr>
        <w:bidi w:val="0"/>
        <w:spacing w:after="0"/>
        <w:ind w:firstLine="709"/>
        <w:jc w:val="both"/>
        <w:rPr>
          <w:rFonts w:ascii="Times New Roman" w:hAnsi="Times New Roman" w:cs="Times New Roman"/>
        </w:rPr>
      </w:pPr>
    </w:p>
    <w:p w:rsidR="00604AC8" w:rsidRPr="00D50D44" w:rsidP="00D62C95">
      <w:pPr>
        <w:bidi w:val="0"/>
        <w:spacing w:after="0"/>
        <w:ind w:firstLine="709"/>
        <w:jc w:val="both"/>
        <w:rPr>
          <w:rFonts w:ascii="Times New Roman" w:hAnsi="Times New Roman" w:cs="Times New Roman"/>
        </w:rPr>
      </w:pPr>
      <w:r w:rsidRPr="00D50D44" w:rsidR="006A5552">
        <w:rPr>
          <w:rFonts w:ascii="Times New Roman" w:hAnsi="Times New Roman" w:cs="Times New Roman"/>
        </w:rPr>
        <w:t>Celkovo za obdobie od 01.</w:t>
      </w:r>
      <w:r w:rsidR="00503FDB">
        <w:rPr>
          <w:rFonts w:ascii="Times New Roman" w:hAnsi="Times New Roman" w:cs="Times New Roman"/>
        </w:rPr>
        <w:t xml:space="preserve"> </w:t>
      </w:r>
      <w:r w:rsidRPr="00D50D44" w:rsidR="006A5552">
        <w:rPr>
          <w:rFonts w:ascii="Times New Roman" w:hAnsi="Times New Roman" w:cs="Times New Roman"/>
        </w:rPr>
        <w:t>01.</w:t>
      </w:r>
      <w:r w:rsidR="00503FDB">
        <w:rPr>
          <w:rFonts w:ascii="Times New Roman" w:hAnsi="Times New Roman" w:cs="Times New Roman"/>
        </w:rPr>
        <w:t xml:space="preserve"> </w:t>
      </w:r>
      <w:r w:rsidRPr="00D50D44" w:rsidR="006A5552">
        <w:rPr>
          <w:rFonts w:ascii="Times New Roman" w:hAnsi="Times New Roman" w:cs="Times New Roman"/>
        </w:rPr>
        <w:t>2007 do 30.</w:t>
      </w:r>
      <w:r w:rsidR="00503FDB">
        <w:rPr>
          <w:rFonts w:ascii="Times New Roman" w:hAnsi="Times New Roman" w:cs="Times New Roman"/>
        </w:rPr>
        <w:t xml:space="preserve"> </w:t>
      </w:r>
      <w:r w:rsidRPr="00D50D44" w:rsidR="006A5552">
        <w:rPr>
          <w:rFonts w:ascii="Times New Roman" w:hAnsi="Times New Roman" w:cs="Times New Roman"/>
        </w:rPr>
        <w:t>04.</w:t>
      </w:r>
      <w:r w:rsidR="00503FDB">
        <w:rPr>
          <w:rFonts w:ascii="Times New Roman" w:hAnsi="Times New Roman" w:cs="Times New Roman"/>
        </w:rPr>
        <w:t xml:space="preserve"> </w:t>
      </w:r>
      <w:r w:rsidRPr="00D50D44" w:rsidR="006A5552">
        <w:rPr>
          <w:rFonts w:ascii="Times New Roman" w:hAnsi="Times New Roman" w:cs="Times New Roman"/>
        </w:rPr>
        <w:t>2015 bolo v rámci NSRR vyhlásených 657 výziev</w:t>
      </w:r>
      <w:r>
        <w:rPr>
          <w:rStyle w:val="FootnoteReference"/>
          <w:rFonts w:ascii="Times New Roman" w:hAnsi="Times New Roman"/>
          <w:rtl w:val="0"/>
        </w:rPr>
        <w:footnoteReference w:id="2"/>
      </w:r>
      <w:r w:rsidRPr="00D50D44" w:rsidR="006A5552">
        <w:rPr>
          <w:rFonts w:ascii="Times New Roman" w:hAnsi="Times New Roman" w:cs="Times New Roman"/>
        </w:rPr>
        <w:t xml:space="preserve"> v celkovej </w:t>
      </w:r>
      <w:r w:rsidRPr="00D50D44" w:rsidR="007A35B4">
        <w:rPr>
          <w:rFonts w:ascii="Times New Roman" w:hAnsi="Times New Roman" w:cs="Times New Roman"/>
        </w:rPr>
        <w:t xml:space="preserve">výške </w:t>
      </w:r>
      <w:r w:rsidRPr="00D50D44" w:rsidR="006A5552">
        <w:rPr>
          <w:rFonts w:ascii="Times New Roman" w:hAnsi="Times New Roman" w:cs="Times New Roman"/>
        </w:rPr>
        <w:t xml:space="preserve"> 14,2</w:t>
      </w:r>
      <w:r w:rsidRPr="00D50D44" w:rsidR="004437B2">
        <w:rPr>
          <w:rFonts w:ascii="Times New Roman" w:hAnsi="Times New Roman" w:cs="Times New Roman"/>
        </w:rPr>
        <w:t>2</w:t>
      </w:r>
      <w:r w:rsidRPr="00D50D44" w:rsidR="006A5552">
        <w:rPr>
          <w:rFonts w:ascii="Times New Roman" w:hAnsi="Times New Roman" w:cs="Times New Roman"/>
        </w:rPr>
        <w:t xml:space="preserve"> mld. </w:t>
      </w:r>
      <w:r w:rsidRPr="00D50D44" w:rsidR="007A35B4">
        <w:rPr>
          <w:rFonts w:ascii="Times New Roman" w:hAnsi="Times New Roman" w:cs="Times New Roman"/>
        </w:rPr>
        <w:t>EUR</w:t>
      </w:r>
      <w:r w:rsidRPr="00D50D44" w:rsidR="006A5552">
        <w:rPr>
          <w:rFonts w:ascii="Times New Roman" w:hAnsi="Times New Roman" w:cs="Times New Roman"/>
        </w:rPr>
        <w:t>. Z tohto počtu bolo realizovaných 576 výziev v sume 12,59 mld. EUR. Celkom 81 výziev s alokáciou cca 1,63 mld. EUR sa nerealizovalo</w:t>
      </w:r>
      <w:r w:rsidRPr="00D50D44" w:rsidR="007A35B4">
        <w:rPr>
          <w:rFonts w:ascii="Times New Roman" w:hAnsi="Times New Roman" w:cs="Times New Roman"/>
        </w:rPr>
        <w:t xml:space="preserve">, napr. </w:t>
      </w:r>
      <w:r w:rsidRPr="00D50D44" w:rsidR="006A5552">
        <w:rPr>
          <w:rFonts w:ascii="Times New Roman" w:hAnsi="Times New Roman" w:cs="Times New Roman"/>
        </w:rPr>
        <w:t xml:space="preserve"> z dôvodu nepredloženia žiadosti o</w:t>
      </w:r>
      <w:r w:rsidRPr="00D50D44" w:rsidR="007A35B4">
        <w:rPr>
          <w:rFonts w:ascii="Times New Roman" w:hAnsi="Times New Roman" w:cs="Times New Roman"/>
        </w:rPr>
        <w:t> nenávratný finančný príspevok (ďalej len „NFP“</w:t>
      </w:r>
      <w:r>
        <w:rPr>
          <w:rStyle w:val="FootnoteReference"/>
          <w:rFonts w:ascii="Times New Roman" w:hAnsi="Times New Roman"/>
          <w:rtl w:val="0"/>
        </w:rPr>
        <w:footnoteReference w:id="3"/>
      </w:r>
      <w:r w:rsidRPr="00D50D44" w:rsidR="007A35B4">
        <w:rPr>
          <w:rFonts w:ascii="Times New Roman" w:hAnsi="Times New Roman" w:cs="Times New Roman"/>
        </w:rPr>
        <w:t>)</w:t>
      </w:r>
      <w:r w:rsidRPr="00D50D44" w:rsidR="006A5552">
        <w:rPr>
          <w:rFonts w:ascii="Times New Roman" w:hAnsi="Times New Roman" w:cs="Times New Roman"/>
        </w:rPr>
        <w:t xml:space="preserve">, z dôvodu zrušenia výzvy podľa zákona č. 528/2008 Z. z. o pomoci a podpore poskytovanej z fondov </w:t>
      </w:r>
      <w:r w:rsidRPr="00652BDA" w:rsidR="00652BDA">
        <w:rPr>
          <w:rFonts w:ascii="Times New Roman" w:hAnsi="Times New Roman" w:cs="Times New Roman"/>
        </w:rPr>
        <w:t>Európskeho spoločenstva</w:t>
      </w:r>
      <w:r w:rsidRPr="00D50D44" w:rsidR="00D84102">
        <w:rPr>
          <w:rFonts w:ascii="Times New Roman" w:hAnsi="Times New Roman" w:cs="Times New Roman"/>
        </w:rPr>
        <w:t xml:space="preserve"> v znení neskorších predpisov. </w:t>
      </w:r>
    </w:p>
    <w:p w:rsidR="001546EF" w:rsidRPr="00D50D44" w:rsidP="00D62C95">
      <w:pPr>
        <w:bidi w:val="0"/>
        <w:spacing w:after="0"/>
        <w:ind w:firstLine="709"/>
        <w:jc w:val="both"/>
        <w:rPr>
          <w:rFonts w:ascii="Times New Roman" w:hAnsi="Times New Roman" w:cs="Times New Roman"/>
        </w:rPr>
      </w:pPr>
    </w:p>
    <w:p w:rsidR="00D84102" w:rsidRPr="00D50D44" w:rsidP="00D62C95">
      <w:pPr>
        <w:bidi w:val="0"/>
        <w:spacing w:after="0"/>
        <w:ind w:firstLine="709"/>
        <w:jc w:val="both"/>
        <w:rPr>
          <w:rFonts w:ascii="Times New Roman" w:hAnsi="Times New Roman" w:cs="Times New Roman"/>
        </w:rPr>
      </w:pPr>
      <w:r w:rsidRPr="00D50D44" w:rsidR="00797A68">
        <w:rPr>
          <w:rFonts w:ascii="Times New Roman" w:hAnsi="Times New Roman" w:cs="Times New Roman"/>
        </w:rPr>
        <w:t xml:space="preserve">Pri </w:t>
      </w:r>
      <w:r w:rsidRPr="00D50D44">
        <w:rPr>
          <w:rFonts w:ascii="Times New Roman" w:hAnsi="Times New Roman" w:cs="Times New Roman"/>
        </w:rPr>
        <w:t xml:space="preserve">vyhlasovaní výziev je početnosť značne odlišná </w:t>
      </w:r>
      <w:r w:rsidRPr="00D50D44" w:rsidR="007A35B4">
        <w:rPr>
          <w:rFonts w:ascii="Times New Roman" w:hAnsi="Times New Roman" w:cs="Times New Roman"/>
        </w:rPr>
        <w:t>v závislosti od konkrétneho obdobia</w:t>
      </w:r>
      <w:r w:rsidRPr="00D50D44">
        <w:rPr>
          <w:rFonts w:ascii="Times New Roman" w:hAnsi="Times New Roman" w:cs="Times New Roman"/>
        </w:rPr>
        <w:t xml:space="preserve">. Počas 21 mesiacov medzi </w:t>
      </w:r>
      <w:r w:rsidRPr="00D50D44" w:rsidR="007A35B4">
        <w:rPr>
          <w:rFonts w:ascii="Times New Roman" w:hAnsi="Times New Roman" w:cs="Times New Roman"/>
        </w:rPr>
        <w:t>0</w:t>
      </w:r>
      <w:r w:rsidRPr="00D50D44">
        <w:rPr>
          <w:rFonts w:ascii="Times New Roman" w:hAnsi="Times New Roman" w:cs="Times New Roman"/>
        </w:rPr>
        <w:t>1.</w:t>
      </w:r>
      <w:r w:rsidR="00503FDB">
        <w:rPr>
          <w:rFonts w:ascii="Times New Roman" w:hAnsi="Times New Roman" w:cs="Times New Roman"/>
        </w:rPr>
        <w:t xml:space="preserve"> </w:t>
      </w:r>
      <w:r w:rsidRPr="00D50D44" w:rsidR="007A35B4">
        <w:rPr>
          <w:rFonts w:ascii="Times New Roman" w:hAnsi="Times New Roman" w:cs="Times New Roman"/>
        </w:rPr>
        <w:t>0</w:t>
      </w:r>
      <w:r w:rsidRPr="00D50D44">
        <w:rPr>
          <w:rFonts w:ascii="Times New Roman" w:hAnsi="Times New Roman" w:cs="Times New Roman"/>
        </w:rPr>
        <w:t>7.</w:t>
      </w:r>
      <w:r w:rsidR="00503FDB">
        <w:rPr>
          <w:rFonts w:ascii="Times New Roman" w:hAnsi="Times New Roman" w:cs="Times New Roman"/>
        </w:rPr>
        <w:t xml:space="preserve"> </w:t>
      </w:r>
      <w:r w:rsidRPr="00D50D44">
        <w:rPr>
          <w:rFonts w:ascii="Times New Roman" w:hAnsi="Times New Roman" w:cs="Times New Roman"/>
        </w:rPr>
        <w:t>2010 a 31.</w:t>
      </w:r>
      <w:r w:rsidR="00503FDB">
        <w:rPr>
          <w:rFonts w:ascii="Times New Roman" w:hAnsi="Times New Roman" w:cs="Times New Roman"/>
        </w:rPr>
        <w:t xml:space="preserve"> </w:t>
      </w:r>
      <w:r w:rsidRPr="00D50D44" w:rsidR="007A35B4">
        <w:rPr>
          <w:rFonts w:ascii="Times New Roman" w:hAnsi="Times New Roman" w:cs="Times New Roman"/>
        </w:rPr>
        <w:t>0</w:t>
      </w:r>
      <w:r w:rsidRPr="00D50D44">
        <w:rPr>
          <w:rFonts w:ascii="Times New Roman" w:hAnsi="Times New Roman" w:cs="Times New Roman"/>
        </w:rPr>
        <w:t>3.</w:t>
      </w:r>
      <w:r w:rsidR="00503FDB">
        <w:rPr>
          <w:rFonts w:ascii="Times New Roman" w:hAnsi="Times New Roman" w:cs="Times New Roman"/>
        </w:rPr>
        <w:t xml:space="preserve"> </w:t>
      </w:r>
      <w:r w:rsidRPr="00D50D44">
        <w:rPr>
          <w:rFonts w:ascii="Times New Roman" w:hAnsi="Times New Roman" w:cs="Times New Roman"/>
        </w:rPr>
        <w:t xml:space="preserve">2012 bolo vyhlásených minimum výziev, čo značne oneskorilo proces kontrahovania finančných prostriedkov. </w:t>
      </w:r>
      <w:r w:rsidRPr="00D50D44" w:rsidR="00604AC8">
        <w:rPr>
          <w:rFonts w:ascii="Times New Roman" w:hAnsi="Times New Roman" w:cs="Times New Roman"/>
        </w:rPr>
        <w:t xml:space="preserve">Tento výrazný pokles </w:t>
      </w:r>
      <w:r w:rsidRPr="00D50D44" w:rsidR="007A35B4">
        <w:rPr>
          <w:rFonts w:ascii="Times New Roman" w:hAnsi="Times New Roman" w:cs="Times New Roman"/>
        </w:rPr>
        <w:t>počtu výziev narušil</w:t>
      </w:r>
      <w:r w:rsidRPr="00D50D44" w:rsidR="00797A68">
        <w:rPr>
          <w:rFonts w:ascii="Times New Roman" w:hAnsi="Times New Roman" w:cs="Times New Roman"/>
        </w:rPr>
        <w:t xml:space="preserve"> </w:t>
      </w:r>
      <w:r w:rsidRPr="00D50D44" w:rsidR="007A35B4">
        <w:rPr>
          <w:rFonts w:ascii="Times New Roman" w:hAnsi="Times New Roman" w:cs="Times New Roman"/>
        </w:rPr>
        <w:t xml:space="preserve"> významným spôsobom kontinuitu implementačných procesov. Je preukázateľné, že zachovanie tempa výziev aj v uvedenom období by bolo viedlo k vyššej miere kontrahovania a poskytlo tak prijímateľom dlhší čas na realizáciu projektov. </w:t>
      </w:r>
    </w:p>
    <w:p w:rsidR="00F17675" w:rsidRPr="00D50D44" w:rsidP="00F17675">
      <w:pPr>
        <w:keepNext/>
        <w:bidi w:val="0"/>
        <w:spacing w:after="0"/>
        <w:rPr>
          <w:rFonts w:ascii="Times New Roman" w:hAnsi="Times New Roman" w:cs="Times New Roman"/>
        </w:rPr>
      </w:pPr>
      <w:r w:rsidRPr="00D50D44" w:rsidR="006A5552">
        <w:rPr>
          <w:rFonts w:ascii="Times New Roman" w:hAnsi="Times New Roman" w:cs="Times New Roman"/>
        </w:rPr>
        <w:t xml:space="preserve">Tabuľka č. </w:t>
      </w:r>
      <w:r w:rsidRPr="00D50D44" w:rsidR="00F40A3C">
        <w:rPr>
          <w:rFonts w:ascii="Times New Roman" w:hAnsi="Times New Roman" w:cs="Times New Roman"/>
        </w:rPr>
        <w:t>1</w:t>
      </w:r>
      <w:r w:rsidRPr="00D50D44" w:rsidR="006A5552">
        <w:rPr>
          <w:rFonts w:ascii="Times New Roman" w:hAnsi="Times New Roman" w:cs="Times New Roman"/>
        </w:rPr>
        <w:t>: Výzvy vyhlásené k 30.</w:t>
      </w:r>
      <w:r w:rsidR="00503FDB">
        <w:rPr>
          <w:rFonts w:ascii="Times New Roman" w:hAnsi="Times New Roman" w:cs="Times New Roman"/>
        </w:rPr>
        <w:t xml:space="preserve"> </w:t>
      </w:r>
      <w:r w:rsidRPr="00D50D44" w:rsidR="006A5552">
        <w:rPr>
          <w:rFonts w:ascii="Times New Roman" w:hAnsi="Times New Roman" w:cs="Times New Roman"/>
        </w:rPr>
        <w:t>04.</w:t>
      </w:r>
      <w:r w:rsidR="00503FDB">
        <w:rPr>
          <w:rFonts w:ascii="Times New Roman" w:hAnsi="Times New Roman" w:cs="Times New Roman"/>
        </w:rPr>
        <w:t xml:space="preserve"> </w:t>
      </w:r>
      <w:r w:rsidRPr="00D50D44" w:rsidR="006A5552">
        <w:rPr>
          <w:rFonts w:ascii="Times New Roman" w:hAnsi="Times New Roman" w:cs="Times New Roman"/>
        </w:rPr>
        <w:t>2015</w:t>
      </w:r>
      <w:r w:rsidR="007833B0">
        <w:rPr>
          <w:rFonts w:ascii="Times New Roman" w:hAnsi="Times New Roman" w:cs="Times New Roman"/>
        </w:rPr>
        <w:t xml:space="preserve"> (EÚ zdroje)</w:t>
      </w:r>
    </w:p>
    <w:tbl>
      <w:tblPr>
        <w:tblStyle w:val="TableNormal"/>
        <w:tblW w:w="10031" w:type="dxa"/>
        <w:tblInd w:w="-72" w:type="dxa"/>
        <w:tblCellMar>
          <w:left w:w="70" w:type="dxa"/>
          <w:right w:w="70" w:type="dxa"/>
        </w:tblCellMar>
        <w:tblLook w:val="04A0"/>
      </w:tblPr>
      <w:tblGrid>
        <w:gridCol w:w="2561"/>
        <w:gridCol w:w="720"/>
        <w:gridCol w:w="1868"/>
        <w:gridCol w:w="700"/>
        <w:gridCol w:w="1688"/>
        <w:gridCol w:w="754"/>
        <w:gridCol w:w="1740"/>
      </w:tblGrid>
      <w:tr>
        <w:tblPrEx>
          <w:tblW w:w="10031" w:type="dxa"/>
          <w:tblInd w:w="-72" w:type="dxa"/>
          <w:tblCellMar>
            <w:left w:w="70" w:type="dxa"/>
            <w:right w:w="70" w:type="dxa"/>
          </w:tblCellMar>
          <w:tblLook w:val="04A0"/>
        </w:tblPrEx>
        <w:trPr>
          <w:trHeight w:val="339"/>
        </w:trPr>
        <w:tc>
          <w:tcPr>
            <w:tcW w:w="2561" w:type="dxa"/>
            <w:vMerge w:val="restart"/>
            <w:tcBorders>
              <w:top w:val="single" w:sz="8" w:space="0" w:color="auto"/>
              <w:left w:val="single" w:sz="8" w:space="0" w:color="auto"/>
              <w:bottom w:val="single" w:sz="8" w:space="0" w:color="000000"/>
              <w:right w:val="single" w:sz="8" w:space="0" w:color="auto"/>
            </w:tcBorders>
            <w:shd w:val="pct12" w:color="auto" w:fill="auto"/>
            <w:noWrap/>
            <w:textDirection w:val="lrTb"/>
            <w:vAlign w:val="center"/>
            <w:hideMark/>
          </w:tcPr>
          <w:p w:rsidR="00F17675" w:rsidRPr="00D50D44" w:rsidP="00D303EF">
            <w:pPr>
              <w:keepNext/>
              <w:bidi w:val="0"/>
              <w:jc w:val="center"/>
              <w:rPr>
                <w:rFonts w:ascii="Times New Roman" w:hAnsi="Times New Roman" w:cs="Times New Roman"/>
              </w:rPr>
            </w:pPr>
            <w:r w:rsidRPr="00D50D44">
              <w:rPr>
                <w:rFonts w:ascii="Times New Roman" w:hAnsi="Times New Roman" w:cs="Times New Roman"/>
              </w:rPr>
              <w:t xml:space="preserve">OP </w:t>
            </w:r>
          </w:p>
        </w:tc>
        <w:tc>
          <w:tcPr>
            <w:tcW w:w="2588" w:type="dxa"/>
            <w:gridSpan w:val="2"/>
            <w:tcBorders>
              <w:top w:val="single" w:sz="8" w:space="0" w:color="auto"/>
              <w:left w:val="nil"/>
              <w:bottom w:val="single" w:sz="8" w:space="0" w:color="auto"/>
              <w:right w:val="single" w:sz="8" w:space="0" w:color="000000"/>
            </w:tcBorders>
            <w:shd w:val="pct12" w:color="auto" w:fill="auto"/>
            <w:noWrap/>
            <w:textDirection w:val="lrTb"/>
            <w:vAlign w:val="center"/>
            <w:hideMark/>
          </w:tcPr>
          <w:p w:rsidR="00F17675" w:rsidRPr="00D50D44" w:rsidP="00D303EF">
            <w:pPr>
              <w:keepNext/>
              <w:bidi w:val="0"/>
              <w:jc w:val="center"/>
              <w:rPr>
                <w:rFonts w:ascii="Times New Roman" w:hAnsi="Times New Roman" w:cs="Times New Roman"/>
                <w:b/>
                <w:bCs/>
              </w:rPr>
            </w:pPr>
            <w:r w:rsidRPr="00D50D44">
              <w:rPr>
                <w:rFonts w:ascii="Times New Roman" w:hAnsi="Times New Roman" w:cs="Times New Roman"/>
                <w:b/>
                <w:bCs/>
              </w:rPr>
              <w:t xml:space="preserve">Výzvy platné a ukončené (realizované) </w:t>
            </w:r>
          </w:p>
        </w:tc>
        <w:tc>
          <w:tcPr>
            <w:tcW w:w="2388" w:type="dxa"/>
            <w:gridSpan w:val="2"/>
            <w:tcBorders>
              <w:top w:val="single" w:sz="8" w:space="0" w:color="auto"/>
              <w:left w:val="nil"/>
              <w:bottom w:val="single" w:sz="8" w:space="0" w:color="auto"/>
              <w:right w:val="single" w:sz="8" w:space="0" w:color="000000"/>
            </w:tcBorders>
            <w:shd w:val="pct12" w:color="auto" w:fill="auto"/>
            <w:noWrap/>
            <w:textDirection w:val="lrTb"/>
            <w:vAlign w:val="center"/>
            <w:hideMark/>
          </w:tcPr>
          <w:p w:rsidR="00F17675" w:rsidRPr="00D50D44" w:rsidP="00D303EF">
            <w:pPr>
              <w:keepNext/>
              <w:bidi w:val="0"/>
              <w:jc w:val="center"/>
              <w:rPr>
                <w:rFonts w:ascii="Times New Roman" w:hAnsi="Times New Roman" w:cs="Times New Roman"/>
              </w:rPr>
            </w:pPr>
            <w:r w:rsidRPr="00D50D44">
              <w:rPr>
                <w:rFonts w:ascii="Times New Roman" w:hAnsi="Times New Roman" w:cs="Times New Roman"/>
              </w:rPr>
              <w:t xml:space="preserve">Neplatné výzvy (nerealizované, nevyužité) </w:t>
            </w:r>
          </w:p>
        </w:tc>
        <w:tc>
          <w:tcPr>
            <w:tcW w:w="2494" w:type="dxa"/>
            <w:gridSpan w:val="2"/>
            <w:tcBorders>
              <w:top w:val="single" w:sz="8" w:space="0" w:color="auto"/>
              <w:left w:val="nil"/>
              <w:bottom w:val="single" w:sz="8" w:space="0" w:color="auto"/>
              <w:right w:val="single" w:sz="8" w:space="0" w:color="000000"/>
            </w:tcBorders>
            <w:shd w:val="pct12" w:color="auto" w:fill="auto"/>
            <w:noWrap/>
            <w:textDirection w:val="lrTb"/>
            <w:vAlign w:val="center"/>
            <w:hideMark/>
          </w:tcPr>
          <w:p w:rsidR="00F17675" w:rsidRPr="00D50D44" w:rsidP="00D303EF">
            <w:pPr>
              <w:keepNext/>
              <w:bidi w:val="0"/>
              <w:jc w:val="center"/>
              <w:rPr>
                <w:rFonts w:ascii="Times New Roman" w:hAnsi="Times New Roman" w:cs="Times New Roman"/>
              </w:rPr>
            </w:pPr>
            <w:r w:rsidRPr="00D50D44">
              <w:rPr>
                <w:rFonts w:ascii="Times New Roman" w:hAnsi="Times New Roman" w:cs="Times New Roman"/>
              </w:rPr>
              <w:t xml:space="preserve">Celkový počet výziev </w:t>
            </w:r>
          </w:p>
        </w:tc>
      </w:tr>
      <w:tr>
        <w:tblPrEx>
          <w:tblW w:w="10031" w:type="dxa"/>
          <w:tblInd w:w="-72" w:type="dxa"/>
          <w:tblCellMar>
            <w:left w:w="70" w:type="dxa"/>
            <w:right w:w="70" w:type="dxa"/>
          </w:tblCellMar>
          <w:tblLook w:val="04A0"/>
        </w:tblPrEx>
        <w:trPr>
          <w:trHeight w:val="339"/>
        </w:trPr>
        <w:tc>
          <w:tcPr>
            <w:tcW w:w="2561" w:type="dxa"/>
            <w:vMerge/>
            <w:tcBorders>
              <w:top w:val="single" w:sz="8" w:space="0" w:color="auto"/>
              <w:left w:val="single" w:sz="8" w:space="0" w:color="auto"/>
              <w:bottom w:val="single" w:sz="8" w:space="0" w:color="000000"/>
              <w:right w:val="single" w:sz="8" w:space="0" w:color="auto"/>
            </w:tcBorders>
            <w:shd w:val="pct12" w:color="auto" w:fill="auto"/>
            <w:textDirection w:val="lrTb"/>
            <w:vAlign w:val="center"/>
            <w:hideMark/>
          </w:tcPr>
          <w:p w:rsidR="00F17675" w:rsidRPr="00D50D44" w:rsidP="00D303EF">
            <w:pPr>
              <w:keepNext/>
              <w:bidi w:val="0"/>
              <w:rPr>
                <w:rFonts w:ascii="Times New Roman" w:hAnsi="Times New Roman" w:cs="Times New Roman"/>
              </w:rPr>
            </w:pPr>
          </w:p>
        </w:tc>
        <w:tc>
          <w:tcPr>
            <w:tcW w:w="720" w:type="dxa"/>
            <w:tcBorders>
              <w:top w:val="nil"/>
              <w:left w:val="nil"/>
              <w:bottom w:val="single" w:sz="8" w:space="0" w:color="auto"/>
              <w:right w:val="single" w:sz="8" w:space="0" w:color="auto"/>
            </w:tcBorders>
            <w:shd w:val="pct12" w:color="auto" w:fill="auto"/>
            <w:noWrap/>
            <w:textDirection w:val="lrTb"/>
            <w:vAlign w:val="center"/>
            <w:hideMark/>
          </w:tcPr>
          <w:p w:rsidR="00F17675" w:rsidRPr="00D50D44" w:rsidP="00D303EF">
            <w:pPr>
              <w:keepNext/>
              <w:bidi w:val="0"/>
              <w:rPr>
                <w:rFonts w:ascii="Times New Roman" w:hAnsi="Times New Roman" w:cs="Times New Roman"/>
                <w:b/>
                <w:bCs/>
              </w:rPr>
            </w:pPr>
            <w:r w:rsidRPr="00D50D44">
              <w:rPr>
                <w:rFonts w:ascii="Times New Roman" w:hAnsi="Times New Roman" w:cs="Times New Roman"/>
                <w:b/>
                <w:bCs/>
              </w:rPr>
              <w:t>Počet</w:t>
            </w:r>
          </w:p>
        </w:tc>
        <w:tc>
          <w:tcPr>
            <w:tcW w:w="1868" w:type="dxa"/>
            <w:tcBorders>
              <w:top w:val="nil"/>
              <w:left w:val="nil"/>
              <w:bottom w:val="single" w:sz="8" w:space="0" w:color="auto"/>
              <w:right w:val="single" w:sz="8" w:space="0" w:color="auto"/>
            </w:tcBorders>
            <w:shd w:val="pct12" w:color="auto" w:fill="auto"/>
            <w:noWrap/>
            <w:textDirection w:val="lrTb"/>
            <w:vAlign w:val="center"/>
            <w:hideMark/>
          </w:tcPr>
          <w:p w:rsidR="00F17675" w:rsidRPr="00D50D44" w:rsidP="00D303EF">
            <w:pPr>
              <w:keepNext/>
              <w:bidi w:val="0"/>
              <w:rPr>
                <w:rFonts w:ascii="Times New Roman" w:hAnsi="Times New Roman" w:cs="Times New Roman"/>
                <w:b/>
                <w:bCs/>
              </w:rPr>
            </w:pPr>
            <w:r w:rsidRPr="00D50D44">
              <w:rPr>
                <w:rFonts w:ascii="Times New Roman" w:hAnsi="Times New Roman" w:cs="Times New Roman"/>
                <w:b/>
                <w:bCs/>
              </w:rPr>
              <w:t>Alokácia v EUR</w:t>
            </w:r>
          </w:p>
        </w:tc>
        <w:tc>
          <w:tcPr>
            <w:tcW w:w="700" w:type="dxa"/>
            <w:tcBorders>
              <w:top w:val="nil"/>
              <w:left w:val="nil"/>
              <w:bottom w:val="single" w:sz="8" w:space="0" w:color="auto"/>
              <w:right w:val="single" w:sz="8" w:space="0" w:color="auto"/>
            </w:tcBorders>
            <w:shd w:val="pct12" w:color="auto" w:fill="auto"/>
            <w:noWrap/>
            <w:textDirection w:val="lrTb"/>
            <w:vAlign w:val="center"/>
            <w:hideMark/>
          </w:tcPr>
          <w:p w:rsidR="00F17675" w:rsidRPr="00D50D44" w:rsidP="00D303EF">
            <w:pPr>
              <w:keepNext/>
              <w:bidi w:val="0"/>
              <w:jc w:val="center"/>
              <w:rPr>
                <w:rFonts w:ascii="Times New Roman" w:hAnsi="Times New Roman" w:cs="Times New Roman"/>
                <w:bCs/>
              </w:rPr>
            </w:pPr>
            <w:r w:rsidRPr="00D50D44">
              <w:rPr>
                <w:rFonts w:ascii="Times New Roman" w:hAnsi="Times New Roman" w:cs="Times New Roman"/>
                <w:bCs/>
              </w:rPr>
              <w:t>Počet</w:t>
            </w:r>
          </w:p>
        </w:tc>
        <w:tc>
          <w:tcPr>
            <w:tcW w:w="1688" w:type="dxa"/>
            <w:tcBorders>
              <w:top w:val="nil"/>
              <w:left w:val="nil"/>
              <w:bottom w:val="single" w:sz="8" w:space="0" w:color="auto"/>
              <w:right w:val="single" w:sz="8" w:space="0" w:color="auto"/>
            </w:tcBorders>
            <w:shd w:val="pct12" w:color="auto" w:fill="auto"/>
            <w:noWrap/>
            <w:textDirection w:val="lrTb"/>
            <w:vAlign w:val="center"/>
            <w:hideMark/>
          </w:tcPr>
          <w:p w:rsidR="00F17675" w:rsidRPr="00D50D44" w:rsidP="00D303EF">
            <w:pPr>
              <w:keepNext/>
              <w:bidi w:val="0"/>
              <w:jc w:val="center"/>
              <w:rPr>
                <w:rFonts w:ascii="Times New Roman" w:hAnsi="Times New Roman" w:cs="Times New Roman"/>
                <w:bCs/>
              </w:rPr>
            </w:pPr>
            <w:r w:rsidRPr="00D50D44">
              <w:rPr>
                <w:rFonts w:ascii="Times New Roman" w:hAnsi="Times New Roman" w:cs="Times New Roman"/>
                <w:bCs/>
              </w:rPr>
              <w:t>Alokácia v EUR</w:t>
            </w:r>
          </w:p>
        </w:tc>
        <w:tc>
          <w:tcPr>
            <w:tcW w:w="754" w:type="dxa"/>
            <w:tcBorders>
              <w:top w:val="nil"/>
              <w:left w:val="nil"/>
              <w:bottom w:val="single" w:sz="8" w:space="0" w:color="auto"/>
              <w:right w:val="single" w:sz="8" w:space="0" w:color="auto"/>
            </w:tcBorders>
            <w:shd w:val="pct12" w:color="auto" w:fill="auto"/>
            <w:noWrap/>
            <w:textDirection w:val="lrTb"/>
            <w:vAlign w:val="center"/>
            <w:hideMark/>
          </w:tcPr>
          <w:p w:rsidR="00F17675" w:rsidRPr="00D50D44" w:rsidP="00D303EF">
            <w:pPr>
              <w:keepNext/>
              <w:bidi w:val="0"/>
              <w:jc w:val="center"/>
              <w:rPr>
                <w:rFonts w:ascii="Times New Roman" w:hAnsi="Times New Roman" w:cs="Times New Roman"/>
                <w:bCs/>
              </w:rPr>
            </w:pPr>
            <w:r w:rsidRPr="00D50D44">
              <w:rPr>
                <w:rFonts w:ascii="Times New Roman" w:hAnsi="Times New Roman" w:cs="Times New Roman"/>
                <w:bCs/>
              </w:rPr>
              <w:t>Počet</w:t>
            </w:r>
          </w:p>
        </w:tc>
        <w:tc>
          <w:tcPr>
            <w:tcW w:w="1740" w:type="dxa"/>
            <w:tcBorders>
              <w:top w:val="nil"/>
              <w:left w:val="nil"/>
              <w:bottom w:val="single" w:sz="8" w:space="0" w:color="auto"/>
              <w:right w:val="single" w:sz="8" w:space="0" w:color="auto"/>
            </w:tcBorders>
            <w:shd w:val="pct12" w:color="auto" w:fill="auto"/>
            <w:noWrap/>
            <w:textDirection w:val="lrTb"/>
            <w:vAlign w:val="center"/>
            <w:hideMark/>
          </w:tcPr>
          <w:p w:rsidR="00F17675" w:rsidRPr="00D50D44" w:rsidP="00D303EF">
            <w:pPr>
              <w:keepNext/>
              <w:bidi w:val="0"/>
              <w:jc w:val="center"/>
              <w:rPr>
                <w:rFonts w:ascii="Times New Roman" w:hAnsi="Times New Roman" w:cs="Times New Roman"/>
                <w:bCs/>
              </w:rPr>
            </w:pPr>
            <w:r w:rsidRPr="00D50D44">
              <w:rPr>
                <w:rFonts w:ascii="Times New Roman" w:hAnsi="Times New Roman" w:cs="Times New Roman"/>
                <w:bCs/>
              </w:rPr>
              <w:t>Alokácia v EUR</w:t>
            </w:r>
          </w:p>
        </w:tc>
      </w:tr>
      <w:tr>
        <w:tblPrEx>
          <w:tblW w:w="10031" w:type="dxa"/>
          <w:tblInd w:w="-72" w:type="dxa"/>
          <w:tblCellMar>
            <w:left w:w="70" w:type="dxa"/>
            <w:right w:w="70" w:type="dxa"/>
          </w:tblCellMar>
          <w:tblLook w:val="04A0"/>
        </w:tblPrEx>
        <w:trPr>
          <w:trHeight w:val="542"/>
        </w:trPr>
        <w:tc>
          <w:tcPr>
            <w:tcW w:w="2561" w:type="dxa"/>
            <w:tcBorders>
              <w:top w:val="nil"/>
              <w:left w:val="single" w:sz="8" w:space="0" w:color="auto"/>
              <w:bottom w:val="single" w:sz="8" w:space="0" w:color="auto"/>
              <w:right w:val="nil"/>
            </w:tcBorders>
            <w:textDirection w:val="lrTb"/>
            <w:vAlign w:val="center"/>
          </w:tcPr>
          <w:p w:rsidR="00F17675" w:rsidRPr="00D50D44" w:rsidP="00D303EF">
            <w:pPr>
              <w:bidi w:val="0"/>
              <w:rPr>
                <w:rFonts w:ascii="Times New Roman" w:hAnsi="Times New Roman" w:cs="Times New Roman"/>
              </w:rPr>
            </w:pPr>
            <w:r w:rsidRPr="00D50D44">
              <w:rPr>
                <w:rFonts w:ascii="Times New Roman" w:hAnsi="Times New Roman" w:cs="Times New Roman"/>
              </w:rPr>
              <w:t>OP Vzdelávanie</w:t>
            </w:r>
          </w:p>
        </w:tc>
        <w:tc>
          <w:tcPr>
            <w:tcW w:w="720" w:type="dxa"/>
            <w:tcBorders>
              <w:top w:val="nil"/>
              <w:left w:val="single" w:sz="8" w:space="0" w:color="auto"/>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81</w:t>
            </w:r>
          </w:p>
        </w:tc>
        <w:tc>
          <w:tcPr>
            <w:tcW w:w="1868"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1 006 734 728</w:t>
            </w:r>
          </w:p>
        </w:tc>
        <w:tc>
          <w:tcPr>
            <w:tcW w:w="700"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rPr>
            </w:pPr>
            <w:r w:rsidRPr="00D50D44">
              <w:rPr>
                <w:rFonts w:ascii="Times New Roman" w:hAnsi="Times New Roman" w:cs="Times New Roman"/>
              </w:rPr>
              <w:t>14</w:t>
            </w:r>
          </w:p>
        </w:tc>
        <w:tc>
          <w:tcPr>
            <w:tcW w:w="1688"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rPr>
            </w:pPr>
            <w:r w:rsidRPr="00D50D44">
              <w:rPr>
                <w:rFonts w:ascii="Times New Roman" w:hAnsi="Times New Roman" w:cs="Times New Roman"/>
              </w:rPr>
              <w:t>324 500 000</w:t>
            </w:r>
          </w:p>
        </w:tc>
        <w:tc>
          <w:tcPr>
            <w:tcW w:w="754"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rPr>
            </w:pPr>
            <w:r w:rsidRPr="00D50D44">
              <w:rPr>
                <w:rFonts w:ascii="Times New Roman" w:hAnsi="Times New Roman" w:cs="Times New Roman"/>
              </w:rPr>
              <w:t>95</w:t>
            </w:r>
          </w:p>
        </w:tc>
        <w:tc>
          <w:tcPr>
            <w:tcW w:w="1740"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rPr>
            </w:pPr>
            <w:r w:rsidRPr="00D50D44">
              <w:rPr>
                <w:rFonts w:ascii="Times New Roman" w:hAnsi="Times New Roman" w:cs="Times New Roman"/>
              </w:rPr>
              <w:t>1 331 234 728</w:t>
            </w:r>
          </w:p>
        </w:tc>
      </w:tr>
      <w:tr>
        <w:tblPrEx>
          <w:tblW w:w="10031" w:type="dxa"/>
          <w:tblInd w:w="-72" w:type="dxa"/>
          <w:tblCellMar>
            <w:left w:w="70" w:type="dxa"/>
            <w:right w:w="70" w:type="dxa"/>
          </w:tblCellMar>
          <w:tblLook w:val="04A0"/>
        </w:tblPrEx>
        <w:trPr>
          <w:trHeight w:val="542"/>
        </w:trPr>
        <w:tc>
          <w:tcPr>
            <w:tcW w:w="2561" w:type="dxa"/>
            <w:tcBorders>
              <w:top w:val="nil"/>
              <w:left w:val="single" w:sz="8" w:space="0" w:color="auto"/>
              <w:bottom w:val="single" w:sz="8" w:space="0" w:color="auto"/>
              <w:right w:val="nil"/>
            </w:tcBorders>
            <w:textDirection w:val="lrTb"/>
            <w:vAlign w:val="center"/>
          </w:tcPr>
          <w:p w:rsidR="00F17675" w:rsidRPr="00D50D44" w:rsidP="00D303EF">
            <w:pPr>
              <w:bidi w:val="0"/>
              <w:rPr>
                <w:rFonts w:ascii="Times New Roman" w:hAnsi="Times New Roman" w:cs="Times New Roman"/>
              </w:rPr>
            </w:pPr>
            <w:r w:rsidRPr="00D50D44">
              <w:rPr>
                <w:rFonts w:ascii="Times New Roman" w:hAnsi="Times New Roman" w:cs="Times New Roman"/>
              </w:rPr>
              <w:t xml:space="preserve">OP Zamestnanosť a sociálna inklúzia </w:t>
            </w:r>
          </w:p>
        </w:tc>
        <w:tc>
          <w:tcPr>
            <w:tcW w:w="720" w:type="dxa"/>
            <w:tcBorders>
              <w:top w:val="nil"/>
              <w:left w:val="single" w:sz="8" w:space="0" w:color="auto"/>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182</w:t>
            </w:r>
          </w:p>
        </w:tc>
        <w:tc>
          <w:tcPr>
            <w:tcW w:w="1868"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1 432 393 084</w:t>
            </w:r>
          </w:p>
        </w:tc>
        <w:tc>
          <w:tcPr>
            <w:tcW w:w="700"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rPr>
            </w:pPr>
            <w:r w:rsidRPr="00D50D44">
              <w:rPr>
                <w:rFonts w:ascii="Times New Roman" w:hAnsi="Times New Roman" w:cs="Times New Roman"/>
              </w:rPr>
              <w:t>25</w:t>
            </w:r>
          </w:p>
        </w:tc>
        <w:tc>
          <w:tcPr>
            <w:tcW w:w="1688"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rPr>
            </w:pPr>
            <w:r w:rsidRPr="00D50D44">
              <w:rPr>
                <w:rFonts w:ascii="Times New Roman" w:hAnsi="Times New Roman" w:cs="Times New Roman"/>
              </w:rPr>
              <w:t>151 671 189</w:t>
            </w:r>
          </w:p>
        </w:tc>
        <w:tc>
          <w:tcPr>
            <w:tcW w:w="754"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rPr>
            </w:pPr>
            <w:r w:rsidRPr="00D50D44">
              <w:rPr>
                <w:rFonts w:ascii="Times New Roman" w:hAnsi="Times New Roman" w:cs="Times New Roman"/>
              </w:rPr>
              <w:t>207</w:t>
            </w:r>
          </w:p>
        </w:tc>
        <w:tc>
          <w:tcPr>
            <w:tcW w:w="1740"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rPr>
            </w:pPr>
            <w:r w:rsidRPr="00D50D44">
              <w:rPr>
                <w:rFonts w:ascii="Times New Roman" w:hAnsi="Times New Roman" w:cs="Times New Roman"/>
              </w:rPr>
              <w:t>1 584 064 273</w:t>
            </w:r>
          </w:p>
        </w:tc>
      </w:tr>
      <w:tr>
        <w:tblPrEx>
          <w:tblW w:w="10031" w:type="dxa"/>
          <w:tblInd w:w="-72" w:type="dxa"/>
          <w:tblCellMar>
            <w:left w:w="70" w:type="dxa"/>
            <w:right w:w="70" w:type="dxa"/>
          </w:tblCellMar>
          <w:tblLook w:val="04A0"/>
        </w:tblPrEx>
        <w:trPr>
          <w:trHeight w:val="542"/>
        </w:trPr>
        <w:tc>
          <w:tcPr>
            <w:tcW w:w="2561" w:type="dxa"/>
            <w:tcBorders>
              <w:top w:val="nil"/>
              <w:left w:val="single" w:sz="8" w:space="0" w:color="auto"/>
              <w:bottom w:val="single" w:sz="8" w:space="0" w:color="auto"/>
              <w:right w:val="nil"/>
            </w:tcBorders>
            <w:textDirection w:val="lrTb"/>
            <w:vAlign w:val="center"/>
            <w:hideMark/>
          </w:tcPr>
          <w:p w:rsidR="00F17675" w:rsidRPr="00D50D44" w:rsidP="00D303EF">
            <w:pPr>
              <w:keepNext/>
              <w:bidi w:val="0"/>
              <w:rPr>
                <w:rFonts w:ascii="Times New Roman" w:hAnsi="Times New Roman" w:cs="Times New Roman"/>
              </w:rPr>
            </w:pPr>
            <w:r w:rsidRPr="00D50D44">
              <w:rPr>
                <w:rFonts w:ascii="Times New Roman" w:hAnsi="Times New Roman" w:cs="Times New Roman"/>
              </w:rPr>
              <w:t xml:space="preserve">OP Informatizácia spoločnosti </w:t>
            </w:r>
          </w:p>
        </w:tc>
        <w:tc>
          <w:tcPr>
            <w:tcW w:w="720" w:type="dxa"/>
            <w:tcBorders>
              <w:top w:val="nil"/>
              <w:left w:val="single" w:sz="8" w:space="0" w:color="auto"/>
              <w:bottom w:val="single" w:sz="8" w:space="0" w:color="auto"/>
              <w:right w:val="single" w:sz="8" w:space="0" w:color="auto"/>
            </w:tcBorders>
            <w:noWrap/>
            <w:textDirection w:val="lrTb"/>
            <w:vAlign w:val="center"/>
            <w:hideMark/>
          </w:tcPr>
          <w:p w:rsidR="00F17675" w:rsidRPr="00D50D44" w:rsidP="00D303EF">
            <w:pPr>
              <w:keepNext/>
              <w:bidi w:val="0"/>
              <w:jc w:val="center"/>
              <w:rPr>
                <w:rFonts w:ascii="Times New Roman" w:hAnsi="Times New Roman" w:cs="Times New Roman"/>
                <w:b/>
                <w:bCs/>
              </w:rPr>
            </w:pPr>
            <w:r w:rsidRPr="00D50D44">
              <w:rPr>
                <w:rFonts w:ascii="Times New Roman" w:hAnsi="Times New Roman" w:cs="Times New Roman"/>
                <w:b/>
                <w:bCs/>
              </w:rPr>
              <w:t>75</w:t>
            </w:r>
          </w:p>
        </w:tc>
        <w:tc>
          <w:tcPr>
            <w:tcW w:w="1868" w:type="dxa"/>
            <w:tcBorders>
              <w:top w:val="nil"/>
              <w:left w:val="nil"/>
              <w:bottom w:val="single" w:sz="8" w:space="0" w:color="auto"/>
              <w:right w:val="single" w:sz="8" w:space="0" w:color="auto"/>
            </w:tcBorders>
            <w:noWrap/>
            <w:textDirection w:val="lrTb"/>
            <w:vAlign w:val="center"/>
            <w:hideMark/>
          </w:tcPr>
          <w:p w:rsidR="00F17675" w:rsidRPr="00D50D44" w:rsidP="00D303EF">
            <w:pPr>
              <w:keepNext/>
              <w:bidi w:val="0"/>
              <w:jc w:val="center"/>
              <w:rPr>
                <w:rFonts w:ascii="Times New Roman" w:hAnsi="Times New Roman" w:cs="Times New Roman"/>
                <w:b/>
                <w:bCs/>
              </w:rPr>
            </w:pPr>
            <w:r w:rsidRPr="00D50D44">
              <w:rPr>
                <w:rFonts w:ascii="Times New Roman" w:hAnsi="Times New Roman" w:cs="Times New Roman"/>
                <w:b/>
                <w:bCs/>
              </w:rPr>
              <w:t>1 537 883 241</w:t>
            </w:r>
          </w:p>
        </w:tc>
        <w:tc>
          <w:tcPr>
            <w:tcW w:w="700" w:type="dxa"/>
            <w:tcBorders>
              <w:top w:val="nil"/>
              <w:left w:val="nil"/>
              <w:bottom w:val="single" w:sz="8" w:space="0" w:color="auto"/>
              <w:right w:val="single" w:sz="8" w:space="0" w:color="auto"/>
            </w:tcBorders>
            <w:noWrap/>
            <w:textDirection w:val="lrTb"/>
            <w:vAlign w:val="center"/>
            <w:hideMark/>
          </w:tcPr>
          <w:p w:rsidR="00F17675" w:rsidRPr="00D50D44" w:rsidP="00D303EF">
            <w:pPr>
              <w:keepNext/>
              <w:bidi w:val="0"/>
              <w:jc w:val="center"/>
              <w:rPr>
                <w:rFonts w:ascii="Times New Roman" w:hAnsi="Times New Roman" w:cs="Times New Roman"/>
              </w:rPr>
            </w:pPr>
            <w:r w:rsidRPr="00D50D44">
              <w:rPr>
                <w:rFonts w:ascii="Times New Roman" w:hAnsi="Times New Roman" w:cs="Times New Roman"/>
              </w:rPr>
              <w:t>21</w:t>
            </w:r>
          </w:p>
        </w:tc>
        <w:tc>
          <w:tcPr>
            <w:tcW w:w="1688" w:type="dxa"/>
            <w:tcBorders>
              <w:top w:val="nil"/>
              <w:left w:val="nil"/>
              <w:bottom w:val="single" w:sz="8" w:space="0" w:color="auto"/>
              <w:right w:val="single" w:sz="8" w:space="0" w:color="auto"/>
            </w:tcBorders>
            <w:noWrap/>
            <w:textDirection w:val="lrTb"/>
            <w:vAlign w:val="center"/>
            <w:hideMark/>
          </w:tcPr>
          <w:p w:rsidR="00F17675" w:rsidRPr="00D50D44" w:rsidP="00D303EF">
            <w:pPr>
              <w:keepNext/>
              <w:bidi w:val="0"/>
              <w:jc w:val="center"/>
              <w:rPr>
                <w:rFonts w:ascii="Times New Roman" w:hAnsi="Times New Roman" w:cs="Times New Roman"/>
              </w:rPr>
            </w:pPr>
            <w:r w:rsidRPr="00D50D44">
              <w:rPr>
                <w:rFonts w:ascii="Times New Roman" w:hAnsi="Times New Roman" w:cs="Times New Roman"/>
              </w:rPr>
              <w:t>531 246 154</w:t>
            </w:r>
          </w:p>
        </w:tc>
        <w:tc>
          <w:tcPr>
            <w:tcW w:w="754" w:type="dxa"/>
            <w:tcBorders>
              <w:top w:val="nil"/>
              <w:left w:val="nil"/>
              <w:bottom w:val="single" w:sz="8" w:space="0" w:color="auto"/>
              <w:right w:val="single" w:sz="8" w:space="0" w:color="auto"/>
            </w:tcBorders>
            <w:noWrap/>
            <w:textDirection w:val="lrTb"/>
            <w:vAlign w:val="center"/>
            <w:hideMark/>
          </w:tcPr>
          <w:p w:rsidR="00F17675" w:rsidRPr="00D50D44" w:rsidP="00D303EF">
            <w:pPr>
              <w:keepNext/>
              <w:bidi w:val="0"/>
              <w:jc w:val="center"/>
              <w:rPr>
                <w:rFonts w:ascii="Times New Roman" w:hAnsi="Times New Roman" w:cs="Times New Roman"/>
              </w:rPr>
            </w:pPr>
            <w:r w:rsidRPr="00D50D44">
              <w:rPr>
                <w:rFonts w:ascii="Times New Roman" w:hAnsi="Times New Roman" w:cs="Times New Roman"/>
              </w:rPr>
              <w:t>96</w:t>
            </w:r>
          </w:p>
        </w:tc>
        <w:tc>
          <w:tcPr>
            <w:tcW w:w="1740" w:type="dxa"/>
            <w:tcBorders>
              <w:top w:val="nil"/>
              <w:left w:val="nil"/>
              <w:bottom w:val="single" w:sz="8" w:space="0" w:color="auto"/>
              <w:right w:val="single" w:sz="8" w:space="0" w:color="auto"/>
            </w:tcBorders>
            <w:noWrap/>
            <w:textDirection w:val="lrTb"/>
            <w:vAlign w:val="center"/>
            <w:hideMark/>
          </w:tcPr>
          <w:p w:rsidR="00F17675" w:rsidRPr="00D50D44" w:rsidP="00D303EF">
            <w:pPr>
              <w:keepNext/>
              <w:bidi w:val="0"/>
              <w:jc w:val="center"/>
              <w:rPr>
                <w:rFonts w:ascii="Times New Roman" w:hAnsi="Times New Roman" w:cs="Times New Roman"/>
              </w:rPr>
            </w:pPr>
            <w:r w:rsidRPr="00D50D44">
              <w:rPr>
                <w:rFonts w:ascii="Times New Roman" w:hAnsi="Times New Roman" w:cs="Times New Roman"/>
              </w:rPr>
              <w:t>2 069 129 395</w:t>
            </w:r>
          </w:p>
        </w:tc>
      </w:tr>
      <w:tr>
        <w:tblPrEx>
          <w:tblW w:w="10031" w:type="dxa"/>
          <w:tblInd w:w="-72" w:type="dxa"/>
          <w:tblCellMar>
            <w:left w:w="70" w:type="dxa"/>
            <w:right w:w="70" w:type="dxa"/>
          </w:tblCellMar>
          <w:tblLook w:val="04A0"/>
        </w:tblPrEx>
        <w:trPr>
          <w:trHeight w:val="339"/>
        </w:trPr>
        <w:tc>
          <w:tcPr>
            <w:tcW w:w="2561" w:type="dxa"/>
            <w:tcBorders>
              <w:top w:val="nil"/>
              <w:left w:val="single" w:sz="8" w:space="0" w:color="auto"/>
              <w:bottom w:val="single" w:sz="8" w:space="0" w:color="auto"/>
              <w:right w:val="nil"/>
            </w:tcBorders>
            <w:noWrap/>
            <w:textDirection w:val="lrTb"/>
            <w:vAlign w:val="center"/>
          </w:tcPr>
          <w:p w:rsidR="00F17675" w:rsidRPr="00D50D44" w:rsidP="00D303EF">
            <w:pPr>
              <w:bidi w:val="0"/>
              <w:rPr>
                <w:rFonts w:ascii="Times New Roman" w:hAnsi="Times New Roman" w:cs="Times New Roman"/>
              </w:rPr>
            </w:pPr>
            <w:r w:rsidRPr="00D50D44">
              <w:rPr>
                <w:rFonts w:ascii="Times New Roman" w:hAnsi="Times New Roman" w:cs="Times New Roman"/>
              </w:rPr>
              <w:t xml:space="preserve">OP Životné prostredie </w:t>
            </w:r>
          </w:p>
        </w:tc>
        <w:tc>
          <w:tcPr>
            <w:tcW w:w="720" w:type="dxa"/>
            <w:tcBorders>
              <w:top w:val="nil"/>
              <w:left w:val="single" w:sz="8" w:space="0" w:color="auto"/>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58</w:t>
            </w:r>
          </w:p>
        </w:tc>
        <w:tc>
          <w:tcPr>
            <w:tcW w:w="1868"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2 527 036 624</w:t>
            </w:r>
          </w:p>
        </w:tc>
        <w:tc>
          <w:tcPr>
            <w:tcW w:w="700"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rPr>
            </w:pPr>
            <w:r w:rsidRPr="00D50D44">
              <w:rPr>
                <w:rFonts w:ascii="Times New Roman" w:hAnsi="Times New Roman" w:cs="Times New Roman"/>
              </w:rPr>
              <w:t>10</w:t>
            </w:r>
          </w:p>
        </w:tc>
        <w:tc>
          <w:tcPr>
            <w:tcW w:w="1688"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rPr>
            </w:pPr>
            <w:r w:rsidRPr="00D50D44">
              <w:rPr>
                <w:rFonts w:ascii="Times New Roman" w:hAnsi="Times New Roman" w:cs="Times New Roman"/>
              </w:rPr>
              <w:t>268 621 140</w:t>
            </w:r>
          </w:p>
        </w:tc>
        <w:tc>
          <w:tcPr>
            <w:tcW w:w="754"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rPr>
            </w:pPr>
            <w:r w:rsidRPr="00D50D44">
              <w:rPr>
                <w:rFonts w:ascii="Times New Roman" w:hAnsi="Times New Roman" w:cs="Times New Roman"/>
              </w:rPr>
              <w:t>68</w:t>
            </w:r>
          </w:p>
        </w:tc>
        <w:tc>
          <w:tcPr>
            <w:tcW w:w="1740"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rPr>
            </w:pPr>
            <w:r w:rsidRPr="00D50D44">
              <w:rPr>
                <w:rFonts w:ascii="Times New Roman" w:hAnsi="Times New Roman" w:cs="Times New Roman"/>
              </w:rPr>
              <w:t>2 795 657 764</w:t>
            </w:r>
          </w:p>
        </w:tc>
      </w:tr>
      <w:tr>
        <w:tblPrEx>
          <w:tblW w:w="10031" w:type="dxa"/>
          <w:tblInd w:w="-72" w:type="dxa"/>
          <w:tblCellMar>
            <w:left w:w="70" w:type="dxa"/>
            <w:right w:w="70" w:type="dxa"/>
          </w:tblCellMar>
          <w:tblLook w:val="04A0"/>
        </w:tblPrEx>
        <w:trPr>
          <w:trHeight w:val="339"/>
        </w:trPr>
        <w:tc>
          <w:tcPr>
            <w:tcW w:w="2561" w:type="dxa"/>
            <w:tcBorders>
              <w:top w:val="nil"/>
              <w:left w:val="single" w:sz="8" w:space="0" w:color="auto"/>
              <w:bottom w:val="single" w:sz="8" w:space="0" w:color="auto"/>
              <w:right w:val="nil"/>
            </w:tcBorders>
            <w:noWrap/>
            <w:textDirection w:val="lrTb"/>
            <w:vAlign w:val="center"/>
            <w:hideMark/>
          </w:tcPr>
          <w:p w:rsidR="00F17675" w:rsidRPr="00D50D44" w:rsidP="00D303EF">
            <w:pPr>
              <w:bidi w:val="0"/>
              <w:rPr>
                <w:rFonts w:ascii="Times New Roman" w:hAnsi="Times New Roman" w:cs="Times New Roman"/>
              </w:rPr>
            </w:pPr>
            <w:r w:rsidRPr="00D50D44">
              <w:rPr>
                <w:rFonts w:ascii="Times New Roman" w:hAnsi="Times New Roman" w:cs="Times New Roman"/>
              </w:rPr>
              <w:t>Regionálny OP</w:t>
            </w:r>
          </w:p>
        </w:tc>
        <w:tc>
          <w:tcPr>
            <w:tcW w:w="720" w:type="dxa"/>
            <w:tcBorders>
              <w:top w:val="nil"/>
              <w:left w:val="single" w:sz="8" w:space="0" w:color="auto"/>
              <w:bottom w:val="single" w:sz="8" w:space="0" w:color="auto"/>
              <w:right w:val="single" w:sz="8" w:space="0" w:color="auto"/>
            </w:tcBorders>
            <w:noWrap/>
            <w:textDirection w:val="lrTb"/>
            <w:vAlign w:val="center"/>
            <w:hideMark/>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43</w:t>
            </w:r>
          </w:p>
        </w:tc>
        <w:tc>
          <w:tcPr>
            <w:tcW w:w="1868" w:type="dxa"/>
            <w:tcBorders>
              <w:top w:val="nil"/>
              <w:left w:val="nil"/>
              <w:bottom w:val="single" w:sz="8" w:space="0" w:color="auto"/>
              <w:right w:val="single" w:sz="8" w:space="0" w:color="auto"/>
            </w:tcBorders>
            <w:noWrap/>
            <w:textDirection w:val="lrTb"/>
            <w:vAlign w:val="center"/>
            <w:hideMark/>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2 148 871 279</w:t>
            </w:r>
          </w:p>
        </w:tc>
        <w:tc>
          <w:tcPr>
            <w:tcW w:w="700" w:type="dxa"/>
            <w:tcBorders>
              <w:top w:val="nil"/>
              <w:left w:val="nil"/>
              <w:bottom w:val="single" w:sz="8" w:space="0" w:color="auto"/>
              <w:right w:val="single" w:sz="8" w:space="0" w:color="auto"/>
            </w:tcBorders>
            <w:noWrap/>
            <w:textDirection w:val="lrTb"/>
            <w:vAlign w:val="center"/>
            <w:hideMark/>
          </w:tcPr>
          <w:p w:rsidR="00F17675" w:rsidRPr="00D50D44" w:rsidP="00D303EF">
            <w:pPr>
              <w:bidi w:val="0"/>
              <w:jc w:val="center"/>
              <w:rPr>
                <w:rFonts w:ascii="Times New Roman" w:hAnsi="Times New Roman" w:cs="Times New Roman"/>
              </w:rPr>
            </w:pPr>
            <w:r w:rsidRPr="00D50D44">
              <w:rPr>
                <w:rFonts w:ascii="Times New Roman" w:hAnsi="Times New Roman" w:cs="Times New Roman"/>
              </w:rPr>
              <w:t>2</w:t>
            </w:r>
          </w:p>
        </w:tc>
        <w:tc>
          <w:tcPr>
            <w:tcW w:w="1688" w:type="dxa"/>
            <w:tcBorders>
              <w:top w:val="nil"/>
              <w:left w:val="nil"/>
              <w:bottom w:val="single" w:sz="8" w:space="0" w:color="auto"/>
              <w:right w:val="single" w:sz="8" w:space="0" w:color="auto"/>
            </w:tcBorders>
            <w:noWrap/>
            <w:textDirection w:val="lrTb"/>
            <w:vAlign w:val="center"/>
            <w:hideMark/>
          </w:tcPr>
          <w:p w:rsidR="00F17675" w:rsidRPr="00D50D44" w:rsidP="00D303EF">
            <w:pPr>
              <w:bidi w:val="0"/>
              <w:jc w:val="center"/>
              <w:rPr>
                <w:rFonts w:ascii="Times New Roman" w:hAnsi="Times New Roman" w:cs="Times New Roman"/>
              </w:rPr>
            </w:pPr>
            <w:r w:rsidRPr="00D50D44">
              <w:rPr>
                <w:rFonts w:ascii="Times New Roman" w:hAnsi="Times New Roman" w:cs="Times New Roman"/>
              </w:rPr>
              <w:t>90 882 353</w:t>
            </w:r>
          </w:p>
        </w:tc>
        <w:tc>
          <w:tcPr>
            <w:tcW w:w="754" w:type="dxa"/>
            <w:tcBorders>
              <w:top w:val="nil"/>
              <w:left w:val="nil"/>
              <w:bottom w:val="single" w:sz="8" w:space="0" w:color="auto"/>
              <w:right w:val="single" w:sz="8" w:space="0" w:color="auto"/>
            </w:tcBorders>
            <w:noWrap/>
            <w:textDirection w:val="lrTb"/>
            <w:vAlign w:val="center"/>
            <w:hideMark/>
          </w:tcPr>
          <w:p w:rsidR="00F17675" w:rsidRPr="00D50D44" w:rsidP="00D303EF">
            <w:pPr>
              <w:bidi w:val="0"/>
              <w:jc w:val="center"/>
              <w:rPr>
                <w:rFonts w:ascii="Times New Roman" w:hAnsi="Times New Roman" w:cs="Times New Roman"/>
              </w:rPr>
            </w:pPr>
            <w:r w:rsidRPr="00D50D44">
              <w:rPr>
                <w:rFonts w:ascii="Times New Roman" w:hAnsi="Times New Roman" w:cs="Times New Roman"/>
              </w:rPr>
              <w:t>45</w:t>
            </w:r>
          </w:p>
        </w:tc>
        <w:tc>
          <w:tcPr>
            <w:tcW w:w="1740" w:type="dxa"/>
            <w:tcBorders>
              <w:top w:val="nil"/>
              <w:left w:val="nil"/>
              <w:bottom w:val="single" w:sz="8" w:space="0" w:color="auto"/>
              <w:right w:val="single" w:sz="8" w:space="0" w:color="auto"/>
            </w:tcBorders>
            <w:noWrap/>
            <w:textDirection w:val="lrTb"/>
            <w:vAlign w:val="center"/>
            <w:hideMark/>
          </w:tcPr>
          <w:p w:rsidR="00F17675" w:rsidRPr="00D50D44" w:rsidP="00D303EF">
            <w:pPr>
              <w:bidi w:val="0"/>
              <w:jc w:val="center"/>
              <w:rPr>
                <w:rFonts w:ascii="Times New Roman" w:hAnsi="Times New Roman" w:cs="Times New Roman"/>
              </w:rPr>
            </w:pPr>
            <w:r w:rsidRPr="00D50D44">
              <w:rPr>
                <w:rFonts w:ascii="Times New Roman" w:hAnsi="Times New Roman" w:cs="Times New Roman"/>
              </w:rPr>
              <w:t>2 239 753 632</w:t>
            </w:r>
          </w:p>
        </w:tc>
      </w:tr>
      <w:tr>
        <w:tblPrEx>
          <w:tblW w:w="10031" w:type="dxa"/>
          <w:tblInd w:w="-72" w:type="dxa"/>
          <w:tblCellMar>
            <w:left w:w="70" w:type="dxa"/>
            <w:right w:w="70" w:type="dxa"/>
          </w:tblCellMar>
          <w:tblLook w:val="04A0"/>
        </w:tblPrEx>
        <w:trPr>
          <w:trHeight w:val="339"/>
        </w:trPr>
        <w:tc>
          <w:tcPr>
            <w:tcW w:w="2561" w:type="dxa"/>
            <w:tcBorders>
              <w:top w:val="nil"/>
              <w:left w:val="single" w:sz="8" w:space="0" w:color="auto"/>
              <w:bottom w:val="single" w:sz="8" w:space="0" w:color="auto"/>
              <w:right w:val="nil"/>
            </w:tcBorders>
            <w:noWrap/>
            <w:textDirection w:val="lrTb"/>
            <w:vAlign w:val="center"/>
          </w:tcPr>
          <w:p w:rsidR="00F17675" w:rsidRPr="00D50D44" w:rsidP="00D303EF">
            <w:pPr>
              <w:bidi w:val="0"/>
              <w:rPr>
                <w:rFonts w:ascii="Times New Roman" w:hAnsi="Times New Roman" w:cs="Times New Roman"/>
              </w:rPr>
            </w:pPr>
            <w:r w:rsidRPr="00D50D44">
              <w:rPr>
                <w:rFonts w:ascii="Times New Roman" w:hAnsi="Times New Roman" w:cs="Times New Roman"/>
              </w:rPr>
              <w:t xml:space="preserve">OP Zdravotníctvo </w:t>
            </w:r>
          </w:p>
        </w:tc>
        <w:tc>
          <w:tcPr>
            <w:tcW w:w="720" w:type="dxa"/>
            <w:tcBorders>
              <w:top w:val="nil"/>
              <w:left w:val="single" w:sz="8" w:space="0" w:color="auto"/>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17</w:t>
            </w:r>
          </w:p>
        </w:tc>
        <w:tc>
          <w:tcPr>
            <w:tcW w:w="1868"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336 041 807</w:t>
            </w:r>
          </w:p>
        </w:tc>
        <w:tc>
          <w:tcPr>
            <w:tcW w:w="700"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rPr>
            </w:pPr>
            <w:r w:rsidRPr="00D50D44">
              <w:rPr>
                <w:rFonts w:ascii="Times New Roman" w:hAnsi="Times New Roman" w:cs="Times New Roman"/>
              </w:rPr>
              <w:t>0</w:t>
            </w:r>
          </w:p>
        </w:tc>
        <w:tc>
          <w:tcPr>
            <w:tcW w:w="1688"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rPr>
            </w:pPr>
            <w:r w:rsidRPr="00D50D44">
              <w:rPr>
                <w:rFonts w:ascii="Times New Roman" w:hAnsi="Times New Roman" w:cs="Times New Roman"/>
              </w:rPr>
              <w:t>0</w:t>
            </w:r>
          </w:p>
        </w:tc>
        <w:tc>
          <w:tcPr>
            <w:tcW w:w="754"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rPr>
            </w:pPr>
            <w:r w:rsidRPr="00D50D44">
              <w:rPr>
                <w:rFonts w:ascii="Times New Roman" w:hAnsi="Times New Roman" w:cs="Times New Roman"/>
              </w:rPr>
              <w:t>17</w:t>
            </w:r>
          </w:p>
        </w:tc>
        <w:tc>
          <w:tcPr>
            <w:tcW w:w="1740"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rPr>
            </w:pPr>
            <w:r w:rsidRPr="00D50D44">
              <w:rPr>
                <w:rFonts w:ascii="Times New Roman" w:hAnsi="Times New Roman" w:cs="Times New Roman"/>
              </w:rPr>
              <w:t>336 041 807</w:t>
            </w:r>
          </w:p>
        </w:tc>
      </w:tr>
      <w:tr>
        <w:tblPrEx>
          <w:tblW w:w="10031" w:type="dxa"/>
          <w:tblInd w:w="-72" w:type="dxa"/>
          <w:tblCellMar>
            <w:left w:w="70" w:type="dxa"/>
            <w:right w:w="70" w:type="dxa"/>
          </w:tblCellMar>
          <w:tblLook w:val="04A0"/>
        </w:tblPrEx>
        <w:trPr>
          <w:trHeight w:val="426"/>
        </w:trPr>
        <w:tc>
          <w:tcPr>
            <w:tcW w:w="2561" w:type="dxa"/>
            <w:tcBorders>
              <w:top w:val="nil"/>
              <w:left w:val="single" w:sz="8" w:space="0" w:color="auto"/>
              <w:bottom w:val="single" w:sz="8" w:space="0" w:color="auto"/>
              <w:right w:val="nil"/>
            </w:tcBorders>
            <w:textDirection w:val="lrTb"/>
            <w:vAlign w:val="center"/>
            <w:hideMark/>
          </w:tcPr>
          <w:p w:rsidR="00F17675" w:rsidRPr="00D50D44" w:rsidP="00D303EF">
            <w:pPr>
              <w:bidi w:val="0"/>
              <w:rPr>
                <w:rFonts w:ascii="Times New Roman" w:hAnsi="Times New Roman" w:cs="Times New Roman"/>
              </w:rPr>
            </w:pPr>
            <w:r w:rsidRPr="00D50D44">
              <w:rPr>
                <w:rFonts w:ascii="Times New Roman" w:hAnsi="Times New Roman" w:cs="Times New Roman"/>
              </w:rPr>
              <w:t xml:space="preserve">OP Konkurencieschopnosť a hospodársky rast </w:t>
            </w:r>
          </w:p>
        </w:tc>
        <w:tc>
          <w:tcPr>
            <w:tcW w:w="720" w:type="dxa"/>
            <w:tcBorders>
              <w:top w:val="nil"/>
              <w:left w:val="single" w:sz="8" w:space="0" w:color="auto"/>
              <w:bottom w:val="single" w:sz="8" w:space="0" w:color="auto"/>
              <w:right w:val="single" w:sz="8" w:space="0" w:color="auto"/>
            </w:tcBorders>
            <w:noWrap/>
            <w:textDirection w:val="lrTb"/>
            <w:vAlign w:val="center"/>
            <w:hideMark/>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43</w:t>
            </w:r>
          </w:p>
        </w:tc>
        <w:tc>
          <w:tcPr>
            <w:tcW w:w="1868" w:type="dxa"/>
            <w:tcBorders>
              <w:top w:val="nil"/>
              <w:left w:val="nil"/>
              <w:bottom w:val="single" w:sz="8" w:space="0" w:color="auto"/>
              <w:right w:val="single" w:sz="8" w:space="0" w:color="auto"/>
            </w:tcBorders>
            <w:noWrap/>
            <w:textDirection w:val="lrTb"/>
            <w:vAlign w:val="center"/>
            <w:hideMark/>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1 527 269 339</w:t>
            </w:r>
          </w:p>
        </w:tc>
        <w:tc>
          <w:tcPr>
            <w:tcW w:w="700" w:type="dxa"/>
            <w:tcBorders>
              <w:top w:val="nil"/>
              <w:left w:val="nil"/>
              <w:bottom w:val="single" w:sz="8" w:space="0" w:color="auto"/>
              <w:right w:val="single" w:sz="8" w:space="0" w:color="auto"/>
            </w:tcBorders>
            <w:noWrap/>
            <w:textDirection w:val="lrTb"/>
            <w:vAlign w:val="center"/>
            <w:hideMark/>
          </w:tcPr>
          <w:p w:rsidR="00F17675" w:rsidRPr="00D50D44" w:rsidP="00D303EF">
            <w:pPr>
              <w:bidi w:val="0"/>
              <w:jc w:val="center"/>
              <w:rPr>
                <w:rFonts w:ascii="Times New Roman" w:hAnsi="Times New Roman" w:cs="Times New Roman"/>
              </w:rPr>
            </w:pPr>
            <w:r w:rsidRPr="00D50D44">
              <w:rPr>
                <w:rFonts w:ascii="Times New Roman" w:hAnsi="Times New Roman" w:cs="Times New Roman"/>
              </w:rPr>
              <w:t>7</w:t>
            </w:r>
          </w:p>
        </w:tc>
        <w:tc>
          <w:tcPr>
            <w:tcW w:w="1688" w:type="dxa"/>
            <w:tcBorders>
              <w:top w:val="nil"/>
              <w:left w:val="nil"/>
              <w:bottom w:val="single" w:sz="8" w:space="0" w:color="auto"/>
              <w:right w:val="single" w:sz="8" w:space="0" w:color="auto"/>
            </w:tcBorders>
            <w:noWrap/>
            <w:textDirection w:val="lrTb"/>
            <w:vAlign w:val="center"/>
            <w:hideMark/>
          </w:tcPr>
          <w:p w:rsidR="00F17675" w:rsidRPr="00D50D44" w:rsidP="00D303EF">
            <w:pPr>
              <w:bidi w:val="0"/>
              <w:jc w:val="center"/>
              <w:rPr>
                <w:rFonts w:ascii="Times New Roman" w:hAnsi="Times New Roman" w:cs="Times New Roman"/>
              </w:rPr>
            </w:pPr>
            <w:r w:rsidRPr="00D50D44">
              <w:rPr>
                <w:rFonts w:ascii="Times New Roman" w:hAnsi="Times New Roman" w:cs="Times New Roman"/>
              </w:rPr>
              <w:t>234 523 878</w:t>
            </w:r>
          </w:p>
        </w:tc>
        <w:tc>
          <w:tcPr>
            <w:tcW w:w="754" w:type="dxa"/>
            <w:tcBorders>
              <w:top w:val="nil"/>
              <w:left w:val="nil"/>
              <w:bottom w:val="single" w:sz="8" w:space="0" w:color="auto"/>
              <w:right w:val="single" w:sz="8" w:space="0" w:color="auto"/>
            </w:tcBorders>
            <w:noWrap/>
            <w:textDirection w:val="lrTb"/>
            <w:vAlign w:val="center"/>
            <w:hideMark/>
          </w:tcPr>
          <w:p w:rsidR="00F17675" w:rsidRPr="00D50D44" w:rsidP="00D303EF">
            <w:pPr>
              <w:bidi w:val="0"/>
              <w:jc w:val="center"/>
              <w:rPr>
                <w:rFonts w:ascii="Times New Roman" w:hAnsi="Times New Roman" w:cs="Times New Roman"/>
              </w:rPr>
            </w:pPr>
            <w:r w:rsidRPr="00D50D44">
              <w:rPr>
                <w:rFonts w:ascii="Times New Roman" w:hAnsi="Times New Roman" w:cs="Times New Roman"/>
              </w:rPr>
              <w:t>50</w:t>
            </w:r>
          </w:p>
        </w:tc>
        <w:tc>
          <w:tcPr>
            <w:tcW w:w="1740" w:type="dxa"/>
            <w:tcBorders>
              <w:top w:val="nil"/>
              <w:left w:val="nil"/>
              <w:bottom w:val="single" w:sz="8" w:space="0" w:color="auto"/>
              <w:right w:val="single" w:sz="8" w:space="0" w:color="auto"/>
            </w:tcBorders>
            <w:noWrap/>
            <w:textDirection w:val="lrTb"/>
            <w:vAlign w:val="center"/>
            <w:hideMark/>
          </w:tcPr>
          <w:p w:rsidR="00F17675" w:rsidRPr="00D50D44" w:rsidP="00D303EF">
            <w:pPr>
              <w:bidi w:val="0"/>
              <w:jc w:val="center"/>
              <w:rPr>
                <w:rFonts w:ascii="Times New Roman" w:hAnsi="Times New Roman" w:cs="Times New Roman"/>
              </w:rPr>
            </w:pPr>
            <w:r w:rsidRPr="00D50D44">
              <w:rPr>
                <w:rFonts w:ascii="Times New Roman" w:hAnsi="Times New Roman" w:cs="Times New Roman"/>
              </w:rPr>
              <w:t>1 761 793 217</w:t>
            </w:r>
          </w:p>
        </w:tc>
      </w:tr>
      <w:tr>
        <w:tblPrEx>
          <w:tblW w:w="10031" w:type="dxa"/>
          <w:tblInd w:w="-72" w:type="dxa"/>
          <w:tblCellMar>
            <w:left w:w="70" w:type="dxa"/>
            <w:right w:w="70" w:type="dxa"/>
          </w:tblCellMar>
          <w:tblLook w:val="04A0"/>
        </w:tblPrEx>
        <w:trPr>
          <w:trHeight w:val="339"/>
        </w:trPr>
        <w:tc>
          <w:tcPr>
            <w:tcW w:w="2561" w:type="dxa"/>
            <w:tcBorders>
              <w:top w:val="nil"/>
              <w:left w:val="single" w:sz="8" w:space="0" w:color="auto"/>
              <w:bottom w:val="single" w:sz="8" w:space="0" w:color="auto"/>
              <w:right w:val="nil"/>
            </w:tcBorders>
            <w:noWrap/>
            <w:textDirection w:val="lrTb"/>
            <w:vAlign w:val="center"/>
          </w:tcPr>
          <w:p w:rsidR="00F17675" w:rsidRPr="00D50D44" w:rsidP="00D303EF">
            <w:pPr>
              <w:bidi w:val="0"/>
              <w:rPr>
                <w:rFonts w:ascii="Times New Roman" w:hAnsi="Times New Roman" w:cs="Times New Roman"/>
              </w:rPr>
            </w:pPr>
            <w:r w:rsidRPr="00D50D44">
              <w:rPr>
                <w:rFonts w:ascii="Times New Roman" w:hAnsi="Times New Roman" w:cs="Times New Roman"/>
              </w:rPr>
              <w:t xml:space="preserve">OP Bratislavský kraj </w:t>
            </w:r>
          </w:p>
        </w:tc>
        <w:tc>
          <w:tcPr>
            <w:tcW w:w="720" w:type="dxa"/>
            <w:tcBorders>
              <w:top w:val="nil"/>
              <w:left w:val="single" w:sz="8" w:space="0" w:color="auto"/>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24</w:t>
            </w:r>
          </w:p>
        </w:tc>
        <w:tc>
          <w:tcPr>
            <w:tcW w:w="1868"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219 937 375</w:t>
            </w:r>
          </w:p>
        </w:tc>
        <w:tc>
          <w:tcPr>
            <w:tcW w:w="700"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rPr>
            </w:pPr>
            <w:r w:rsidRPr="00D50D44">
              <w:rPr>
                <w:rFonts w:ascii="Times New Roman" w:hAnsi="Times New Roman" w:cs="Times New Roman"/>
              </w:rPr>
              <w:t>2</w:t>
            </w:r>
          </w:p>
        </w:tc>
        <w:tc>
          <w:tcPr>
            <w:tcW w:w="1688"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rPr>
            </w:pPr>
            <w:r w:rsidRPr="00D50D44">
              <w:rPr>
                <w:rFonts w:ascii="Times New Roman" w:hAnsi="Times New Roman" w:cs="Times New Roman"/>
              </w:rPr>
              <w:t>30 901 600</w:t>
            </w:r>
          </w:p>
        </w:tc>
        <w:tc>
          <w:tcPr>
            <w:tcW w:w="754"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rPr>
            </w:pPr>
            <w:r w:rsidRPr="00D50D44">
              <w:rPr>
                <w:rFonts w:ascii="Times New Roman" w:hAnsi="Times New Roman" w:cs="Times New Roman"/>
              </w:rPr>
              <w:t>26</w:t>
            </w:r>
          </w:p>
        </w:tc>
        <w:tc>
          <w:tcPr>
            <w:tcW w:w="1740" w:type="dxa"/>
            <w:tcBorders>
              <w:top w:val="nil"/>
              <w:left w:val="nil"/>
              <w:bottom w:val="single" w:sz="8" w:space="0" w:color="auto"/>
              <w:right w:val="single" w:sz="8" w:space="0" w:color="auto"/>
            </w:tcBorders>
            <w:noWrap/>
            <w:textDirection w:val="lrTb"/>
            <w:vAlign w:val="center"/>
          </w:tcPr>
          <w:p w:rsidR="00F17675" w:rsidRPr="00D50D44" w:rsidP="00D303EF">
            <w:pPr>
              <w:bidi w:val="0"/>
              <w:jc w:val="center"/>
              <w:rPr>
                <w:rFonts w:ascii="Times New Roman" w:hAnsi="Times New Roman" w:cs="Times New Roman"/>
              </w:rPr>
            </w:pPr>
            <w:r w:rsidRPr="00D50D44">
              <w:rPr>
                <w:rFonts w:ascii="Times New Roman" w:hAnsi="Times New Roman" w:cs="Times New Roman"/>
              </w:rPr>
              <w:t>250 838 975</w:t>
            </w:r>
          </w:p>
        </w:tc>
      </w:tr>
      <w:tr>
        <w:tblPrEx>
          <w:tblW w:w="10031" w:type="dxa"/>
          <w:tblInd w:w="-72" w:type="dxa"/>
          <w:tblCellMar>
            <w:left w:w="70" w:type="dxa"/>
            <w:right w:w="70" w:type="dxa"/>
          </w:tblCellMar>
          <w:tblLook w:val="04A0"/>
        </w:tblPrEx>
        <w:trPr>
          <w:trHeight w:val="339"/>
        </w:trPr>
        <w:tc>
          <w:tcPr>
            <w:tcW w:w="2561" w:type="dxa"/>
            <w:tcBorders>
              <w:top w:val="nil"/>
              <w:left w:val="single" w:sz="8" w:space="0" w:color="auto"/>
              <w:bottom w:val="single" w:sz="8" w:space="0" w:color="auto"/>
              <w:right w:val="nil"/>
            </w:tcBorders>
            <w:noWrap/>
            <w:textDirection w:val="lrTb"/>
            <w:vAlign w:val="center"/>
            <w:hideMark/>
          </w:tcPr>
          <w:p w:rsidR="00F17675" w:rsidRPr="00D50D44" w:rsidP="00D303EF">
            <w:pPr>
              <w:bidi w:val="0"/>
              <w:rPr>
                <w:rFonts w:ascii="Times New Roman" w:hAnsi="Times New Roman" w:cs="Times New Roman"/>
              </w:rPr>
            </w:pPr>
            <w:r w:rsidRPr="00D50D44">
              <w:rPr>
                <w:rFonts w:ascii="Times New Roman" w:hAnsi="Times New Roman" w:cs="Times New Roman"/>
              </w:rPr>
              <w:t xml:space="preserve">OP Výskum a vývoj </w:t>
            </w:r>
          </w:p>
        </w:tc>
        <w:tc>
          <w:tcPr>
            <w:tcW w:w="720" w:type="dxa"/>
            <w:tcBorders>
              <w:top w:val="nil"/>
              <w:left w:val="single" w:sz="8" w:space="0" w:color="auto"/>
              <w:bottom w:val="single" w:sz="8" w:space="0" w:color="auto"/>
              <w:right w:val="single" w:sz="8" w:space="0" w:color="auto"/>
            </w:tcBorders>
            <w:noWrap/>
            <w:textDirection w:val="lrTb"/>
            <w:vAlign w:val="center"/>
            <w:hideMark/>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53</w:t>
            </w:r>
          </w:p>
        </w:tc>
        <w:tc>
          <w:tcPr>
            <w:tcW w:w="1868" w:type="dxa"/>
            <w:tcBorders>
              <w:top w:val="nil"/>
              <w:left w:val="nil"/>
              <w:bottom w:val="single" w:sz="8" w:space="0" w:color="auto"/>
              <w:right w:val="single" w:sz="8" w:space="0" w:color="auto"/>
            </w:tcBorders>
            <w:noWrap/>
            <w:textDirection w:val="lrTb"/>
            <w:vAlign w:val="center"/>
            <w:hideMark/>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1 815 367 466</w:t>
            </w:r>
          </w:p>
        </w:tc>
        <w:tc>
          <w:tcPr>
            <w:tcW w:w="700" w:type="dxa"/>
            <w:tcBorders>
              <w:top w:val="nil"/>
              <w:left w:val="nil"/>
              <w:bottom w:val="single" w:sz="8" w:space="0" w:color="auto"/>
              <w:right w:val="single" w:sz="8" w:space="0" w:color="auto"/>
            </w:tcBorders>
            <w:noWrap/>
            <w:textDirection w:val="lrTb"/>
            <w:vAlign w:val="center"/>
            <w:hideMark/>
          </w:tcPr>
          <w:p w:rsidR="00F17675" w:rsidRPr="00D50D44" w:rsidP="00D303EF">
            <w:pPr>
              <w:bidi w:val="0"/>
              <w:jc w:val="center"/>
              <w:rPr>
                <w:rFonts w:ascii="Times New Roman" w:hAnsi="Times New Roman" w:cs="Times New Roman"/>
              </w:rPr>
            </w:pPr>
            <w:r w:rsidRPr="00D50D44">
              <w:rPr>
                <w:rFonts w:ascii="Times New Roman" w:hAnsi="Times New Roman" w:cs="Times New Roman"/>
              </w:rPr>
              <w:t>0</w:t>
            </w:r>
          </w:p>
        </w:tc>
        <w:tc>
          <w:tcPr>
            <w:tcW w:w="1688" w:type="dxa"/>
            <w:tcBorders>
              <w:top w:val="nil"/>
              <w:left w:val="nil"/>
              <w:bottom w:val="single" w:sz="8" w:space="0" w:color="auto"/>
              <w:right w:val="single" w:sz="8" w:space="0" w:color="auto"/>
            </w:tcBorders>
            <w:noWrap/>
            <w:textDirection w:val="lrTb"/>
            <w:vAlign w:val="center"/>
            <w:hideMark/>
          </w:tcPr>
          <w:p w:rsidR="00F17675" w:rsidRPr="00D50D44" w:rsidP="00D303EF">
            <w:pPr>
              <w:bidi w:val="0"/>
              <w:jc w:val="center"/>
              <w:rPr>
                <w:rFonts w:ascii="Times New Roman" w:hAnsi="Times New Roman" w:cs="Times New Roman"/>
              </w:rPr>
            </w:pPr>
            <w:r w:rsidRPr="00D50D44">
              <w:rPr>
                <w:rFonts w:ascii="Times New Roman" w:hAnsi="Times New Roman" w:cs="Times New Roman"/>
              </w:rPr>
              <w:t>0</w:t>
            </w:r>
          </w:p>
        </w:tc>
        <w:tc>
          <w:tcPr>
            <w:tcW w:w="754" w:type="dxa"/>
            <w:tcBorders>
              <w:top w:val="nil"/>
              <w:left w:val="nil"/>
              <w:bottom w:val="nil"/>
              <w:right w:val="nil"/>
            </w:tcBorders>
            <w:noWrap/>
            <w:textDirection w:val="lrTb"/>
            <w:vAlign w:val="center"/>
            <w:hideMark/>
          </w:tcPr>
          <w:p w:rsidR="00F17675" w:rsidRPr="00D50D44" w:rsidP="00D303EF">
            <w:pPr>
              <w:bidi w:val="0"/>
              <w:jc w:val="center"/>
              <w:rPr>
                <w:rFonts w:ascii="Times New Roman" w:hAnsi="Times New Roman" w:cs="Times New Roman"/>
              </w:rPr>
            </w:pPr>
            <w:r w:rsidRPr="00D50D44">
              <w:rPr>
                <w:rFonts w:ascii="Times New Roman" w:hAnsi="Times New Roman" w:cs="Times New Roman"/>
              </w:rPr>
              <w:t>53</w:t>
            </w:r>
          </w:p>
        </w:tc>
        <w:tc>
          <w:tcPr>
            <w:tcW w:w="1740" w:type="dxa"/>
            <w:tcBorders>
              <w:top w:val="nil"/>
              <w:left w:val="single" w:sz="8" w:space="0" w:color="auto"/>
              <w:bottom w:val="single" w:sz="8" w:space="0" w:color="auto"/>
              <w:right w:val="single" w:sz="8" w:space="0" w:color="auto"/>
            </w:tcBorders>
            <w:noWrap/>
            <w:textDirection w:val="lrTb"/>
            <w:vAlign w:val="center"/>
            <w:hideMark/>
          </w:tcPr>
          <w:p w:rsidR="00F17675" w:rsidRPr="00D50D44" w:rsidP="00D303EF">
            <w:pPr>
              <w:bidi w:val="0"/>
              <w:jc w:val="center"/>
              <w:rPr>
                <w:rFonts w:ascii="Times New Roman" w:hAnsi="Times New Roman" w:cs="Times New Roman"/>
              </w:rPr>
            </w:pPr>
            <w:r w:rsidRPr="00D50D44">
              <w:rPr>
                <w:rFonts w:ascii="Times New Roman" w:hAnsi="Times New Roman" w:cs="Times New Roman"/>
              </w:rPr>
              <w:t>1 815 367 466</w:t>
            </w:r>
          </w:p>
        </w:tc>
      </w:tr>
      <w:tr>
        <w:tblPrEx>
          <w:tblW w:w="10031" w:type="dxa"/>
          <w:tblInd w:w="-72" w:type="dxa"/>
          <w:tblCellMar>
            <w:left w:w="70" w:type="dxa"/>
            <w:right w:w="70" w:type="dxa"/>
          </w:tblCellMar>
          <w:tblLook w:val="04A0"/>
        </w:tblPrEx>
        <w:trPr>
          <w:trHeight w:val="206"/>
        </w:trPr>
        <w:tc>
          <w:tcPr>
            <w:tcW w:w="2561" w:type="dxa"/>
            <w:tcBorders>
              <w:top w:val="single" w:sz="8" w:space="0" w:color="auto"/>
              <w:left w:val="single" w:sz="8" w:space="0" w:color="auto"/>
              <w:bottom w:val="single" w:sz="8" w:space="0" w:color="auto"/>
              <w:right w:val="single" w:sz="8" w:space="0" w:color="auto"/>
            </w:tcBorders>
            <w:shd w:val="clear" w:color="000000" w:fill="D9D9D9"/>
            <w:noWrap/>
            <w:textDirection w:val="lrTb"/>
            <w:vAlign w:val="center"/>
            <w:hideMark/>
          </w:tcPr>
          <w:p w:rsidR="00F17675" w:rsidRPr="00D50D44" w:rsidP="00D303EF">
            <w:pPr>
              <w:bidi w:val="0"/>
              <w:rPr>
                <w:rFonts w:ascii="Times New Roman" w:hAnsi="Times New Roman" w:cs="Times New Roman"/>
                <w:b/>
                <w:bCs/>
              </w:rPr>
            </w:pPr>
            <w:r w:rsidRPr="00D50D44">
              <w:rPr>
                <w:rFonts w:ascii="Times New Roman" w:hAnsi="Times New Roman" w:cs="Times New Roman"/>
                <w:b/>
                <w:bCs/>
              </w:rPr>
              <w:t xml:space="preserve">SPOLU </w:t>
            </w:r>
          </w:p>
        </w:tc>
        <w:tc>
          <w:tcPr>
            <w:tcW w:w="720" w:type="dxa"/>
            <w:tcBorders>
              <w:top w:val="single" w:sz="8" w:space="0" w:color="auto"/>
              <w:left w:val="nil"/>
              <w:bottom w:val="single" w:sz="8" w:space="0" w:color="auto"/>
              <w:right w:val="single" w:sz="8" w:space="0" w:color="auto"/>
            </w:tcBorders>
            <w:shd w:val="clear" w:color="000000" w:fill="D9D9D9"/>
            <w:noWrap/>
            <w:textDirection w:val="lrTb"/>
            <w:vAlign w:val="center"/>
            <w:hideMark/>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576</w:t>
            </w:r>
          </w:p>
        </w:tc>
        <w:tc>
          <w:tcPr>
            <w:tcW w:w="1868" w:type="dxa"/>
            <w:tcBorders>
              <w:top w:val="single" w:sz="8" w:space="0" w:color="auto"/>
              <w:left w:val="nil"/>
              <w:bottom w:val="single" w:sz="8" w:space="0" w:color="auto"/>
              <w:right w:val="single" w:sz="8" w:space="0" w:color="auto"/>
            </w:tcBorders>
            <w:shd w:val="clear" w:color="000000" w:fill="D9D9D9"/>
            <w:noWrap/>
            <w:textDirection w:val="lrTb"/>
            <w:vAlign w:val="center"/>
            <w:hideMark/>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12 594 334 943</w:t>
            </w:r>
          </w:p>
        </w:tc>
        <w:tc>
          <w:tcPr>
            <w:tcW w:w="700" w:type="dxa"/>
            <w:tcBorders>
              <w:top w:val="single" w:sz="8" w:space="0" w:color="auto"/>
              <w:left w:val="nil"/>
              <w:bottom w:val="single" w:sz="8" w:space="0" w:color="auto"/>
              <w:right w:val="single" w:sz="8" w:space="0" w:color="auto"/>
            </w:tcBorders>
            <w:shd w:val="clear" w:color="000000" w:fill="D9D9D9"/>
            <w:noWrap/>
            <w:textDirection w:val="lrTb"/>
            <w:vAlign w:val="center"/>
            <w:hideMark/>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81</w:t>
            </w:r>
          </w:p>
        </w:tc>
        <w:tc>
          <w:tcPr>
            <w:tcW w:w="1688" w:type="dxa"/>
            <w:tcBorders>
              <w:top w:val="single" w:sz="8" w:space="0" w:color="auto"/>
              <w:left w:val="nil"/>
              <w:bottom w:val="single" w:sz="8" w:space="0" w:color="auto"/>
              <w:right w:val="single" w:sz="8" w:space="0" w:color="auto"/>
            </w:tcBorders>
            <w:shd w:val="clear" w:color="000000" w:fill="D9D9D9"/>
            <w:noWrap/>
            <w:textDirection w:val="lrTb"/>
            <w:vAlign w:val="center"/>
            <w:hideMark/>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1 632 346 314</w:t>
            </w:r>
          </w:p>
        </w:tc>
        <w:tc>
          <w:tcPr>
            <w:tcW w:w="754" w:type="dxa"/>
            <w:tcBorders>
              <w:top w:val="single" w:sz="8" w:space="0" w:color="auto"/>
              <w:left w:val="nil"/>
              <w:bottom w:val="single" w:sz="8" w:space="0" w:color="auto"/>
              <w:right w:val="single" w:sz="8" w:space="0" w:color="auto"/>
            </w:tcBorders>
            <w:shd w:val="clear" w:color="000000" w:fill="D9D9D9"/>
            <w:noWrap/>
            <w:textDirection w:val="lrTb"/>
            <w:vAlign w:val="center"/>
            <w:hideMark/>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657</w:t>
            </w:r>
          </w:p>
        </w:tc>
        <w:tc>
          <w:tcPr>
            <w:tcW w:w="1740" w:type="dxa"/>
            <w:tcBorders>
              <w:top w:val="single" w:sz="8" w:space="0" w:color="auto"/>
              <w:left w:val="nil"/>
              <w:bottom w:val="single" w:sz="8" w:space="0" w:color="auto"/>
              <w:right w:val="single" w:sz="8" w:space="0" w:color="auto"/>
            </w:tcBorders>
            <w:shd w:val="clear" w:color="000000" w:fill="D9D9D9"/>
            <w:noWrap/>
            <w:textDirection w:val="lrTb"/>
            <w:vAlign w:val="center"/>
            <w:hideMark/>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14 226 681 257</w:t>
            </w:r>
          </w:p>
        </w:tc>
      </w:tr>
    </w:tbl>
    <w:p w:rsidR="006A5552" w:rsidP="00D62C95">
      <w:pPr>
        <w:tabs>
          <w:tab w:val="left" w:pos="567"/>
        </w:tabs>
        <w:bidi w:val="0"/>
        <w:rPr>
          <w:rFonts w:ascii="Times New Roman" w:hAnsi="Times New Roman" w:cs="Times New Roman"/>
          <w:sz w:val="20"/>
        </w:rPr>
      </w:pPr>
      <w:r w:rsidRPr="00D50D44">
        <w:rPr>
          <w:rFonts w:ascii="Times New Roman" w:hAnsi="Times New Roman" w:cs="Times New Roman"/>
          <w:sz w:val="20"/>
        </w:rPr>
        <w:t>Zdroj: ITMS</w:t>
      </w:r>
      <w:r w:rsidR="001D246C">
        <w:rPr>
          <w:rFonts w:ascii="Times New Roman" w:hAnsi="Times New Roman" w:cs="Times New Roman"/>
          <w:sz w:val="20"/>
        </w:rPr>
        <w:t xml:space="preserve"> IT</w:t>
      </w:r>
      <w:r w:rsidRPr="00D50D44">
        <w:rPr>
          <w:rFonts w:ascii="Times New Roman" w:hAnsi="Times New Roman" w:cs="Times New Roman"/>
          <w:sz w:val="20"/>
        </w:rPr>
        <w:t>, RO</w:t>
      </w:r>
    </w:p>
    <w:p w:rsidR="00FD303B" w:rsidRPr="00D50D44" w:rsidP="00D62C95">
      <w:pPr>
        <w:tabs>
          <w:tab w:val="left" w:pos="567"/>
        </w:tabs>
        <w:bidi w:val="0"/>
        <w:rPr>
          <w:rFonts w:ascii="Times New Roman" w:hAnsi="Times New Roman" w:cs="Times New Roman"/>
          <w:sz w:val="20"/>
        </w:rPr>
      </w:pPr>
    </w:p>
    <w:p w:rsidR="00FD303B" w:rsidRPr="00FD303B" w:rsidP="00FD303B">
      <w:pPr>
        <w:pStyle w:val="Heading2"/>
        <w:numPr>
          <w:numId w:val="36"/>
        </w:numPr>
        <w:bidi w:val="0"/>
        <w:spacing w:after="120"/>
        <w:ind w:left="714" w:hanging="357"/>
        <w:rPr>
          <w:rFonts w:ascii="Times New Roman" w:hAnsi="Times New Roman" w:cs="Times New Roman"/>
        </w:rPr>
      </w:pPr>
      <w:bookmarkStart w:id="2" w:name="_Toc419481407"/>
      <w:r w:rsidRPr="00D50D44" w:rsidR="00BA1FAA">
        <w:rPr>
          <w:rFonts w:ascii="Times New Roman" w:hAnsi="Times New Roman" w:cs="Times New Roman" w:hint="default"/>
        </w:rPr>
        <w:t>Stav uzatvá</w:t>
      </w:r>
      <w:r w:rsidRPr="00D50D44" w:rsidR="00BA1FAA">
        <w:rPr>
          <w:rFonts w:ascii="Times New Roman" w:hAnsi="Times New Roman" w:cs="Times New Roman" w:hint="default"/>
        </w:rPr>
        <w:t>rania zmlú</w:t>
      </w:r>
      <w:r w:rsidRPr="00D50D44" w:rsidR="00BA1FAA">
        <w:rPr>
          <w:rFonts w:ascii="Times New Roman" w:hAnsi="Times New Roman" w:cs="Times New Roman" w:hint="default"/>
        </w:rPr>
        <w:t>v o poskytnutí</w:t>
      </w:r>
      <w:r w:rsidRPr="00D50D44" w:rsidR="00BA1FAA">
        <w:rPr>
          <w:rFonts w:ascii="Times New Roman" w:hAnsi="Times New Roman" w:cs="Times New Roman" w:hint="default"/>
        </w:rPr>
        <w:t xml:space="preserve"> nená</w:t>
      </w:r>
      <w:r w:rsidRPr="00D50D44" w:rsidR="00BA1FAA">
        <w:rPr>
          <w:rFonts w:ascii="Times New Roman" w:hAnsi="Times New Roman" w:cs="Times New Roman" w:hint="default"/>
        </w:rPr>
        <w:t>vratné</w:t>
      </w:r>
      <w:r w:rsidRPr="00D50D44" w:rsidR="00BA1FAA">
        <w:rPr>
          <w:rFonts w:ascii="Times New Roman" w:hAnsi="Times New Roman" w:cs="Times New Roman" w:hint="default"/>
        </w:rPr>
        <w:t xml:space="preserve">ho </w:t>
      </w:r>
      <w:r w:rsidRPr="00D50D44" w:rsidR="00BA1FAA">
        <w:rPr>
          <w:rFonts w:ascii="Times New Roman" w:hAnsi="Times New Roman" w:cs="Times New Roman" w:hint="default"/>
        </w:rPr>
        <w:t>finanč</w:t>
      </w:r>
      <w:r w:rsidRPr="00D50D44" w:rsidR="00BA1FAA">
        <w:rPr>
          <w:rFonts w:ascii="Times New Roman" w:hAnsi="Times New Roman" w:cs="Times New Roman" w:hint="default"/>
        </w:rPr>
        <w:t>né</w:t>
      </w:r>
      <w:r w:rsidRPr="00D50D44" w:rsidR="00BA1FAA">
        <w:rPr>
          <w:rFonts w:ascii="Times New Roman" w:hAnsi="Times New Roman" w:cs="Times New Roman" w:hint="default"/>
        </w:rPr>
        <w:t>ho prí</w:t>
      </w:r>
      <w:r w:rsidRPr="00D50D44" w:rsidR="00BA1FAA">
        <w:rPr>
          <w:rFonts w:ascii="Times New Roman" w:hAnsi="Times New Roman" w:cs="Times New Roman" w:hint="default"/>
        </w:rPr>
        <w:t>sp</w:t>
      </w:r>
      <w:r w:rsidRPr="00D50D44" w:rsidR="007A35B4">
        <w:rPr>
          <w:rFonts w:ascii="Times New Roman" w:hAnsi="Times New Roman" w:cs="Times New Roman"/>
        </w:rPr>
        <w:t>evku</w:t>
      </w:r>
      <w:bookmarkEnd w:id="2"/>
      <w:r w:rsidRPr="00D50D44" w:rsidR="007A35B4">
        <w:rPr>
          <w:rFonts w:ascii="Times New Roman" w:hAnsi="Times New Roman" w:cs="Times New Roman"/>
        </w:rPr>
        <w:t xml:space="preserve"> </w:t>
      </w:r>
    </w:p>
    <w:p w:rsidR="00BA1FAA" w:rsidRPr="00D50D44" w:rsidP="00D62C95">
      <w:pPr>
        <w:bidi w:val="0"/>
        <w:spacing w:after="0"/>
        <w:ind w:firstLine="709"/>
        <w:jc w:val="both"/>
        <w:rPr>
          <w:rFonts w:ascii="Times New Roman" w:hAnsi="Times New Roman" w:cs="Times New Roman"/>
        </w:rPr>
      </w:pPr>
      <w:r w:rsidRPr="00D50D44" w:rsidR="00DB0B33">
        <w:rPr>
          <w:rFonts w:ascii="Times New Roman" w:hAnsi="Times New Roman" w:cs="Times New Roman"/>
        </w:rPr>
        <w:t xml:space="preserve">Uzatváranie zmlúv o poskytnutí NFP </w:t>
      </w:r>
      <w:r w:rsidRPr="00D50D44" w:rsidR="00797A68">
        <w:rPr>
          <w:rFonts w:ascii="Times New Roman" w:hAnsi="Times New Roman" w:cs="Times New Roman"/>
        </w:rPr>
        <w:t xml:space="preserve">medzi RO, respektíve sprostredkovateľským orgánom (ďalej len SORO) a prijímateľom nenávratnej finančnej pomoci (ďalej len „kontrahovanie) </w:t>
      </w:r>
      <w:r w:rsidRPr="00D50D44">
        <w:rPr>
          <w:rFonts w:ascii="Times New Roman" w:hAnsi="Times New Roman" w:cs="Times New Roman"/>
        </w:rPr>
        <w:t xml:space="preserve">je základným predpokladom  </w:t>
      </w:r>
      <w:r w:rsidRPr="00D50D44" w:rsidR="00DB0B33">
        <w:rPr>
          <w:rFonts w:ascii="Times New Roman" w:hAnsi="Times New Roman" w:cs="Times New Roman"/>
        </w:rPr>
        <w:t>implementácie</w:t>
      </w:r>
      <w:r w:rsidRPr="00D50D44">
        <w:rPr>
          <w:rFonts w:ascii="Times New Roman" w:hAnsi="Times New Roman" w:cs="Times New Roman"/>
        </w:rPr>
        <w:t xml:space="preserve"> štrukturálnych fondov. Pri zmene vlády v roku 201</w:t>
      </w:r>
      <w:r w:rsidRPr="00D50D44" w:rsidR="00797A68">
        <w:rPr>
          <w:rFonts w:ascii="Times New Roman" w:hAnsi="Times New Roman" w:cs="Times New Roman"/>
        </w:rPr>
        <w:t xml:space="preserve">2 bola miera kontrahovania len </w:t>
      </w:r>
      <w:r w:rsidRPr="00D50D44">
        <w:rPr>
          <w:rFonts w:ascii="Times New Roman" w:hAnsi="Times New Roman" w:cs="Times New Roman"/>
        </w:rPr>
        <w:t>na úrovni 65 %</w:t>
      </w:r>
      <w:r w:rsidRPr="00D50D44" w:rsidR="00797A68">
        <w:rPr>
          <w:rFonts w:ascii="Times New Roman" w:hAnsi="Times New Roman" w:cs="Times New Roman"/>
        </w:rPr>
        <w:t xml:space="preserve"> záväzku NSRR</w:t>
      </w:r>
      <w:r w:rsidRPr="00D50D44">
        <w:rPr>
          <w:rFonts w:ascii="Times New Roman" w:hAnsi="Times New Roman" w:cs="Times New Roman"/>
        </w:rPr>
        <w:t xml:space="preserve">. </w:t>
      </w:r>
      <w:r w:rsidRPr="00D50D44" w:rsidR="00797A68">
        <w:rPr>
          <w:rFonts w:ascii="Times New Roman" w:hAnsi="Times New Roman" w:cs="Times New Roman"/>
        </w:rPr>
        <w:t xml:space="preserve"> Kľúčovou </w:t>
      </w:r>
      <w:r w:rsidR="00983293">
        <w:rPr>
          <w:rFonts w:ascii="Times New Roman" w:hAnsi="Times New Roman" w:cs="Times New Roman"/>
        </w:rPr>
        <w:t>úlohou</w:t>
      </w:r>
      <w:r w:rsidRPr="00D50D44" w:rsidR="00797A68">
        <w:rPr>
          <w:rFonts w:ascii="Times New Roman" w:hAnsi="Times New Roman" w:cs="Times New Roman"/>
        </w:rPr>
        <w:t xml:space="preserve"> nastupujúcej vlády </w:t>
      </w:r>
      <w:r w:rsidRPr="00D50D44">
        <w:rPr>
          <w:rFonts w:ascii="Times New Roman" w:hAnsi="Times New Roman" w:cs="Times New Roman"/>
        </w:rPr>
        <w:t xml:space="preserve">bolo </w:t>
      </w:r>
      <w:r w:rsidRPr="00D50D44" w:rsidR="00797A68">
        <w:rPr>
          <w:rFonts w:ascii="Times New Roman" w:hAnsi="Times New Roman" w:cs="Times New Roman"/>
        </w:rPr>
        <w:t xml:space="preserve">zvýšiť kontrahovanie na úroveň </w:t>
      </w:r>
      <w:r w:rsidRPr="00D50D44">
        <w:rPr>
          <w:rFonts w:ascii="Times New Roman" w:hAnsi="Times New Roman" w:cs="Times New Roman"/>
        </w:rPr>
        <w:t xml:space="preserve">100 % </w:t>
      </w:r>
      <w:r w:rsidRPr="00D50D44" w:rsidR="00797A68">
        <w:rPr>
          <w:rFonts w:ascii="Times New Roman" w:hAnsi="Times New Roman" w:cs="Times New Roman"/>
        </w:rPr>
        <w:t xml:space="preserve">výšky záväzku. Táto </w:t>
      </w:r>
      <w:r w:rsidR="00983293">
        <w:rPr>
          <w:rFonts w:ascii="Times New Roman" w:hAnsi="Times New Roman" w:cs="Times New Roman"/>
        </w:rPr>
        <w:t>úloha</w:t>
      </w:r>
      <w:r w:rsidRPr="00D50D44" w:rsidR="00797A68">
        <w:rPr>
          <w:rFonts w:ascii="Times New Roman" w:hAnsi="Times New Roman" w:cs="Times New Roman"/>
        </w:rPr>
        <w:t xml:space="preserve"> bola splnená v rekordne krátkom čase </w:t>
      </w:r>
      <w:r w:rsidRPr="00D50D44" w:rsidR="00AB7997">
        <w:rPr>
          <w:rFonts w:ascii="Times New Roman" w:hAnsi="Times New Roman" w:cs="Times New Roman"/>
        </w:rPr>
        <w:t xml:space="preserve">a v </w:t>
      </w:r>
      <w:r w:rsidRPr="00D50D44" w:rsidR="00797A68">
        <w:rPr>
          <w:rFonts w:ascii="Times New Roman" w:hAnsi="Times New Roman" w:cs="Times New Roman"/>
        </w:rPr>
        <w:t> </w:t>
      </w:r>
      <w:r w:rsidRPr="00D50D44">
        <w:rPr>
          <w:rFonts w:ascii="Times New Roman" w:hAnsi="Times New Roman" w:cs="Times New Roman"/>
        </w:rPr>
        <w:t>máji</w:t>
      </w:r>
      <w:r w:rsidRPr="00D50D44" w:rsidR="00797A68">
        <w:rPr>
          <w:rFonts w:ascii="Times New Roman" w:hAnsi="Times New Roman" w:cs="Times New Roman"/>
        </w:rPr>
        <w:t xml:space="preserve"> 2014 dosiahla miera kontrahovania úroveň </w:t>
      </w:r>
      <w:r w:rsidRPr="00D50D44">
        <w:rPr>
          <w:rFonts w:ascii="Times New Roman" w:hAnsi="Times New Roman" w:cs="Times New Roman"/>
        </w:rPr>
        <w:t xml:space="preserve">100,23 % </w:t>
      </w:r>
      <w:r w:rsidRPr="00D50D44" w:rsidR="00797A68">
        <w:rPr>
          <w:rFonts w:ascii="Times New Roman" w:hAnsi="Times New Roman" w:cs="Times New Roman"/>
        </w:rPr>
        <w:t xml:space="preserve">záväzku </w:t>
      </w:r>
      <w:r w:rsidRPr="00D50D44">
        <w:rPr>
          <w:rFonts w:ascii="Times New Roman" w:hAnsi="Times New Roman" w:cs="Times New Roman"/>
        </w:rPr>
        <w:t xml:space="preserve">NSRR. </w:t>
      </w:r>
    </w:p>
    <w:p w:rsidR="001546EF" w:rsidRPr="00D50D44" w:rsidP="00D62C95">
      <w:pPr>
        <w:bidi w:val="0"/>
        <w:spacing w:after="0"/>
        <w:ind w:firstLine="709"/>
        <w:jc w:val="both"/>
        <w:rPr>
          <w:rFonts w:ascii="Times New Roman" w:hAnsi="Times New Roman" w:cs="Times New Roman"/>
        </w:rPr>
      </w:pPr>
    </w:p>
    <w:p w:rsidR="00BA1FAA" w:rsidRPr="00D50D44" w:rsidP="00D62C95">
      <w:pPr>
        <w:bidi w:val="0"/>
        <w:spacing w:after="0"/>
        <w:ind w:firstLine="709"/>
        <w:jc w:val="both"/>
        <w:rPr>
          <w:rFonts w:ascii="Times New Roman" w:hAnsi="Times New Roman" w:cs="Times New Roman"/>
        </w:rPr>
      </w:pPr>
      <w:r w:rsidRPr="00D50D44">
        <w:rPr>
          <w:rFonts w:ascii="Times New Roman" w:hAnsi="Times New Roman" w:cs="Times New Roman"/>
        </w:rPr>
        <w:t xml:space="preserve">Čisté </w:t>
      </w:r>
      <w:r w:rsidR="00D303EF">
        <w:rPr>
          <w:rFonts w:ascii="Times New Roman" w:hAnsi="Times New Roman" w:cs="Times New Roman"/>
        </w:rPr>
        <w:t xml:space="preserve"> </w:t>
      </w:r>
      <w:r w:rsidRPr="00D50D44">
        <w:rPr>
          <w:rFonts w:ascii="Times New Roman" w:hAnsi="Times New Roman" w:cs="Times New Roman"/>
        </w:rPr>
        <w:t xml:space="preserve">kontrahovanie </w:t>
      </w:r>
      <w:r w:rsidR="00D303EF">
        <w:rPr>
          <w:rFonts w:ascii="Times New Roman" w:hAnsi="Times New Roman" w:cs="Times New Roman"/>
        </w:rPr>
        <w:t xml:space="preserve"> </w:t>
      </w:r>
      <w:r w:rsidRPr="00D50D44">
        <w:rPr>
          <w:rFonts w:ascii="Times New Roman" w:hAnsi="Times New Roman" w:cs="Times New Roman"/>
        </w:rPr>
        <w:t xml:space="preserve">finančných </w:t>
      </w:r>
      <w:r w:rsidR="00D303EF">
        <w:rPr>
          <w:rFonts w:ascii="Times New Roman" w:hAnsi="Times New Roman" w:cs="Times New Roman"/>
        </w:rPr>
        <w:t xml:space="preserve"> </w:t>
      </w:r>
      <w:r w:rsidRPr="00D50D44">
        <w:rPr>
          <w:rFonts w:ascii="Times New Roman" w:hAnsi="Times New Roman" w:cs="Times New Roman"/>
        </w:rPr>
        <w:t xml:space="preserve">prostriedkov </w:t>
      </w:r>
      <w:r w:rsidR="00D303EF">
        <w:rPr>
          <w:rFonts w:ascii="Times New Roman" w:hAnsi="Times New Roman" w:cs="Times New Roman"/>
        </w:rPr>
        <w:t xml:space="preserve"> </w:t>
      </w:r>
      <w:r w:rsidRPr="00D50D44" w:rsidR="00797A68">
        <w:rPr>
          <w:rFonts w:ascii="Times New Roman" w:hAnsi="Times New Roman" w:cs="Times New Roman"/>
        </w:rPr>
        <w:t>K</w:t>
      </w:r>
      <w:r w:rsidRPr="00D50D44" w:rsidR="004437B2">
        <w:rPr>
          <w:rFonts w:ascii="Times New Roman" w:hAnsi="Times New Roman" w:cs="Times New Roman"/>
        </w:rPr>
        <w:t>F</w:t>
      </w:r>
      <w:r w:rsidRPr="00D50D44" w:rsidR="00797A68">
        <w:rPr>
          <w:rFonts w:ascii="Times New Roman" w:hAnsi="Times New Roman" w:cs="Times New Roman"/>
        </w:rPr>
        <w:t xml:space="preserve"> a</w:t>
      </w:r>
      <w:r w:rsidRPr="00D50D44" w:rsidR="004437B2">
        <w:rPr>
          <w:rFonts w:ascii="Times New Roman" w:hAnsi="Times New Roman" w:cs="Times New Roman"/>
        </w:rPr>
        <w:t xml:space="preserve"> ŠF  </w:t>
      </w:r>
      <w:r w:rsidRPr="00D50D44">
        <w:rPr>
          <w:rFonts w:ascii="Times New Roman" w:hAnsi="Times New Roman" w:cs="Times New Roman"/>
        </w:rPr>
        <w:t>k 30.</w:t>
      </w:r>
      <w:r w:rsidR="00503FDB">
        <w:rPr>
          <w:rFonts w:ascii="Times New Roman" w:hAnsi="Times New Roman" w:cs="Times New Roman"/>
        </w:rPr>
        <w:t xml:space="preserve"> </w:t>
      </w:r>
      <w:r w:rsidRPr="00D50D44">
        <w:rPr>
          <w:rFonts w:ascii="Times New Roman" w:hAnsi="Times New Roman" w:cs="Times New Roman"/>
        </w:rPr>
        <w:t>04.</w:t>
      </w:r>
      <w:r w:rsidR="00503FDB">
        <w:rPr>
          <w:rFonts w:ascii="Times New Roman" w:hAnsi="Times New Roman" w:cs="Times New Roman"/>
        </w:rPr>
        <w:t xml:space="preserve"> </w:t>
      </w:r>
      <w:r w:rsidRPr="00D50D44">
        <w:rPr>
          <w:rFonts w:ascii="Times New Roman" w:hAnsi="Times New Roman" w:cs="Times New Roman"/>
        </w:rPr>
        <w:t xml:space="preserve">2015 </w:t>
      </w:r>
      <w:r w:rsidRPr="00D50D44" w:rsidR="00797A68">
        <w:rPr>
          <w:rFonts w:ascii="Times New Roman" w:hAnsi="Times New Roman" w:cs="Times New Roman"/>
        </w:rPr>
        <w:t xml:space="preserve">predstavovalo výšku </w:t>
      </w:r>
      <w:r w:rsidRPr="00D50D44">
        <w:rPr>
          <w:rFonts w:ascii="Times New Roman" w:hAnsi="Times New Roman" w:cs="Times New Roman"/>
        </w:rPr>
        <w:t xml:space="preserve">12 300 202 997 EUR, čo </w:t>
      </w:r>
      <w:r w:rsidRPr="00D50D44" w:rsidR="004437B2">
        <w:rPr>
          <w:rFonts w:ascii="Times New Roman" w:hAnsi="Times New Roman" w:cs="Times New Roman"/>
        </w:rPr>
        <w:t>je</w:t>
      </w:r>
      <w:r w:rsidRPr="00D50D44">
        <w:rPr>
          <w:rFonts w:ascii="Times New Roman" w:hAnsi="Times New Roman" w:cs="Times New Roman"/>
        </w:rPr>
        <w:t xml:space="preserve"> 107,12 % </w:t>
      </w:r>
      <w:r w:rsidRPr="00D50D44" w:rsidR="00797A68">
        <w:rPr>
          <w:rFonts w:ascii="Times New Roman" w:hAnsi="Times New Roman" w:cs="Times New Roman"/>
        </w:rPr>
        <w:t xml:space="preserve">záväzku </w:t>
      </w:r>
      <w:r w:rsidRPr="00D50D44">
        <w:rPr>
          <w:rFonts w:ascii="Times New Roman" w:hAnsi="Times New Roman" w:cs="Times New Roman"/>
        </w:rPr>
        <w:t>programové</w:t>
      </w:r>
      <w:r w:rsidRPr="00D50D44" w:rsidR="00797A68">
        <w:rPr>
          <w:rFonts w:ascii="Times New Roman" w:hAnsi="Times New Roman" w:cs="Times New Roman"/>
        </w:rPr>
        <w:t xml:space="preserve">ho obdobia 2007–2013 </w:t>
      </w:r>
      <w:r w:rsidRPr="00D50D44">
        <w:rPr>
          <w:rFonts w:ascii="Times New Roman" w:hAnsi="Times New Roman" w:cs="Times New Roman"/>
        </w:rPr>
        <w:t>(</w:t>
      </w:r>
      <w:r w:rsidRPr="00D50D44" w:rsidR="00797A68">
        <w:rPr>
          <w:rFonts w:ascii="Times New Roman" w:hAnsi="Times New Roman" w:cs="Times New Roman"/>
        </w:rPr>
        <w:t xml:space="preserve">vyjadrené ako </w:t>
      </w:r>
      <w:r w:rsidRPr="00D50D44">
        <w:rPr>
          <w:rFonts w:ascii="Times New Roman" w:hAnsi="Times New Roman" w:cs="Times New Roman"/>
        </w:rPr>
        <w:t xml:space="preserve">zdroje EÚ). Medzi operačné programy </w:t>
      </w:r>
      <w:r w:rsidRPr="00D50D44" w:rsidR="00797A68">
        <w:rPr>
          <w:rFonts w:ascii="Times New Roman" w:hAnsi="Times New Roman" w:cs="Times New Roman"/>
        </w:rPr>
        <w:t xml:space="preserve"> </w:t>
      </w:r>
      <w:r w:rsidRPr="00D50D44">
        <w:rPr>
          <w:rFonts w:ascii="Times New Roman" w:hAnsi="Times New Roman" w:cs="Times New Roman"/>
        </w:rPr>
        <w:t>s najvyš</w:t>
      </w:r>
      <w:r w:rsidRPr="00D50D44" w:rsidR="00797A68">
        <w:rPr>
          <w:rFonts w:ascii="Times New Roman" w:hAnsi="Times New Roman" w:cs="Times New Roman"/>
        </w:rPr>
        <w:t>šou mierou kontrahovania patria</w:t>
      </w:r>
      <w:r w:rsidRPr="00D50D44">
        <w:rPr>
          <w:rFonts w:ascii="Times New Roman" w:hAnsi="Times New Roman" w:cs="Times New Roman"/>
        </w:rPr>
        <w:t xml:space="preserve"> OP Doprava (114,11 %), OP Vzdelávanie (117,41 %), OP</w:t>
      </w:r>
      <w:r w:rsidRPr="00D50D44" w:rsidR="00F40A3C">
        <w:rPr>
          <w:rFonts w:ascii="Times New Roman" w:hAnsi="Times New Roman" w:cs="Times New Roman"/>
        </w:rPr>
        <w:t> </w:t>
      </w:r>
      <w:r w:rsidRPr="00D50D44">
        <w:rPr>
          <w:rFonts w:ascii="Times New Roman" w:hAnsi="Times New Roman" w:cs="Times New Roman"/>
        </w:rPr>
        <w:t xml:space="preserve">Informatizácia spoločnosti (113,42 %). </w:t>
      </w:r>
    </w:p>
    <w:p w:rsidR="00F17675" w:rsidRPr="00D50D44" w:rsidP="00F17675">
      <w:pPr>
        <w:keepNext/>
        <w:bidi w:val="0"/>
        <w:spacing w:before="120" w:after="0"/>
        <w:jc w:val="both"/>
        <w:rPr>
          <w:rFonts w:ascii="Times New Roman" w:hAnsi="Times New Roman" w:cs="Times New Roman"/>
          <w:szCs w:val="24"/>
        </w:rPr>
      </w:pPr>
      <w:r w:rsidRPr="00D50D44" w:rsidR="00BA1FAA">
        <w:rPr>
          <w:rFonts w:ascii="Times New Roman" w:hAnsi="Times New Roman" w:cs="Times New Roman"/>
          <w:szCs w:val="24"/>
        </w:rPr>
        <w:t>Tabuľka č. 2: Čisté kontrahovanie ŠF a KF</w:t>
      </w:r>
      <w:r w:rsidRPr="00D50D44" w:rsidR="001D028C">
        <w:rPr>
          <w:rFonts w:ascii="Times New Roman" w:hAnsi="Times New Roman" w:cs="Times New Roman"/>
          <w:szCs w:val="24"/>
        </w:rPr>
        <w:t xml:space="preserve"> k 30. 04. 2015 z alokácie 2007</w:t>
      </w:r>
      <w:r w:rsidR="00503FDB">
        <w:rPr>
          <w:rFonts w:ascii="Times New Roman" w:hAnsi="Times New Roman" w:cs="Times New Roman"/>
          <w:szCs w:val="24"/>
        </w:rPr>
        <w:t xml:space="preserve"> </w:t>
      </w:r>
      <w:r w:rsidRPr="00D50D44" w:rsidR="001D028C">
        <w:rPr>
          <w:rFonts w:ascii="Times New Roman" w:hAnsi="Times New Roman" w:cs="Times New Roman"/>
          <w:szCs w:val="24"/>
        </w:rPr>
        <w:t>–</w:t>
      </w:r>
      <w:r w:rsidR="00503FDB">
        <w:rPr>
          <w:rFonts w:ascii="Times New Roman" w:hAnsi="Times New Roman" w:cs="Times New Roman"/>
          <w:szCs w:val="24"/>
        </w:rPr>
        <w:t xml:space="preserve"> </w:t>
      </w:r>
      <w:r w:rsidRPr="00D50D44" w:rsidR="00C95C9C">
        <w:rPr>
          <w:rFonts w:ascii="Times New Roman" w:hAnsi="Times New Roman" w:cs="Times New Roman"/>
          <w:szCs w:val="24"/>
        </w:rPr>
        <w:t>2013 (EÚ zdroje)</w:t>
      </w:r>
      <w:r w:rsidRPr="00D50D44">
        <w:rPr>
          <w:rFonts w:ascii="Times New Roman" w:hAnsi="Times New Roman" w:cs="Times New Roman"/>
          <w:szCs w:val="24"/>
        </w:rPr>
        <w:t xml:space="preserve"> </w:t>
      </w:r>
    </w:p>
    <w:tbl>
      <w:tblPr>
        <w:tblStyle w:val="TableNormal"/>
        <w:tblW w:w="5049" w:type="pct"/>
        <w:tblCellMar>
          <w:left w:w="70" w:type="dxa"/>
          <w:right w:w="70" w:type="dxa"/>
        </w:tblCellMar>
      </w:tblPr>
      <w:tblGrid>
        <w:gridCol w:w="3706"/>
        <w:gridCol w:w="1819"/>
        <w:gridCol w:w="1959"/>
        <w:gridCol w:w="1818"/>
      </w:tblGrid>
      <w:tr>
        <w:tblPrEx>
          <w:tblW w:w="5049" w:type="pct"/>
          <w:tblCellMar>
            <w:left w:w="70" w:type="dxa"/>
            <w:right w:w="70" w:type="dxa"/>
          </w:tblCellMar>
        </w:tblPrEx>
        <w:trPr>
          <w:trHeight w:val="20"/>
        </w:trPr>
        <w:tc>
          <w:tcPr>
            <w:tcW w:w="1992" w:type="pct"/>
            <w:tcBorders>
              <w:top w:val="single" w:sz="4" w:space="0" w:color="auto"/>
              <w:left w:val="single" w:sz="4" w:space="0" w:color="auto"/>
              <w:bottom w:val="single" w:sz="4" w:space="0" w:color="000000"/>
              <w:right w:val="single" w:sz="4" w:space="0" w:color="auto"/>
            </w:tcBorders>
            <w:shd w:val="clear" w:color="auto" w:fill="C0C0C0"/>
            <w:noWrap/>
            <w:textDirection w:val="lrTb"/>
            <w:vAlign w:val="center"/>
          </w:tcPr>
          <w:p w:rsidR="00F17675" w:rsidRPr="00D50D44" w:rsidP="00D303EF">
            <w:pPr>
              <w:keepNext/>
              <w:bidi w:val="0"/>
              <w:jc w:val="center"/>
              <w:rPr>
                <w:rFonts w:ascii="Times New Roman" w:hAnsi="Times New Roman" w:cs="Times New Roman"/>
                <w:b/>
                <w:bCs/>
                <w:color w:val="000000"/>
                <w:highlight w:val="yellow"/>
                <w:lang w:eastAsia="cs-CZ"/>
              </w:rPr>
            </w:pPr>
            <w:r w:rsidRPr="00D50D44">
              <w:rPr>
                <w:rFonts w:ascii="Times New Roman" w:hAnsi="Times New Roman" w:cs="Times New Roman"/>
                <w:b/>
                <w:bCs/>
                <w:color w:val="000000"/>
                <w:lang w:eastAsia="cs-CZ"/>
              </w:rPr>
              <w:t>Operačný program</w:t>
            </w:r>
          </w:p>
        </w:tc>
        <w:tc>
          <w:tcPr>
            <w:tcW w:w="978" w:type="pct"/>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17675" w:rsidRPr="00D50D44" w:rsidP="00D303EF">
            <w:pPr>
              <w:keepNext/>
              <w:bidi w:val="0"/>
              <w:jc w:val="center"/>
              <w:rPr>
                <w:rFonts w:ascii="Times New Roman" w:hAnsi="Times New Roman" w:cs="Times New Roman"/>
                <w:b/>
                <w:bCs/>
                <w:lang w:eastAsia="cs-CZ"/>
              </w:rPr>
            </w:pPr>
            <w:r w:rsidRPr="00D50D44">
              <w:rPr>
                <w:rFonts w:ascii="Times New Roman" w:hAnsi="Times New Roman" w:cs="Times New Roman"/>
                <w:b/>
                <w:bCs/>
                <w:lang w:eastAsia="cs-CZ"/>
              </w:rPr>
              <w:t xml:space="preserve">Záväzok </w:t>
            </w:r>
          </w:p>
          <w:p w:rsidR="00F17675" w:rsidRPr="00D50D44" w:rsidP="00D303EF">
            <w:pPr>
              <w:keepNext/>
              <w:bidi w:val="0"/>
              <w:jc w:val="center"/>
              <w:rPr>
                <w:rFonts w:ascii="Times New Roman" w:hAnsi="Times New Roman" w:cs="Times New Roman"/>
                <w:b/>
                <w:bCs/>
                <w:lang w:eastAsia="cs-CZ"/>
              </w:rPr>
            </w:pPr>
            <w:r w:rsidRPr="00D50D44">
              <w:rPr>
                <w:rFonts w:ascii="Times New Roman" w:hAnsi="Times New Roman" w:cs="Times New Roman"/>
                <w:b/>
                <w:bCs/>
                <w:lang w:eastAsia="cs-CZ"/>
              </w:rPr>
              <w:t>2007 – 2013</w:t>
            </w:r>
          </w:p>
          <w:p w:rsidR="00F17675" w:rsidRPr="00D50D44" w:rsidP="00D303EF">
            <w:pPr>
              <w:keepNext/>
              <w:bidi w:val="0"/>
              <w:jc w:val="center"/>
              <w:rPr>
                <w:rFonts w:ascii="Times New Roman" w:hAnsi="Times New Roman" w:cs="Times New Roman"/>
                <w:b/>
                <w:bCs/>
                <w:lang w:eastAsia="cs-CZ"/>
              </w:rPr>
            </w:pPr>
            <w:r w:rsidRPr="00D50D44">
              <w:rPr>
                <w:rFonts w:ascii="Times New Roman" w:hAnsi="Times New Roman" w:cs="Times New Roman"/>
                <w:b/>
                <w:bCs/>
                <w:lang w:eastAsia="cs-CZ"/>
              </w:rPr>
              <w:t>v EUR</w:t>
            </w:r>
          </w:p>
        </w:tc>
        <w:tc>
          <w:tcPr>
            <w:tcW w:w="1053" w:type="pct"/>
            <w:tcBorders>
              <w:top w:val="single" w:sz="4" w:space="0" w:color="auto"/>
              <w:left w:val="single" w:sz="4" w:space="0" w:color="auto"/>
              <w:bottom w:val="single" w:sz="4" w:space="0" w:color="auto"/>
              <w:right w:val="single" w:sz="4" w:space="0" w:color="000000"/>
            </w:tcBorders>
            <w:shd w:val="clear" w:color="auto" w:fill="C0C0C0"/>
            <w:textDirection w:val="lrTb"/>
            <w:vAlign w:val="center"/>
          </w:tcPr>
          <w:p w:rsidR="00F17675" w:rsidRPr="00D50D44" w:rsidP="00D303EF">
            <w:pPr>
              <w:keepNext/>
              <w:bidi w:val="0"/>
              <w:jc w:val="center"/>
              <w:rPr>
                <w:rFonts w:ascii="Times New Roman" w:hAnsi="Times New Roman" w:cs="Times New Roman"/>
                <w:b/>
                <w:bCs/>
                <w:lang w:eastAsia="cs-CZ"/>
              </w:rPr>
            </w:pPr>
            <w:r w:rsidRPr="00D50D44">
              <w:rPr>
                <w:rFonts w:ascii="Times New Roman" w:hAnsi="Times New Roman" w:cs="Times New Roman"/>
                <w:b/>
                <w:bCs/>
                <w:lang w:eastAsia="cs-CZ"/>
              </w:rPr>
              <w:t>Čistá suma  kontrahovania na záväzku 2007 – 2013  v</w:t>
            </w:r>
            <w:r w:rsidR="00503FDB">
              <w:rPr>
                <w:rFonts w:ascii="Times New Roman" w:hAnsi="Times New Roman" w:cs="Times New Roman"/>
                <w:b/>
                <w:bCs/>
                <w:lang w:eastAsia="cs-CZ"/>
              </w:rPr>
              <w:t> </w:t>
            </w:r>
            <w:r w:rsidRPr="00D50D44">
              <w:rPr>
                <w:rFonts w:ascii="Times New Roman" w:hAnsi="Times New Roman" w:cs="Times New Roman"/>
                <w:b/>
                <w:bCs/>
                <w:color w:val="000000"/>
                <w:lang w:eastAsia="cs-CZ"/>
              </w:rPr>
              <w:t>EUR</w:t>
            </w:r>
          </w:p>
        </w:tc>
        <w:tc>
          <w:tcPr>
            <w:tcW w:w="977" w:type="pct"/>
            <w:tcBorders>
              <w:top w:val="single" w:sz="4" w:space="0" w:color="auto"/>
              <w:left w:val="nil"/>
              <w:bottom w:val="single" w:sz="4" w:space="0" w:color="auto"/>
              <w:right w:val="single" w:sz="4" w:space="0" w:color="auto"/>
            </w:tcBorders>
            <w:shd w:val="clear" w:color="auto" w:fill="C0C0C0"/>
            <w:textDirection w:val="lrTb"/>
            <w:vAlign w:val="center"/>
          </w:tcPr>
          <w:p w:rsidR="00F17675" w:rsidRPr="00D50D44" w:rsidP="00D303EF">
            <w:pPr>
              <w:keepNext/>
              <w:bidi w:val="0"/>
              <w:jc w:val="center"/>
              <w:rPr>
                <w:rFonts w:ascii="Times New Roman" w:hAnsi="Times New Roman" w:cs="Times New Roman"/>
                <w:b/>
                <w:bCs/>
                <w:lang w:eastAsia="cs-CZ"/>
              </w:rPr>
            </w:pPr>
            <w:r w:rsidRPr="00D50D44">
              <w:rPr>
                <w:rFonts w:ascii="Times New Roman" w:hAnsi="Times New Roman" w:cs="Times New Roman"/>
                <w:b/>
                <w:bCs/>
                <w:lang w:eastAsia="cs-CZ"/>
              </w:rPr>
              <w:t>Podiel  kontrahovania na záväzku</w:t>
            </w:r>
          </w:p>
          <w:p w:rsidR="00F17675" w:rsidRPr="00D50D44" w:rsidP="00D303EF">
            <w:pPr>
              <w:keepNext/>
              <w:bidi w:val="0"/>
              <w:jc w:val="center"/>
              <w:rPr>
                <w:rFonts w:ascii="Times New Roman" w:hAnsi="Times New Roman" w:cs="Times New Roman"/>
                <w:b/>
                <w:bCs/>
                <w:lang w:eastAsia="cs-CZ"/>
              </w:rPr>
            </w:pPr>
            <w:r w:rsidRPr="00D50D44">
              <w:rPr>
                <w:rFonts w:ascii="Times New Roman" w:hAnsi="Times New Roman" w:cs="Times New Roman"/>
                <w:b/>
                <w:bCs/>
                <w:lang w:eastAsia="cs-CZ"/>
              </w:rPr>
              <w:t>2007 – 2013 v %</w:t>
            </w:r>
          </w:p>
        </w:tc>
      </w:tr>
      <w:tr>
        <w:tblPrEx>
          <w:tblW w:w="5049" w:type="pct"/>
          <w:tblCellMar>
            <w:left w:w="70" w:type="dxa"/>
            <w:right w:w="70" w:type="dxa"/>
          </w:tblCellMar>
        </w:tblPrEx>
        <w:trPr>
          <w:trHeight w:val="20"/>
        </w:trPr>
        <w:tc>
          <w:tcPr>
            <w:tcW w:w="1992" w:type="pct"/>
            <w:tcBorders>
              <w:top w:val="nil"/>
              <w:left w:val="single" w:sz="4" w:space="0" w:color="auto"/>
              <w:bottom w:val="single" w:sz="4" w:space="0" w:color="auto"/>
              <w:right w:val="single" w:sz="4" w:space="0" w:color="auto"/>
            </w:tcBorders>
            <w:noWrap/>
            <w:textDirection w:val="lrTb"/>
            <w:vAlign w:val="bottom"/>
          </w:tcPr>
          <w:p w:rsidR="00F17675" w:rsidRPr="00D50D44" w:rsidP="00D303EF">
            <w:pPr>
              <w:bidi w:val="0"/>
              <w:rPr>
                <w:rFonts w:ascii="Times New Roman" w:hAnsi="Times New Roman" w:cs="Times New Roman"/>
                <w:bCs/>
              </w:rPr>
            </w:pPr>
            <w:r w:rsidRPr="00D50D44">
              <w:rPr>
                <w:rFonts w:ascii="Times New Roman" w:hAnsi="Times New Roman" w:cs="Times New Roman"/>
                <w:bCs/>
              </w:rPr>
              <w:t>OP Vzdelávanie</w:t>
            </w:r>
          </w:p>
        </w:tc>
        <w:tc>
          <w:tcPr>
            <w:tcW w:w="978" w:type="pct"/>
            <w:tcBorders>
              <w:top w:val="single" w:sz="4" w:space="0" w:color="auto"/>
              <w:left w:val="single" w:sz="4" w:space="0" w:color="auto"/>
              <w:bottom w:val="single" w:sz="4" w:space="0" w:color="auto"/>
              <w:right w:val="single" w:sz="4" w:space="0" w:color="auto"/>
            </w:tcBorders>
            <w:textDirection w:val="lrTb"/>
            <w:vAlign w:val="center"/>
          </w:tcPr>
          <w:p w:rsidR="00F17675" w:rsidRPr="00D50D44" w:rsidP="00D303EF">
            <w:pPr>
              <w:bidi w:val="0"/>
              <w:jc w:val="right"/>
              <w:rPr>
                <w:rFonts w:ascii="Times New Roman" w:hAnsi="Times New Roman" w:cs="Times New Roman"/>
                <w:bCs/>
              </w:rPr>
            </w:pPr>
            <w:r w:rsidRPr="00D50D44">
              <w:rPr>
                <w:rFonts w:ascii="Times New Roman" w:hAnsi="Times New Roman" w:cs="Times New Roman"/>
                <w:bCs/>
              </w:rPr>
              <w:t>542 728 760</w:t>
            </w:r>
          </w:p>
        </w:tc>
        <w:tc>
          <w:tcPr>
            <w:tcW w:w="1053" w:type="pct"/>
            <w:tcBorders>
              <w:top w:val="single" w:sz="4" w:space="0" w:color="auto"/>
              <w:left w:val="single" w:sz="4" w:space="0" w:color="auto"/>
              <w:bottom w:val="single" w:sz="4" w:space="0" w:color="auto"/>
              <w:right w:val="single" w:sz="4" w:space="0" w:color="auto"/>
            </w:tcBorders>
            <w:noWrap/>
            <w:textDirection w:val="lrTb"/>
            <w:vAlign w:val="bottom"/>
          </w:tcPr>
          <w:p w:rsidR="00F17675" w:rsidRPr="00D50D44" w:rsidP="00D303EF">
            <w:pPr>
              <w:bidi w:val="0"/>
              <w:jc w:val="right"/>
              <w:rPr>
                <w:rFonts w:ascii="Times New Roman" w:hAnsi="Times New Roman" w:cs="Times New Roman"/>
                <w:bCs/>
                <w:color w:val="000000"/>
              </w:rPr>
            </w:pPr>
            <w:r w:rsidRPr="00D50D44">
              <w:rPr>
                <w:rFonts w:ascii="Times New Roman" w:hAnsi="Times New Roman" w:cs="Times New Roman"/>
                <w:bCs/>
                <w:color w:val="000000"/>
              </w:rPr>
              <w:t>637 206 088</w:t>
            </w:r>
          </w:p>
        </w:tc>
        <w:tc>
          <w:tcPr>
            <w:tcW w:w="977" w:type="pct"/>
            <w:tcBorders>
              <w:top w:val="single" w:sz="4" w:space="0" w:color="auto"/>
              <w:left w:val="nil"/>
              <w:bottom w:val="single" w:sz="4" w:space="0" w:color="auto"/>
              <w:right w:val="single" w:sz="4" w:space="0" w:color="auto"/>
            </w:tcBorders>
            <w:textDirection w:val="lrTb"/>
            <w:vAlign w:val="center"/>
          </w:tcPr>
          <w:p w:rsidR="00F17675" w:rsidRPr="00D50D44" w:rsidP="00D303EF">
            <w:pPr>
              <w:bidi w:val="0"/>
              <w:jc w:val="center"/>
              <w:rPr>
                <w:rFonts w:ascii="Times New Roman" w:hAnsi="Times New Roman" w:cs="Times New Roman"/>
                <w:bCs/>
              </w:rPr>
            </w:pPr>
            <w:r w:rsidRPr="00D50D44">
              <w:rPr>
                <w:rFonts w:ascii="Times New Roman" w:hAnsi="Times New Roman" w:cs="Times New Roman"/>
                <w:bCs/>
              </w:rPr>
              <w:t>117,41%</w:t>
            </w:r>
          </w:p>
        </w:tc>
      </w:tr>
      <w:tr>
        <w:tblPrEx>
          <w:tblW w:w="5049" w:type="pct"/>
          <w:tblCellMar>
            <w:left w:w="70" w:type="dxa"/>
            <w:right w:w="70" w:type="dxa"/>
          </w:tblCellMar>
        </w:tblPrEx>
        <w:trPr>
          <w:trHeight w:val="20"/>
        </w:trPr>
        <w:tc>
          <w:tcPr>
            <w:tcW w:w="1992" w:type="pct"/>
            <w:tcBorders>
              <w:top w:val="nil"/>
              <w:left w:val="single" w:sz="4" w:space="0" w:color="auto"/>
              <w:bottom w:val="single" w:sz="4" w:space="0" w:color="auto"/>
              <w:right w:val="single" w:sz="4" w:space="0" w:color="auto"/>
            </w:tcBorders>
            <w:noWrap/>
            <w:textDirection w:val="lrTb"/>
            <w:vAlign w:val="bottom"/>
          </w:tcPr>
          <w:p w:rsidR="00F17675" w:rsidRPr="00D50D44" w:rsidP="00D303EF">
            <w:pPr>
              <w:bidi w:val="0"/>
              <w:rPr>
                <w:rFonts w:ascii="Times New Roman" w:hAnsi="Times New Roman" w:cs="Times New Roman"/>
                <w:bCs/>
              </w:rPr>
            </w:pPr>
            <w:r w:rsidRPr="00D50D44">
              <w:rPr>
                <w:rFonts w:ascii="Times New Roman" w:hAnsi="Times New Roman" w:cs="Times New Roman"/>
                <w:bCs/>
              </w:rPr>
              <w:t>OP Zamestn. a sociálna inklúzia</w:t>
            </w:r>
          </w:p>
        </w:tc>
        <w:tc>
          <w:tcPr>
            <w:tcW w:w="978" w:type="pct"/>
            <w:tcBorders>
              <w:top w:val="single" w:sz="4" w:space="0" w:color="auto"/>
              <w:left w:val="single" w:sz="4" w:space="0" w:color="auto"/>
              <w:bottom w:val="single" w:sz="4" w:space="0" w:color="auto"/>
              <w:right w:val="single" w:sz="4" w:space="0" w:color="auto"/>
            </w:tcBorders>
            <w:textDirection w:val="lrTb"/>
            <w:vAlign w:val="center"/>
          </w:tcPr>
          <w:p w:rsidR="00F17675" w:rsidRPr="00D50D44" w:rsidP="00D303EF">
            <w:pPr>
              <w:bidi w:val="0"/>
              <w:jc w:val="right"/>
              <w:rPr>
                <w:rFonts w:ascii="Times New Roman" w:hAnsi="Times New Roman" w:cs="Times New Roman"/>
                <w:bCs/>
              </w:rPr>
            </w:pPr>
            <w:r w:rsidRPr="00D50D44">
              <w:rPr>
                <w:rFonts w:ascii="Times New Roman" w:hAnsi="Times New Roman" w:cs="Times New Roman"/>
                <w:bCs/>
              </w:rPr>
              <w:t>941 301 578</w:t>
            </w:r>
          </w:p>
        </w:tc>
        <w:tc>
          <w:tcPr>
            <w:tcW w:w="1053" w:type="pct"/>
            <w:tcBorders>
              <w:top w:val="single" w:sz="4" w:space="0" w:color="auto"/>
              <w:left w:val="single" w:sz="4" w:space="0" w:color="auto"/>
              <w:bottom w:val="single" w:sz="4" w:space="0" w:color="auto"/>
              <w:right w:val="single" w:sz="4" w:space="0" w:color="auto"/>
            </w:tcBorders>
            <w:noWrap/>
            <w:textDirection w:val="lrTb"/>
            <w:vAlign w:val="bottom"/>
          </w:tcPr>
          <w:p w:rsidR="00F17675" w:rsidRPr="00D50D44" w:rsidP="00D303EF">
            <w:pPr>
              <w:bidi w:val="0"/>
              <w:jc w:val="right"/>
              <w:rPr>
                <w:rFonts w:ascii="Times New Roman" w:hAnsi="Times New Roman" w:cs="Times New Roman"/>
                <w:bCs/>
                <w:color w:val="000000"/>
              </w:rPr>
            </w:pPr>
            <w:r w:rsidRPr="00D50D44">
              <w:rPr>
                <w:rFonts w:ascii="Times New Roman" w:hAnsi="Times New Roman" w:cs="Times New Roman"/>
                <w:bCs/>
                <w:color w:val="000000"/>
              </w:rPr>
              <w:t>995 327 831</w:t>
            </w:r>
          </w:p>
        </w:tc>
        <w:tc>
          <w:tcPr>
            <w:tcW w:w="977" w:type="pct"/>
            <w:tcBorders>
              <w:top w:val="single" w:sz="4" w:space="0" w:color="auto"/>
              <w:left w:val="nil"/>
              <w:bottom w:val="single" w:sz="4" w:space="0" w:color="auto"/>
              <w:right w:val="single" w:sz="4" w:space="0" w:color="auto"/>
            </w:tcBorders>
            <w:textDirection w:val="lrTb"/>
            <w:vAlign w:val="center"/>
          </w:tcPr>
          <w:p w:rsidR="00F17675" w:rsidRPr="00D50D44" w:rsidP="00D303EF">
            <w:pPr>
              <w:bidi w:val="0"/>
              <w:jc w:val="center"/>
              <w:rPr>
                <w:rFonts w:ascii="Times New Roman" w:hAnsi="Times New Roman" w:cs="Times New Roman"/>
                <w:bCs/>
              </w:rPr>
            </w:pPr>
            <w:r w:rsidRPr="00D50D44">
              <w:rPr>
                <w:rFonts w:ascii="Times New Roman" w:hAnsi="Times New Roman" w:cs="Times New Roman"/>
                <w:bCs/>
              </w:rPr>
              <w:t>105,74%</w:t>
            </w:r>
          </w:p>
        </w:tc>
      </w:tr>
      <w:tr>
        <w:tblPrEx>
          <w:tblW w:w="5049" w:type="pct"/>
          <w:tblCellMar>
            <w:left w:w="70" w:type="dxa"/>
            <w:right w:w="70" w:type="dxa"/>
          </w:tblCellMar>
        </w:tblPrEx>
        <w:trPr>
          <w:trHeight w:val="20"/>
        </w:trPr>
        <w:tc>
          <w:tcPr>
            <w:tcW w:w="1992" w:type="pct"/>
            <w:tcBorders>
              <w:top w:val="nil"/>
              <w:left w:val="single" w:sz="4" w:space="0" w:color="auto"/>
              <w:bottom w:val="single" w:sz="4" w:space="0" w:color="auto"/>
              <w:right w:val="single" w:sz="4" w:space="0" w:color="auto"/>
            </w:tcBorders>
            <w:noWrap/>
            <w:textDirection w:val="lrTb"/>
            <w:vAlign w:val="bottom"/>
          </w:tcPr>
          <w:p w:rsidR="00F17675" w:rsidRPr="00D50D44" w:rsidP="00D303EF">
            <w:pPr>
              <w:bidi w:val="0"/>
              <w:rPr>
                <w:rFonts w:ascii="Times New Roman" w:hAnsi="Times New Roman" w:cs="Times New Roman"/>
                <w:bCs/>
              </w:rPr>
            </w:pPr>
            <w:r w:rsidRPr="00D50D44">
              <w:rPr>
                <w:rFonts w:ascii="Times New Roman" w:hAnsi="Times New Roman" w:cs="Times New Roman"/>
                <w:bCs/>
              </w:rPr>
              <w:t>OP Informatizácia spoločnosti</w:t>
            </w:r>
          </w:p>
        </w:tc>
        <w:tc>
          <w:tcPr>
            <w:tcW w:w="978" w:type="pct"/>
            <w:tcBorders>
              <w:top w:val="single" w:sz="4" w:space="0" w:color="auto"/>
              <w:left w:val="single" w:sz="4" w:space="0" w:color="auto"/>
              <w:bottom w:val="single" w:sz="4" w:space="0" w:color="auto"/>
              <w:right w:val="single" w:sz="4" w:space="0" w:color="auto"/>
            </w:tcBorders>
            <w:textDirection w:val="lrTb"/>
            <w:vAlign w:val="center"/>
          </w:tcPr>
          <w:p w:rsidR="00F17675" w:rsidRPr="00D50D44" w:rsidP="00D303EF">
            <w:pPr>
              <w:bidi w:val="0"/>
              <w:jc w:val="right"/>
              <w:rPr>
                <w:rFonts w:ascii="Times New Roman" w:hAnsi="Times New Roman" w:cs="Times New Roman"/>
                <w:bCs/>
              </w:rPr>
            </w:pPr>
            <w:r w:rsidRPr="00D50D44">
              <w:rPr>
                <w:rFonts w:ascii="Times New Roman" w:hAnsi="Times New Roman" w:cs="Times New Roman"/>
                <w:bCs/>
              </w:rPr>
              <w:t>843 595 405</w:t>
            </w:r>
          </w:p>
        </w:tc>
        <w:tc>
          <w:tcPr>
            <w:tcW w:w="1053" w:type="pct"/>
            <w:tcBorders>
              <w:top w:val="single" w:sz="4" w:space="0" w:color="auto"/>
              <w:left w:val="single" w:sz="4" w:space="0" w:color="auto"/>
              <w:bottom w:val="single" w:sz="4" w:space="0" w:color="auto"/>
              <w:right w:val="single" w:sz="4" w:space="0" w:color="auto"/>
            </w:tcBorders>
            <w:noWrap/>
            <w:textDirection w:val="lrTb"/>
            <w:vAlign w:val="bottom"/>
          </w:tcPr>
          <w:p w:rsidR="00F17675" w:rsidRPr="00D50D44" w:rsidP="00D303EF">
            <w:pPr>
              <w:bidi w:val="0"/>
              <w:jc w:val="right"/>
              <w:rPr>
                <w:rFonts w:ascii="Times New Roman" w:hAnsi="Times New Roman" w:cs="Times New Roman"/>
                <w:bCs/>
                <w:color w:val="000000"/>
              </w:rPr>
            </w:pPr>
            <w:r w:rsidRPr="00D50D44">
              <w:rPr>
                <w:rFonts w:ascii="Times New Roman" w:hAnsi="Times New Roman" w:cs="Times New Roman"/>
                <w:bCs/>
                <w:color w:val="000000"/>
              </w:rPr>
              <w:t>956 813 923</w:t>
            </w:r>
          </w:p>
        </w:tc>
        <w:tc>
          <w:tcPr>
            <w:tcW w:w="977" w:type="pct"/>
            <w:tcBorders>
              <w:top w:val="single" w:sz="4" w:space="0" w:color="auto"/>
              <w:left w:val="nil"/>
              <w:bottom w:val="single" w:sz="4" w:space="0" w:color="auto"/>
              <w:right w:val="single" w:sz="4" w:space="0" w:color="auto"/>
            </w:tcBorders>
            <w:textDirection w:val="lrTb"/>
            <w:vAlign w:val="center"/>
          </w:tcPr>
          <w:p w:rsidR="00F17675" w:rsidRPr="00D50D44" w:rsidP="00D303EF">
            <w:pPr>
              <w:bidi w:val="0"/>
              <w:jc w:val="center"/>
              <w:rPr>
                <w:rFonts w:ascii="Times New Roman" w:hAnsi="Times New Roman" w:cs="Times New Roman"/>
                <w:bCs/>
              </w:rPr>
            </w:pPr>
            <w:r w:rsidRPr="00D50D44">
              <w:rPr>
                <w:rFonts w:ascii="Times New Roman" w:hAnsi="Times New Roman" w:cs="Times New Roman"/>
                <w:bCs/>
              </w:rPr>
              <w:t>113,42%</w:t>
            </w:r>
          </w:p>
        </w:tc>
      </w:tr>
      <w:tr>
        <w:tblPrEx>
          <w:tblW w:w="5049" w:type="pct"/>
          <w:tblCellMar>
            <w:left w:w="70" w:type="dxa"/>
            <w:right w:w="70" w:type="dxa"/>
          </w:tblCellMar>
        </w:tblPrEx>
        <w:trPr>
          <w:trHeight w:val="20"/>
        </w:trPr>
        <w:tc>
          <w:tcPr>
            <w:tcW w:w="1992" w:type="pct"/>
            <w:tcBorders>
              <w:top w:val="nil"/>
              <w:left w:val="single" w:sz="4" w:space="0" w:color="auto"/>
              <w:bottom w:val="single" w:sz="4" w:space="0" w:color="auto"/>
              <w:right w:val="single" w:sz="4" w:space="0" w:color="auto"/>
            </w:tcBorders>
            <w:noWrap/>
            <w:textDirection w:val="lrTb"/>
            <w:vAlign w:val="bottom"/>
          </w:tcPr>
          <w:p w:rsidR="00F17675" w:rsidRPr="00D50D44" w:rsidP="00D303EF">
            <w:pPr>
              <w:bidi w:val="0"/>
              <w:rPr>
                <w:rFonts w:ascii="Times New Roman" w:hAnsi="Times New Roman" w:cs="Times New Roman"/>
                <w:bCs/>
              </w:rPr>
            </w:pPr>
            <w:r w:rsidRPr="00D50D44">
              <w:rPr>
                <w:rFonts w:ascii="Times New Roman" w:hAnsi="Times New Roman" w:cs="Times New Roman"/>
                <w:bCs/>
              </w:rPr>
              <w:t>OP Životné prostredie</w:t>
            </w:r>
          </w:p>
        </w:tc>
        <w:tc>
          <w:tcPr>
            <w:tcW w:w="978" w:type="pct"/>
            <w:tcBorders>
              <w:top w:val="single" w:sz="4" w:space="0" w:color="auto"/>
              <w:left w:val="single" w:sz="4" w:space="0" w:color="auto"/>
              <w:bottom w:val="single" w:sz="4" w:space="0" w:color="auto"/>
              <w:right w:val="single" w:sz="4" w:space="0" w:color="auto"/>
            </w:tcBorders>
            <w:textDirection w:val="lrTb"/>
            <w:vAlign w:val="center"/>
          </w:tcPr>
          <w:p w:rsidR="00F17675" w:rsidRPr="00D50D44" w:rsidP="00D303EF">
            <w:pPr>
              <w:bidi w:val="0"/>
              <w:jc w:val="right"/>
              <w:rPr>
                <w:rFonts w:ascii="Times New Roman" w:hAnsi="Times New Roman" w:cs="Times New Roman"/>
                <w:bCs/>
              </w:rPr>
            </w:pPr>
            <w:r w:rsidRPr="00D50D44">
              <w:rPr>
                <w:rFonts w:ascii="Times New Roman" w:hAnsi="Times New Roman" w:cs="Times New Roman"/>
                <w:bCs/>
              </w:rPr>
              <w:t>1 820 000 000</w:t>
            </w:r>
          </w:p>
        </w:tc>
        <w:tc>
          <w:tcPr>
            <w:tcW w:w="1053" w:type="pct"/>
            <w:tcBorders>
              <w:top w:val="single" w:sz="4" w:space="0" w:color="auto"/>
              <w:left w:val="single" w:sz="4" w:space="0" w:color="auto"/>
              <w:bottom w:val="single" w:sz="4" w:space="0" w:color="auto"/>
              <w:right w:val="single" w:sz="4" w:space="0" w:color="auto"/>
            </w:tcBorders>
            <w:noWrap/>
            <w:textDirection w:val="lrTb"/>
            <w:vAlign w:val="bottom"/>
          </w:tcPr>
          <w:p w:rsidR="00F17675" w:rsidRPr="00D50D44" w:rsidP="00D303EF">
            <w:pPr>
              <w:bidi w:val="0"/>
              <w:jc w:val="right"/>
              <w:rPr>
                <w:rFonts w:ascii="Times New Roman" w:hAnsi="Times New Roman" w:cs="Times New Roman"/>
                <w:bCs/>
                <w:color w:val="000000"/>
              </w:rPr>
            </w:pPr>
            <w:r w:rsidRPr="00D50D44">
              <w:rPr>
                <w:rFonts w:ascii="Times New Roman" w:hAnsi="Times New Roman" w:cs="Times New Roman"/>
                <w:bCs/>
                <w:color w:val="000000"/>
              </w:rPr>
              <w:t>1 820 140 937</w:t>
            </w:r>
          </w:p>
        </w:tc>
        <w:tc>
          <w:tcPr>
            <w:tcW w:w="977" w:type="pct"/>
            <w:tcBorders>
              <w:top w:val="single" w:sz="4" w:space="0" w:color="auto"/>
              <w:left w:val="nil"/>
              <w:bottom w:val="single" w:sz="4" w:space="0" w:color="auto"/>
              <w:right w:val="single" w:sz="4" w:space="0" w:color="auto"/>
            </w:tcBorders>
            <w:textDirection w:val="lrTb"/>
            <w:vAlign w:val="center"/>
          </w:tcPr>
          <w:p w:rsidR="00F17675" w:rsidRPr="00D50D44" w:rsidP="00D303EF">
            <w:pPr>
              <w:bidi w:val="0"/>
              <w:jc w:val="center"/>
              <w:rPr>
                <w:rFonts w:ascii="Times New Roman" w:hAnsi="Times New Roman" w:cs="Times New Roman"/>
                <w:bCs/>
              </w:rPr>
            </w:pPr>
            <w:r w:rsidRPr="00D50D44">
              <w:rPr>
                <w:rFonts w:ascii="Times New Roman" w:hAnsi="Times New Roman" w:cs="Times New Roman"/>
                <w:bCs/>
              </w:rPr>
              <w:t>100,01%</w:t>
            </w:r>
          </w:p>
        </w:tc>
      </w:tr>
      <w:tr>
        <w:tblPrEx>
          <w:tblW w:w="5049" w:type="pct"/>
          <w:tblCellMar>
            <w:left w:w="70" w:type="dxa"/>
            <w:right w:w="70" w:type="dxa"/>
          </w:tblCellMar>
        </w:tblPrEx>
        <w:trPr>
          <w:trHeight w:val="20"/>
        </w:trPr>
        <w:tc>
          <w:tcPr>
            <w:tcW w:w="1992" w:type="pct"/>
            <w:tcBorders>
              <w:top w:val="nil"/>
              <w:left w:val="single" w:sz="4" w:space="0" w:color="auto"/>
              <w:bottom w:val="single" w:sz="4" w:space="0" w:color="auto"/>
              <w:right w:val="single" w:sz="4" w:space="0" w:color="auto"/>
            </w:tcBorders>
            <w:noWrap/>
            <w:textDirection w:val="lrTb"/>
            <w:vAlign w:val="bottom"/>
          </w:tcPr>
          <w:p w:rsidR="00F17675" w:rsidRPr="00D50D44" w:rsidP="00D303EF">
            <w:pPr>
              <w:bidi w:val="0"/>
              <w:rPr>
                <w:rFonts w:ascii="Times New Roman" w:hAnsi="Times New Roman" w:cs="Times New Roman"/>
                <w:bCs/>
              </w:rPr>
            </w:pPr>
            <w:r w:rsidRPr="00D50D44">
              <w:rPr>
                <w:rFonts w:ascii="Times New Roman" w:hAnsi="Times New Roman" w:cs="Times New Roman"/>
                <w:bCs/>
              </w:rPr>
              <w:t>Regionálny OP</w:t>
            </w:r>
          </w:p>
        </w:tc>
        <w:tc>
          <w:tcPr>
            <w:tcW w:w="978" w:type="pct"/>
            <w:tcBorders>
              <w:top w:val="single" w:sz="4" w:space="0" w:color="auto"/>
              <w:left w:val="single" w:sz="4" w:space="0" w:color="auto"/>
              <w:bottom w:val="single" w:sz="4" w:space="0" w:color="auto"/>
              <w:right w:val="single" w:sz="4" w:space="0" w:color="auto"/>
            </w:tcBorders>
            <w:textDirection w:val="lrTb"/>
            <w:vAlign w:val="center"/>
          </w:tcPr>
          <w:p w:rsidR="00F17675" w:rsidRPr="00D50D44" w:rsidP="00D303EF">
            <w:pPr>
              <w:bidi w:val="0"/>
              <w:jc w:val="right"/>
              <w:rPr>
                <w:rFonts w:ascii="Times New Roman" w:hAnsi="Times New Roman" w:cs="Times New Roman"/>
                <w:bCs/>
              </w:rPr>
            </w:pPr>
            <w:r w:rsidRPr="00D50D44">
              <w:rPr>
                <w:rFonts w:ascii="Times New Roman" w:hAnsi="Times New Roman" w:cs="Times New Roman"/>
                <w:bCs/>
              </w:rPr>
              <w:t>1 554 503 927</w:t>
            </w:r>
          </w:p>
        </w:tc>
        <w:tc>
          <w:tcPr>
            <w:tcW w:w="1053" w:type="pct"/>
            <w:tcBorders>
              <w:top w:val="single" w:sz="4" w:space="0" w:color="auto"/>
              <w:left w:val="single" w:sz="4" w:space="0" w:color="auto"/>
              <w:bottom w:val="single" w:sz="4" w:space="0" w:color="auto"/>
              <w:right w:val="single" w:sz="4" w:space="0" w:color="auto"/>
            </w:tcBorders>
            <w:noWrap/>
            <w:textDirection w:val="lrTb"/>
            <w:vAlign w:val="bottom"/>
          </w:tcPr>
          <w:p w:rsidR="00F17675" w:rsidRPr="00D50D44" w:rsidP="00D303EF">
            <w:pPr>
              <w:bidi w:val="0"/>
              <w:jc w:val="right"/>
              <w:rPr>
                <w:rFonts w:ascii="Times New Roman" w:hAnsi="Times New Roman" w:cs="Times New Roman"/>
                <w:bCs/>
                <w:color w:val="000000"/>
              </w:rPr>
            </w:pPr>
            <w:r w:rsidRPr="00D50D44">
              <w:rPr>
                <w:rFonts w:ascii="Times New Roman" w:hAnsi="Times New Roman" w:cs="Times New Roman"/>
                <w:bCs/>
                <w:color w:val="000000"/>
              </w:rPr>
              <w:t>1 555 267 999</w:t>
            </w:r>
          </w:p>
        </w:tc>
        <w:tc>
          <w:tcPr>
            <w:tcW w:w="977" w:type="pct"/>
            <w:tcBorders>
              <w:top w:val="single" w:sz="4" w:space="0" w:color="auto"/>
              <w:left w:val="nil"/>
              <w:bottom w:val="single" w:sz="4" w:space="0" w:color="auto"/>
              <w:right w:val="single" w:sz="4" w:space="0" w:color="auto"/>
            </w:tcBorders>
            <w:textDirection w:val="lrTb"/>
            <w:vAlign w:val="center"/>
          </w:tcPr>
          <w:p w:rsidR="00F17675" w:rsidRPr="00D50D44" w:rsidP="00D303EF">
            <w:pPr>
              <w:bidi w:val="0"/>
              <w:jc w:val="center"/>
              <w:rPr>
                <w:rFonts w:ascii="Times New Roman" w:hAnsi="Times New Roman" w:cs="Times New Roman"/>
                <w:bCs/>
              </w:rPr>
            </w:pPr>
            <w:r w:rsidRPr="00D50D44">
              <w:rPr>
                <w:rFonts w:ascii="Times New Roman" w:hAnsi="Times New Roman" w:cs="Times New Roman"/>
                <w:bCs/>
              </w:rPr>
              <w:t>100,05%</w:t>
            </w:r>
          </w:p>
        </w:tc>
      </w:tr>
      <w:tr>
        <w:tblPrEx>
          <w:tblW w:w="5049" w:type="pct"/>
          <w:tblCellMar>
            <w:left w:w="70" w:type="dxa"/>
            <w:right w:w="70" w:type="dxa"/>
          </w:tblCellMar>
        </w:tblPrEx>
        <w:trPr>
          <w:trHeight w:val="20"/>
        </w:trPr>
        <w:tc>
          <w:tcPr>
            <w:tcW w:w="1992" w:type="pct"/>
            <w:tcBorders>
              <w:top w:val="nil"/>
              <w:left w:val="single" w:sz="4" w:space="0" w:color="auto"/>
              <w:bottom w:val="single" w:sz="4" w:space="0" w:color="auto"/>
              <w:right w:val="single" w:sz="4" w:space="0" w:color="auto"/>
            </w:tcBorders>
            <w:noWrap/>
            <w:textDirection w:val="lrTb"/>
            <w:vAlign w:val="bottom"/>
          </w:tcPr>
          <w:p w:rsidR="00F17675" w:rsidRPr="00D50D44" w:rsidP="00D303EF">
            <w:pPr>
              <w:bidi w:val="0"/>
              <w:rPr>
                <w:rFonts w:ascii="Times New Roman" w:hAnsi="Times New Roman" w:cs="Times New Roman"/>
                <w:bCs/>
              </w:rPr>
            </w:pPr>
            <w:r w:rsidRPr="00D50D44">
              <w:rPr>
                <w:rFonts w:ascii="Times New Roman" w:hAnsi="Times New Roman" w:cs="Times New Roman"/>
                <w:bCs/>
              </w:rPr>
              <w:t>OP Doprava</w:t>
            </w:r>
          </w:p>
        </w:tc>
        <w:tc>
          <w:tcPr>
            <w:tcW w:w="978" w:type="pct"/>
            <w:tcBorders>
              <w:top w:val="single" w:sz="4" w:space="0" w:color="auto"/>
              <w:left w:val="single" w:sz="4" w:space="0" w:color="auto"/>
              <w:bottom w:val="single" w:sz="4" w:space="0" w:color="auto"/>
              <w:right w:val="single" w:sz="4" w:space="0" w:color="auto"/>
            </w:tcBorders>
            <w:textDirection w:val="lrTb"/>
            <w:vAlign w:val="center"/>
          </w:tcPr>
          <w:p w:rsidR="00F17675" w:rsidRPr="00D50D44" w:rsidP="00D303EF">
            <w:pPr>
              <w:bidi w:val="0"/>
              <w:jc w:val="right"/>
              <w:rPr>
                <w:rFonts w:ascii="Times New Roman" w:hAnsi="Times New Roman" w:cs="Times New Roman"/>
                <w:bCs/>
              </w:rPr>
            </w:pPr>
            <w:r w:rsidRPr="00D50D44">
              <w:rPr>
                <w:rFonts w:ascii="Times New Roman" w:hAnsi="Times New Roman" w:cs="Times New Roman"/>
                <w:bCs/>
              </w:rPr>
              <w:t>3 160 154 595</w:t>
            </w:r>
          </w:p>
        </w:tc>
        <w:tc>
          <w:tcPr>
            <w:tcW w:w="1053" w:type="pct"/>
            <w:tcBorders>
              <w:top w:val="single" w:sz="4" w:space="0" w:color="auto"/>
              <w:left w:val="single" w:sz="4" w:space="0" w:color="auto"/>
              <w:bottom w:val="single" w:sz="4" w:space="0" w:color="auto"/>
              <w:right w:val="single" w:sz="4" w:space="0" w:color="auto"/>
            </w:tcBorders>
            <w:noWrap/>
            <w:textDirection w:val="lrTb"/>
            <w:vAlign w:val="bottom"/>
          </w:tcPr>
          <w:p w:rsidR="00F17675" w:rsidRPr="00D50D44" w:rsidP="00D303EF">
            <w:pPr>
              <w:bidi w:val="0"/>
              <w:jc w:val="right"/>
              <w:rPr>
                <w:rFonts w:ascii="Times New Roman" w:hAnsi="Times New Roman" w:cs="Times New Roman"/>
                <w:bCs/>
                <w:color w:val="000000"/>
              </w:rPr>
            </w:pPr>
            <w:r w:rsidRPr="00D50D44">
              <w:rPr>
                <w:rFonts w:ascii="Times New Roman" w:hAnsi="Times New Roman" w:cs="Times New Roman"/>
                <w:bCs/>
                <w:color w:val="000000"/>
              </w:rPr>
              <w:t>3 605 908 676</w:t>
            </w:r>
          </w:p>
        </w:tc>
        <w:tc>
          <w:tcPr>
            <w:tcW w:w="977" w:type="pct"/>
            <w:tcBorders>
              <w:top w:val="single" w:sz="4" w:space="0" w:color="auto"/>
              <w:left w:val="nil"/>
              <w:bottom w:val="single" w:sz="4" w:space="0" w:color="auto"/>
              <w:right w:val="single" w:sz="4" w:space="0" w:color="auto"/>
            </w:tcBorders>
            <w:textDirection w:val="lrTb"/>
            <w:vAlign w:val="center"/>
          </w:tcPr>
          <w:p w:rsidR="00F17675" w:rsidRPr="00D50D44" w:rsidP="00D303EF">
            <w:pPr>
              <w:bidi w:val="0"/>
              <w:jc w:val="center"/>
              <w:rPr>
                <w:rFonts w:ascii="Times New Roman" w:hAnsi="Times New Roman" w:cs="Times New Roman"/>
                <w:bCs/>
              </w:rPr>
            </w:pPr>
            <w:r w:rsidRPr="00D50D44">
              <w:rPr>
                <w:rFonts w:ascii="Times New Roman" w:hAnsi="Times New Roman" w:cs="Times New Roman"/>
                <w:bCs/>
              </w:rPr>
              <w:t>114,11%</w:t>
            </w:r>
          </w:p>
        </w:tc>
      </w:tr>
      <w:tr>
        <w:tblPrEx>
          <w:tblW w:w="5049" w:type="pct"/>
          <w:tblCellMar>
            <w:left w:w="70" w:type="dxa"/>
            <w:right w:w="70" w:type="dxa"/>
          </w:tblCellMar>
        </w:tblPrEx>
        <w:trPr>
          <w:trHeight w:val="20"/>
        </w:trPr>
        <w:tc>
          <w:tcPr>
            <w:tcW w:w="1992" w:type="pct"/>
            <w:tcBorders>
              <w:top w:val="nil"/>
              <w:left w:val="single" w:sz="4" w:space="0" w:color="auto"/>
              <w:bottom w:val="single" w:sz="4" w:space="0" w:color="auto"/>
              <w:right w:val="single" w:sz="4" w:space="0" w:color="auto"/>
            </w:tcBorders>
            <w:noWrap/>
            <w:textDirection w:val="lrTb"/>
            <w:vAlign w:val="bottom"/>
          </w:tcPr>
          <w:p w:rsidR="00F17675" w:rsidRPr="00D50D44" w:rsidP="00D303EF">
            <w:pPr>
              <w:bidi w:val="0"/>
              <w:rPr>
                <w:rFonts w:ascii="Times New Roman" w:hAnsi="Times New Roman" w:cs="Times New Roman"/>
                <w:bCs/>
              </w:rPr>
            </w:pPr>
            <w:r w:rsidRPr="00D50D44">
              <w:rPr>
                <w:rFonts w:ascii="Times New Roman" w:hAnsi="Times New Roman" w:cs="Times New Roman"/>
                <w:bCs/>
              </w:rPr>
              <w:t>OP Zdravotníctvo</w:t>
            </w:r>
          </w:p>
        </w:tc>
        <w:tc>
          <w:tcPr>
            <w:tcW w:w="978" w:type="pct"/>
            <w:tcBorders>
              <w:top w:val="single" w:sz="4" w:space="0" w:color="auto"/>
              <w:left w:val="single" w:sz="4" w:space="0" w:color="auto"/>
              <w:bottom w:val="single" w:sz="4" w:space="0" w:color="auto"/>
              <w:right w:val="single" w:sz="4" w:space="0" w:color="auto"/>
            </w:tcBorders>
            <w:textDirection w:val="lrTb"/>
            <w:vAlign w:val="center"/>
          </w:tcPr>
          <w:p w:rsidR="00F17675" w:rsidRPr="00D50D44" w:rsidP="00D303EF">
            <w:pPr>
              <w:bidi w:val="0"/>
              <w:jc w:val="right"/>
              <w:rPr>
                <w:rFonts w:ascii="Times New Roman" w:hAnsi="Times New Roman" w:cs="Times New Roman"/>
                <w:bCs/>
              </w:rPr>
            </w:pPr>
            <w:r w:rsidRPr="00D50D44">
              <w:rPr>
                <w:rFonts w:ascii="Times New Roman" w:hAnsi="Times New Roman" w:cs="Times New Roman"/>
                <w:bCs/>
              </w:rPr>
              <w:t>250 000 000</w:t>
            </w:r>
          </w:p>
        </w:tc>
        <w:tc>
          <w:tcPr>
            <w:tcW w:w="1053" w:type="pct"/>
            <w:tcBorders>
              <w:top w:val="single" w:sz="4" w:space="0" w:color="auto"/>
              <w:left w:val="single" w:sz="4" w:space="0" w:color="auto"/>
              <w:bottom w:val="single" w:sz="4" w:space="0" w:color="auto"/>
              <w:right w:val="single" w:sz="4" w:space="0" w:color="auto"/>
            </w:tcBorders>
            <w:noWrap/>
            <w:textDirection w:val="lrTb"/>
            <w:vAlign w:val="bottom"/>
          </w:tcPr>
          <w:p w:rsidR="00F17675" w:rsidRPr="00D50D44" w:rsidP="00D303EF">
            <w:pPr>
              <w:bidi w:val="0"/>
              <w:jc w:val="right"/>
              <w:rPr>
                <w:rFonts w:ascii="Times New Roman" w:hAnsi="Times New Roman" w:cs="Times New Roman"/>
                <w:bCs/>
                <w:color w:val="000000"/>
              </w:rPr>
            </w:pPr>
            <w:r w:rsidRPr="00D50D44">
              <w:rPr>
                <w:rFonts w:ascii="Times New Roman" w:hAnsi="Times New Roman" w:cs="Times New Roman"/>
                <w:bCs/>
                <w:color w:val="000000"/>
              </w:rPr>
              <w:t>250 621 125</w:t>
            </w:r>
          </w:p>
        </w:tc>
        <w:tc>
          <w:tcPr>
            <w:tcW w:w="977" w:type="pct"/>
            <w:tcBorders>
              <w:top w:val="single" w:sz="4" w:space="0" w:color="auto"/>
              <w:left w:val="nil"/>
              <w:bottom w:val="single" w:sz="4" w:space="0" w:color="auto"/>
              <w:right w:val="single" w:sz="4" w:space="0" w:color="auto"/>
            </w:tcBorders>
            <w:textDirection w:val="lrTb"/>
            <w:vAlign w:val="center"/>
          </w:tcPr>
          <w:p w:rsidR="00F17675" w:rsidRPr="00D50D44" w:rsidP="00D303EF">
            <w:pPr>
              <w:bidi w:val="0"/>
              <w:jc w:val="center"/>
              <w:rPr>
                <w:rFonts w:ascii="Times New Roman" w:hAnsi="Times New Roman" w:cs="Times New Roman"/>
                <w:bCs/>
              </w:rPr>
            </w:pPr>
            <w:r w:rsidRPr="00D50D44">
              <w:rPr>
                <w:rFonts w:ascii="Times New Roman" w:hAnsi="Times New Roman" w:cs="Times New Roman"/>
                <w:bCs/>
              </w:rPr>
              <w:t>100,25%</w:t>
            </w:r>
          </w:p>
        </w:tc>
      </w:tr>
      <w:tr>
        <w:tblPrEx>
          <w:tblW w:w="5049" w:type="pct"/>
          <w:tblCellMar>
            <w:left w:w="70" w:type="dxa"/>
            <w:right w:w="70" w:type="dxa"/>
          </w:tblCellMar>
        </w:tblPrEx>
        <w:trPr>
          <w:trHeight w:val="20"/>
        </w:trPr>
        <w:tc>
          <w:tcPr>
            <w:tcW w:w="1992" w:type="pct"/>
            <w:tcBorders>
              <w:top w:val="nil"/>
              <w:left w:val="single" w:sz="4" w:space="0" w:color="auto"/>
              <w:bottom w:val="single" w:sz="4" w:space="0" w:color="auto"/>
              <w:right w:val="single" w:sz="4" w:space="0" w:color="auto"/>
            </w:tcBorders>
            <w:noWrap/>
            <w:textDirection w:val="lrTb"/>
            <w:vAlign w:val="bottom"/>
          </w:tcPr>
          <w:p w:rsidR="00F17675" w:rsidRPr="00D50D44" w:rsidP="00D303EF">
            <w:pPr>
              <w:bidi w:val="0"/>
              <w:rPr>
                <w:rFonts w:ascii="Times New Roman" w:hAnsi="Times New Roman" w:cs="Times New Roman"/>
                <w:bCs/>
              </w:rPr>
            </w:pPr>
            <w:r w:rsidRPr="00D50D44">
              <w:rPr>
                <w:rFonts w:ascii="Times New Roman" w:hAnsi="Times New Roman" w:cs="Times New Roman"/>
                <w:bCs/>
              </w:rPr>
              <w:t>OP Konkurenc. a hosp. rast</w:t>
            </w:r>
          </w:p>
        </w:tc>
        <w:tc>
          <w:tcPr>
            <w:tcW w:w="978" w:type="pct"/>
            <w:tcBorders>
              <w:top w:val="single" w:sz="4" w:space="0" w:color="auto"/>
              <w:left w:val="single" w:sz="4" w:space="0" w:color="auto"/>
              <w:bottom w:val="single" w:sz="4" w:space="0" w:color="auto"/>
              <w:right w:val="single" w:sz="4" w:space="0" w:color="auto"/>
            </w:tcBorders>
            <w:textDirection w:val="lrTb"/>
            <w:vAlign w:val="center"/>
          </w:tcPr>
          <w:p w:rsidR="00F17675" w:rsidRPr="00D50D44" w:rsidP="00D303EF">
            <w:pPr>
              <w:bidi w:val="0"/>
              <w:jc w:val="right"/>
              <w:rPr>
                <w:rFonts w:ascii="Times New Roman" w:hAnsi="Times New Roman" w:cs="Times New Roman"/>
                <w:bCs/>
              </w:rPr>
            </w:pPr>
            <w:r w:rsidRPr="00D50D44">
              <w:rPr>
                <w:rFonts w:ascii="Times New Roman" w:hAnsi="Times New Roman" w:cs="Times New Roman"/>
                <w:bCs/>
              </w:rPr>
              <w:t>968 250 000</w:t>
            </w:r>
          </w:p>
        </w:tc>
        <w:tc>
          <w:tcPr>
            <w:tcW w:w="1053" w:type="pct"/>
            <w:tcBorders>
              <w:top w:val="single" w:sz="4" w:space="0" w:color="auto"/>
              <w:left w:val="single" w:sz="4" w:space="0" w:color="auto"/>
              <w:bottom w:val="single" w:sz="4" w:space="0" w:color="auto"/>
              <w:right w:val="single" w:sz="4" w:space="0" w:color="auto"/>
            </w:tcBorders>
            <w:noWrap/>
            <w:textDirection w:val="lrTb"/>
            <w:vAlign w:val="bottom"/>
          </w:tcPr>
          <w:p w:rsidR="00F17675" w:rsidRPr="00D50D44" w:rsidP="00D303EF">
            <w:pPr>
              <w:bidi w:val="0"/>
              <w:jc w:val="right"/>
              <w:rPr>
                <w:rFonts w:ascii="Times New Roman" w:hAnsi="Times New Roman" w:cs="Times New Roman"/>
                <w:bCs/>
                <w:color w:val="000000"/>
              </w:rPr>
            </w:pPr>
            <w:r w:rsidRPr="00D50D44">
              <w:rPr>
                <w:rFonts w:ascii="Times New Roman" w:hAnsi="Times New Roman" w:cs="Times New Roman"/>
                <w:bCs/>
                <w:color w:val="000000"/>
              </w:rPr>
              <w:t>940 437 966</w:t>
            </w:r>
          </w:p>
        </w:tc>
        <w:tc>
          <w:tcPr>
            <w:tcW w:w="977" w:type="pct"/>
            <w:tcBorders>
              <w:top w:val="single" w:sz="4" w:space="0" w:color="auto"/>
              <w:left w:val="nil"/>
              <w:bottom w:val="single" w:sz="4" w:space="0" w:color="auto"/>
              <w:right w:val="single" w:sz="4" w:space="0" w:color="auto"/>
            </w:tcBorders>
            <w:textDirection w:val="lrTb"/>
            <w:vAlign w:val="center"/>
          </w:tcPr>
          <w:p w:rsidR="00F17675" w:rsidRPr="00D50D44" w:rsidP="00D303EF">
            <w:pPr>
              <w:bidi w:val="0"/>
              <w:jc w:val="center"/>
              <w:rPr>
                <w:rFonts w:ascii="Times New Roman" w:hAnsi="Times New Roman" w:cs="Times New Roman"/>
                <w:bCs/>
              </w:rPr>
            </w:pPr>
            <w:r w:rsidRPr="00D50D44">
              <w:rPr>
                <w:rFonts w:ascii="Times New Roman" w:hAnsi="Times New Roman" w:cs="Times New Roman"/>
                <w:bCs/>
              </w:rPr>
              <w:t>97,13%</w:t>
            </w:r>
          </w:p>
        </w:tc>
      </w:tr>
      <w:tr>
        <w:tblPrEx>
          <w:tblW w:w="5049" w:type="pct"/>
          <w:tblCellMar>
            <w:left w:w="70" w:type="dxa"/>
            <w:right w:w="70" w:type="dxa"/>
          </w:tblCellMar>
        </w:tblPrEx>
        <w:trPr>
          <w:trHeight w:val="20"/>
        </w:trPr>
        <w:tc>
          <w:tcPr>
            <w:tcW w:w="1992" w:type="pct"/>
            <w:tcBorders>
              <w:top w:val="nil"/>
              <w:left w:val="single" w:sz="4" w:space="0" w:color="auto"/>
              <w:bottom w:val="single" w:sz="4" w:space="0" w:color="auto"/>
              <w:right w:val="single" w:sz="4" w:space="0" w:color="auto"/>
            </w:tcBorders>
            <w:noWrap/>
            <w:textDirection w:val="lrTb"/>
            <w:vAlign w:val="bottom"/>
          </w:tcPr>
          <w:p w:rsidR="00F17675" w:rsidRPr="00D50D44" w:rsidP="00D303EF">
            <w:pPr>
              <w:bidi w:val="0"/>
              <w:rPr>
                <w:rFonts w:ascii="Times New Roman" w:hAnsi="Times New Roman" w:cs="Times New Roman"/>
                <w:bCs/>
              </w:rPr>
            </w:pPr>
            <w:r w:rsidRPr="00D50D44">
              <w:rPr>
                <w:rFonts w:ascii="Times New Roman" w:hAnsi="Times New Roman" w:cs="Times New Roman"/>
                <w:bCs/>
              </w:rPr>
              <w:t>OP Technická pomoc</w:t>
            </w:r>
          </w:p>
        </w:tc>
        <w:tc>
          <w:tcPr>
            <w:tcW w:w="978" w:type="pct"/>
            <w:tcBorders>
              <w:top w:val="single" w:sz="4" w:space="0" w:color="auto"/>
              <w:left w:val="single" w:sz="4" w:space="0" w:color="auto"/>
              <w:bottom w:val="single" w:sz="4" w:space="0" w:color="auto"/>
              <w:right w:val="single" w:sz="4" w:space="0" w:color="auto"/>
            </w:tcBorders>
            <w:textDirection w:val="lrTb"/>
            <w:vAlign w:val="center"/>
          </w:tcPr>
          <w:p w:rsidR="00F17675" w:rsidRPr="00D50D44" w:rsidP="00D303EF">
            <w:pPr>
              <w:bidi w:val="0"/>
              <w:jc w:val="right"/>
              <w:rPr>
                <w:rFonts w:ascii="Times New Roman" w:hAnsi="Times New Roman" w:cs="Times New Roman"/>
                <w:bCs/>
              </w:rPr>
            </w:pPr>
            <w:r w:rsidRPr="00D50D44">
              <w:rPr>
                <w:rFonts w:ascii="Times New Roman" w:hAnsi="Times New Roman" w:cs="Times New Roman"/>
                <w:bCs/>
              </w:rPr>
              <w:t>97 601 421</w:t>
            </w:r>
          </w:p>
        </w:tc>
        <w:tc>
          <w:tcPr>
            <w:tcW w:w="1053" w:type="pct"/>
            <w:tcBorders>
              <w:top w:val="single" w:sz="4" w:space="0" w:color="auto"/>
              <w:left w:val="single" w:sz="4" w:space="0" w:color="auto"/>
              <w:bottom w:val="single" w:sz="4" w:space="0" w:color="auto"/>
              <w:right w:val="single" w:sz="4" w:space="0" w:color="auto"/>
            </w:tcBorders>
            <w:noWrap/>
            <w:textDirection w:val="lrTb"/>
            <w:vAlign w:val="bottom"/>
          </w:tcPr>
          <w:p w:rsidR="00F17675" w:rsidRPr="00D50D44" w:rsidP="00D303EF">
            <w:pPr>
              <w:bidi w:val="0"/>
              <w:jc w:val="right"/>
              <w:rPr>
                <w:rFonts w:ascii="Times New Roman" w:hAnsi="Times New Roman" w:cs="Times New Roman"/>
                <w:bCs/>
                <w:color w:val="000000"/>
              </w:rPr>
            </w:pPr>
            <w:r w:rsidRPr="00D50D44">
              <w:rPr>
                <w:rFonts w:ascii="Times New Roman" w:hAnsi="Times New Roman" w:cs="Times New Roman"/>
                <w:bCs/>
                <w:color w:val="000000"/>
              </w:rPr>
              <w:t>90 706 608</w:t>
            </w:r>
          </w:p>
        </w:tc>
        <w:tc>
          <w:tcPr>
            <w:tcW w:w="977" w:type="pct"/>
            <w:tcBorders>
              <w:top w:val="single" w:sz="4" w:space="0" w:color="auto"/>
              <w:left w:val="nil"/>
              <w:bottom w:val="single" w:sz="4" w:space="0" w:color="auto"/>
              <w:right w:val="single" w:sz="4" w:space="0" w:color="auto"/>
            </w:tcBorders>
            <w:textDirection w:val="lrTb"/>
            <w:vAlign w:val="center"/>
          </w:tcPr>
          <w:p w:rsidR="00F17675" w:rsidRPr="00D50D44" w:rsidP="00D303EF">
            <w:pPr>
              <w:bidi w:val="0"/>
              <w:jc w:val="center"/>
              <w:rPr>
                <w:rFonts w:ascii="Times New Roman" w:hAnsi="Times New Roman" w:cs="Times New Roman"/>
                <w:bCs/>
              </w:rPr>
            </w:pPr>
            <w:r w:rsidRPr="00D50D44">
              <w:rPr>
                <w:rFonts w:ascii="Times New Roman" w:hAnsi="Times New Roman" w:cs="Times New Roman"/>
                <w:bCs/>
              </w:rPr>
              <w:t>92,94%</w:t>
            </w:r>
          </w:p>
        </w:tc>
      </w:tr>
      <w:tr>
        <w:tblPrEx>
          <w:tblW w:w="5049" w:type="pct"/>
          <w:tblCellMar>
            <w:left w:w="70" w:type="dxa"/>
            <w:right w:w="70" w:type="dxa"/>
          </w:tblCellMar>
        </w:tblPrEx>
        <w:trPr>
          <w:trHeight w:val="20"/>
        </w:trPr>
        <w:tc>
          <w:tcPr>
            <w:tcW w:w="1992" w:type="pct"/>
            <w:tcBorders>
              <w:top w:val="nil"/>
              <w:left w:val="single" w:sz="4" w:space="0" w:color="auto"/>
              <w:bottom w:val="single" w:sz="4" w:space="0" w:color="auto"/>
              <w:right w:val="single" w:sz="4" w:space="0" w:color="auto"/>
            </w:tcBorders>
            <w:noWrap/>
            <w:textDirection w:val="lrTb"/>
            <w:vAlign w:val="bottom"/>
          </w:tcPr>
          <w:p w:rsidR="00F17675" w:rsidRPr="00D50D44" w:rsidP="00D303EF">
            <w:pPr>
              <w:bidi w:val="0"/>
              <w:rPr>
                <w:rFonts w:ascii="Times New Roman" w:hAnsi="Times New Roman" w:cs="Times New Roman"/>
                <w:bCs/>
              </w:rPr>
            </w:pPr>
            <w:r w:rsidRPr="00D50D44">
              <w:rPr>
                <w:rFonts w:ascii="Times New Roman" w:hAnsi="Times New Roman" w:cs="Times New Roman"/>
                <w:bCs/>
              </w:rPr>
              <w:t>OP Bratislavský kraj</w:t>
            </w:r>
          </w:p>
        </w:tc>
        <w:tc>
          <w:tcPr>
            <w:tcW w:w="978" w:type="pct"/>
            <w:tcBorders>
              <w:top w:val="single" w:sz="4" w:space="0" w:color="auto"/>
              <w:left w:val="single" w:sz="4" w:space="0" w:color="auto"/>
              <w:bottom w:val="single" w:sz="4" w:space="0" w:color="auto"/>
              <w:right w:val="single" w:sz="4" w:space="0" w:color="auto"/>
            </w:tcBorders>
            <w:textDirection w:val="lrTb"/>
            <w:vAlign w:val="center"/>
          </w:tcPr>
          <w:p w:rsidR="00F17675" w:rsidRPr="00D50D44" w:rsidP="00D303EF">
            <w:pPr>
              <w:bidi w:val="0"/>
              <w:jc w:val="right"/>
              <w:rPr>
                <w:rFonts w:ascii="Times New Roman" w:hAnsi="Times New Roman" w:cs="Times New Roman"/>
                <w:bCs/>
              </w:rPr>
            </w:pPr>
            <w:r w:rsidRPr="00D50D44">
              <w:rPr>
                <w:rFonts w:ascii="Times New Roman" w:hAnsi="Times New Roman" w:cs="Times New Roman"/>
                <w:bCs/>
              </w:rPr>
              <w:t>95 207 607</w:t>
            </w:r>
          </w:p>
        </w:tc>
        <w:tc>
          <w:tcPr>
            <w:tcW w:w="1053" w:type="pct"/>
            <w:tcBorders>
              <w:top w:val="single" w:sz="4" w:space="0" w:color="auto"/>
              <w:left w:val="single" w:sz="4" w:space="0" w:color="auto"/>
              <w:bottom w:val="single" w:sz="4" w:space="0" w:color="auto"/>
              <w:right w:val="single" w:sz="4" w:space="0" w:color="auto"/>
            </w:tcBorders>
            <w:noWrap/>
            <w:textDirection w:val="lrTb"/>
            <w:vAlign w:val="bottom"/>
          </w:tcPr>
          <w:p w:rsidR="00F17675" w:rsidRPr="00D50D44" w:rsidP="00D303EF">
            <w:pPr>
              <w:bidi w:val="0"/>
              <w:jc w:val="right"/>
              <w:rPr>
                <w:rFonts w:ascii="Times New Roman" w:hAnsi="Times New Roman" w:cs="Times New Roman"/>
                <w:bCs/>
                <w:color w:val="000000"/>
              </w:rPr>
            </w:pPr>
            <w:r w:rsidRPr="00D50D44">
              <w:rPr>
                <w:rFonts w:ascii="Times New Roman" w:hAnsi="Times New Roman" w:cs="Times New Roman"/>
                <w:bCs/>
                <w:color w:val="000000"/>
              </w:rPr>
              <w:t>105 243 385</w:t>
            </w:r>
          </w:p>
        </w:tc>
        <w:tc>
          <w:tcPr>
            <w:tcW w:w="977" w:type="pct"/>
            <w:tcBorders>
              <w:top w:val="single" w:sz="4" w:space="0" w:color="auto"/>
              <w:left w:val="nil"/>
              <w:bottom w:val="single" w:sz="4" w:space="0" w:color="auto"/>
              <w:right w:val="single" w:sz="4" w:space="0" w:color="auto"/>
            </w:tcBorders>
            <w:textDirection w:val="lrTb"/>
            <w:vAlign w:val="center"/>
          </w:tcPr>
          <w:p w:rsidR="00F17675" w:rsidRPr="00D50D44" w:rsidP="00D303EF">
            <w:pPr>
              <w:bidi w:val="0"/>
              <w:jc w:val="center"/>
              <w:rPr>
                <w:rFonts w:ascii="Times New Roman" w:hAnsi="Times New Roman" w:cs="Times New Roman"/>
                <w:bCs/>
              </w:rPr>
            </w:pPr>
            <w:r w:rsidRPr="00D50D44">
              <w:rPr>
                <w:rFonts w:ascii="Times New Roman" w:hAnsi="Times New Roman" w:cs="Times New Roman"/>
                <w:bCs/>
              </w:rPr>
              <w:t>110,54%</w:t>
            </w:r>
          </w:p>
        </w:tc>
      </w:tr>
      <w:tr>
        <w:tblPrEx>
          <w:tblW w:w="5049" w:type="pct"/>
          <w:tblCellMar>
            <w:left w:w="70" w:type="dxa"/>
            <w:right w:w="70" w:type="dxa"/>
          </w:tblCellMar>
        </w:tblPrEx>
        <w:trPr>
          <w:trHeight w:val="20"/>
        </w:trPr>
        <w:tc>
          <w:tcPr>
            <w:tcW w:w="1992" w:type="pct"/>
            <w:tcBorders>
              <w:top w:val="nil"/>
              <w:left w:val="single" w:sz="4" w:space="0" w:color="auto"/>
              <w:bottom w:val="single" w:sz="4" w:space="0" w:color="auto"/>
              <w:right w:val="single" w:sz="4" w:space="0" w:color="auto"/>
            </w:tcBorders>
            <w:noWrap/>
            <w:textDirection w:val="lrTb"/>
            <w:vAlign w:val="bottom"/>
          </w:tcPr>
          <w:p w:rsidR="00F17675" w:rsidRPr="00D50D44" w:rsidP="00D303EF">
            <w:pPr>
              <w:bidi w:val="0"/>
              <w:rPr>
                <w:rFonts w:ascii="Times New Roman" w:hAnsi="Times New Roman" w:cs="Times New Roman"/>
                <w:bCs/>
              </w:rPr>
            </w:pPr>
            <w:r w:rsidRPr="00D50D44">
              <w:rPr>
                <w:rFonts w:ascii="Times New Roman" w:hAnsi="Times New Roman" w:cs="Times New Roman"/>
                <w:bCs/>
              </w:rPr>
              <w:t>OP Výskum a vývoj</w:t>
            </w:r>
          </w:p>
        </w:tc>
        <w:tc>
          <w:tcPr>
            <w:tcW w:w="978" w:type="pct"/>
            <w:tcBorders>
              <w:top w:val="single" w:sz="4" w:space="0" w:color="auto"/>
              <w:left w:val="single" w:sz="4" w:space="0" w:color="auto"/>
              <w:bottom w:val="single" w:sz="4" w:space="0" w:color="auto"/>
              <w:right w:val="single" w:sz="4" w:space="0" w:color="auto"/>
            </w:tcBorders>
            <w:textDirection w:val="lrTb"/>
            <w:vAlign w:val="center"/>
          </w:tcPr>
          <w:p w:rsidR="00F17675" w:rsidRPr="00D50D44" w:rsidP="00D303EF">
            <w:pPr>
              <w:bidi w:val="0"/>
              <w:jc w:val="right"/>
              <w:rPr>
                <w:rFonts w:ascii="Times New Roman" w:hAnsi="Times New Roman" w:cs="Times New Roman"/>
                <w:bCs/>
              </w:rPr>
            </w:pPr>
            <w:r w:rsidRPr="00D50D44">
              <w:rPr>
                <w:rFonts w:ascii="Times New Roman" w:hAnsi="Times New Roman" w:cs="Times New Roman"/>
                <w:bCs/>
              </w:rPr>
              <w:t>1 209 415 373</w:t>
            </w:r>
          </w:p>
        </w:tc>
        <w:tc>
          <w:tcPr>
            <w:tcW w:w="1053" w:type="pct"/>
            <w:tcBorders>
              <w:top w:val="single" w:sz="4" w:space="0" w:color="auto"/>
              <w:left w:val="single" w:sz="4" w:space="0" w:color="auto"/>
              <w:bottom w:val="single" w:sz="4" w:space="0" w:color="auto"/>
              <w:right w:val="single" w:sz="4" w:space="0" w:color="auto"/>
            </w:tcBorders>
            <w:noWrap/>
            <w:textDirection w:val="lrTb"/>
            <w:vAlign w:val="bottom"/>
          </w:tcPr>
          <w:p w:rsidR="00F17675" w:rsidRPr="00D50D44" w:rsidP="00D303EF">
            <w:pPr>
              <w:bidi w:val="0"/>
              <w:jc w:val="right"/>
              <w:rPr>
                <w:rFonts w:ascii="Times New Roman" w:hAnsi="Times New Roman" w:cs="Times New Roman"/>
                <w:bCs/>
                <w:color w:val="000000"/>
              </w:rPr>
            </w:pPr>
            <w:r w:rsidRPr="00D50D44">
              <w:rPr>
                <w:rFonts w:ascii="Times New Roman" w:hAnsi="Times New Roman" w:cs="Times New Roman"/>
                <w:bCs/>
                <w:color w:val="000000"/>
              </w:rPr>
              <w:t>1 342 528 459</w:t>
            </w:r>
          </w:p>
        </w:tc>
        <w:tc>
          <w:tcPr>
            <w:tcW w:w="977" w:type="pct"/>
            <w:tcBorders>
              <w:top w:val="single" w:sz="4" w:space="0" w:color="auto"/>
              <w:left w:val="nil"/>
              <w:bottom w:val="single" w:sz="4" w:space="0" w:color="auto"/>
              <w:right w:val="single" w:sz="4" w:space="0" w:color="auto"/>
            </w:tcBorders>
            <w:textDirection w:val="lrTb"/>
            <w:vAlign w:val="center"/>
          </w:tcPr>
          <w:p w:rsidR="00F17675" w:rsidRPr="00D50D44" w:rsidP="00D303EF">
            <w:pPr>
              <w:bidi w:val="0"/>
              <w:jc w:val="center"/>
              <w:rPr>
                <w:rFonts w:ascii="Times New Roman" w:hAnsi="Times New Roman" w:cs="Times New Roman"/>
                <w:bCs/>
              </w:rPr>
            </w:pPr>
            <w:r w:rsidRPr="00D50D44">
              <w:rPr>
                <w:rFonts w:ascii="Times New Roman" w:hAnsi="Times New Roman" w:cs="Times New Roman"/>
                <w:bCs/>
              </w:rPr>
              <w:t>111,01%</w:t>
            </w:r>
          </w:p>
        </w:tc>
      </w:tr>
      <w:tr>
        <w:tblPrEx>
          <w:tblW w:w="5049" w:type="pct"/>
          <w:tblCellMar>
            <w:left w:w="70" w:type="dxa"/>
            <w:right w:w="70" w:type="dxa"/>
          </w:tblCellMar>
        </w:tblPrEx>
        <w:trPr>
          <w:trHeight w:val="20"/>
        </w:trPr>
        <w:tc>
          <w:tcPr>
            <w:tcW w:w="1992" w:type="pct"/>
            <w:tcBorders>
              <w:top w:val="single" w:sz="4" w:space="0" w:color="auto"/>
              <w:left w:val="single" w:sz="4" w:space="0" w:color="auto"/>
              <w:bottom w:val="single" w:sz="4" w:space="0" w:color="auto"/>
              <w:right w:val="single" w:sz="4" w:space="0" w:color="auto"/>
            </w:tcBorders>
            <w:shd w:val="clear" w:color="auto" w:fill="C0C0C0"/>
            <w:noWrap/>
            <w:textDirection w:val="lrTb"/>
            <w:vAlign w:val="bottom"/>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SPOLU</w:t>
            </w:r>
          </w:p>
        </w:tc>
        <w:tc>
          <w:tcPr>
            <w:tcW w:w="978" w:type="pct"/>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F17675" w:rsidRPr="00D50D44" w:rsidP="00D303EF">
            <w:pPr>
              <w:bidi w:val="0"/>
              <w:jc w:val="right"/>
              <w:rPr>
                <w:rFonts w:ascii="Times New Roman" w:hAnsi="Times New Roman" w:cs="Times New Roman"/>
                <w:b/>
                <w:bCs/>
              </w:rPr>
            </w:pPr>
            <w:r w:rsidRPr="00D50D44">
              <w:rPr>
                <w:rFonts w:ascii="Times New Roman" w:hAnsi="Times New Roman" w:cs="Times New Roman"/>
                <w:b/>
                <w:bCs/>
              </w:rPr>
              <w:t>11 482 758 666</w:t>
            </w:r>
          </w:p>
        </w:tc>
        <w:tc>
          <w:tcPr>
            <w:tcW w:w="1053" w:type="pct"/>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F17675" w:rsidRPr="00D50D44" w:rsidP="00D303EF">
            <w:pPr>
              <w:bidi w:val="0"/>
              <w:jc w:val="right"/>
              <w:rPr>
                <w:rFonts w:ascii="Times New Roman" w:hAnsi="Times New Roman" w:cs="Times New Roman"/>
                <w:b/>
                <w:bCs/>
              </w:rPr>
            </w:pPr>
            <w:r w:rsidRPr="00D50D44">
              <w:rPr>
                <w:rFonts w:ascii="Times New Roman" w:hAnsi="Times New Roman" w:cs="Times New Roman"/>
                <w:b/>
                <w:bCs/>
              </w:rPr>
              <w:t>12 300 202 997</w:t>
            </w:r>
          </w:p>
        </w:tc>
        <w:tc>
          <w:tcPr>
            <w:tcW w:w="977" w:type="pct"/>
            <w:tcBorders>
              <w:top w:val="single" w:sz="4" w:space="0" w:color="auto"/>
              <w:left w:val="nil"/>
              <w:bottom w:val="single" w:sz="4" w:space="0" w:color="auto"/>
              <w:right w:val="single" w:sz="4" w:space="0" w:color="auto"/>
            </w:tcBorders>
            <w:shd w:val="clear" w:color="auto" w:fill="C0C0C0"/>
            <w:textDirection w:val="lrTb"/>
            <w:vAlign w:val="center"/>
          </w:tcPr>
          <w:p w:rsidR="00F17675" w:rsidRPr="00D50D44" w:rsidP="00D303EF">
            <w:pPr>
              <w:bidi w:val="0"/>
              <w:jc w:val="center"/>
              <w:rPr>
                <w:rFonts w:ascii="Times New Roman" w:hAnsi="Times New Roman" w:cs="Times New Roman"/>
                <w:b/>
                <w:bCs/>
              </w:rPr>
            </w:pPr>
            <w:r w:rsidRPr="00D50D44">
              <w:rPr>
                <w:rFonts w:ascii="Times New Roman" w:hAnsi="Times New Roman" w:cs="Times New Roman"/>
                <w:b/>
                <w:bCs/>
              </w:rPr>
              <w:t>107,12%</w:t>
            </w:r>
          </w:p>
        </w:tc>
      </w:tr>
    </w:tbl>
    <w:p w:rsidR="004437B2" w:rsidRPr="00D50D44" w:rsidP="00F17675">
      <w:pPr>
        <w:keepNext/>
        <w:bidi w:val="0"/>
        <w:spacing w:before="120" w:after="0"/>
        <w:jc w:val="both"/>
        <w:rPr>
          <w:rFonts w:ascii="Times New Roman" w:hAnsi="Times New Roman" w:cs="Times New Roman"/>
          <w:sz w:val="20"/>
        </w:rPr>
      </w:pPr>
      <w:r w:rsidRPr="00D50D44" w:rsidR="00F17675">
        <w:rPr>
          <w:rFonts w:ascii="Times New Roman" w:hAnsi="Times New Roman" w:cs="Times New Roman"/>
          <w:sz w:val="20"/>
        </w:rPr>
        <w:t xml:space="preserve">  </w:t>
      </w:r>
      <w:r w:rsidRPr="00D50D44">
        <w:rPr>
          <w:rFonts w:ascii="Times New Roman" w:hAnsi="Times New Roman" w:cs="Times New Roman"/>
          <w:sz w:val="20"/>
        </w:rPr>
        <w:t>Zdroj: ITMS</w:t>
      </w:r>
      <w:r w:rsidR="001D246C">
        <w:rPr>
          <w:rFonts w:ascii="Times New Roman" w:hAnsi="Times New Roman" w:cs="Times New Roman"/>
          <w:sz w:val="20"/>
        </w:rPr>
        <w:t xml:space="preserve"> IT</w:t>
      </w:r>
      <w:r w:rsidRPr="00D50D44">
        <w:rPr>
          <w:rFonts w:ascii="Times New Roman" w:hAnsi="Times New Roman" w:cs="Times New Roman"/>
          <w:sz w:val="20"/>
        </w:rPr>
        <w:t>, RO</w:t>
      </w:r>
    </w:p>
    <w:p w:rsidR="00BA1FAA" w:rsidRPr="00D50D44" w:rsidP="00D62C95">
      <w:pPr>
        <w:bidi w:val="0"/>
        <w:spacing w:before="120"/>
        <w:jc w:val="both"/>
        <w:rPr>
          <w:rFonts w:ascii="Times New Roman" w:hAnsi="Times New Roman" w:cs="Times New Roman"/>
          <w:szCs w:val="24"/>
        </w:rPr>
      </w:pPr>
    </w:p>
    <w:p w:rsidR="00BA1FAA" w:rsidRPr="00D50D44" w:rsidP="00D62C95">
      <w:pPr>
        <w:keepNext/>
        <w:bidi w:val="0"/>
        <w:spacing w:after="0"/>
        <w:jc w:val="both"/>
        <w:rPr>
          <w:rFonts w:ascii="Times New Roman" w:hAnsi="Times New Roman" w:cs="Times New Roman"/>
          <w:szCs w:val="24"/>
        </w:rPr>
      </w:pPr>
      <w:r w:rsidRPr="00D50D44">
        <w:rPr>
          <w:rFonts w:ascii="Times New Roman" w:hAnsi="Times New Roman" w:cs="Times New Roman"/>
          <w:szCs w:val="24"/>
        </w:rPr>
        <w:t>Graf č. 1: Čisté kontrahovanie ŠF a KF k 30</w:t>
      </w:r>
      <w:r w:rsidRPr="00D50D44" w:rsidR="001D028C">
        <w:rPr>
          <w:rFonts w:ascii="Times New Roman" w:hAnsi="Times New Roman" w:cs="Times New Roman"/>
          <w:szCs w:val="24"/>
        </w:rPr>
        <w:t>. 04. 2015 z alokácie 2007</w:t>
      </w:r>
      <w:r w:rsidR="00503FDB">
        <w:rPr>
          <w:rFonts w:ascii="Times New Roman" w:hAnsi="Times New Roman" w:cs="Times New Roman"/>
          <w:szCs w:val="24"/>
        </w:rPr>
        <w:t xml:space="preserve"> </w:t>
      </w:r>
      <w:r w:rsidRPr="00D50D44" w:rsidR="001D028C">
        <w:rPr>
          <w:rFonts w:ascii="Times New Roman" w:hAnsi="Times New Roman" w:cs="Times New Roman"/>
          <w:szCs w:val="24"/>
        </w:rPr>
        <w:t>–</w:t>
      </w:r>
      <w:r w:rsidR="00503FDB">
        <w:rPr>
          <w:rFonts w:ascii="Times New Roman" w:hAnsi="Times New Roman" w:cs="Times New Roman"/>
          <w:szCs w:val="24"/>
        </w:rPr>
        <w:t xml:space="preserve"> </w:t>
      </w:r>
      <w:r w:rsidRPr="00D50D44">
        <w:rPr>
          <w:rFonts w:ascii="Times New Roman" w:hAnsi="Times New Roman" w:cs="Times New Roman"/>
          <w:szCs w:val="24"/>
        </w:rPr>
        <w:t xml:space="preserve">2013 (EÚ zdroje) </w:t>
      </w:r>
    </w:p>
    <w:p w:rsidR="004437B2" w:rsidRPr="00D50D44" w:rsidP="009426BD">
      <w:pPr>
        <w:keepNext/>
        <w:bidi w:val="0"/>
        <w:jc w:val="both"/>
        <w:rPr>
          <w:rFonts w:ascii="Times New Roman" w:hAnsi="Times New Roman" w:cs="Times New Roman"/>
          <w:sz w:val="20"/>
          <w:szCs w:val="18"/>
        </w:rPr>
      </w:pPr>
      <w:r>
        <w:rPr>
          <w:rFonts w:ascii="Times New Roman" w:hAnsi="Times New Roman" w:cs="Times New Roman"/>
          <w:noProof/>
          <w:rtl w:val="0"/>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 3" o:spid="_x0000_i1025" type="#_x0000_t75" style="width:478.6pt;height:291.85pt;visibility:visible" stroked="f">
            <v:imagedata r:id="rId6" o:title=""/>
            <o:lock v:ext="edit" aspectratio="f"/>
          </v:shape>
        </w:pict>
      </w:r>
      <w:r w:rsidRPr="00D50D44" w:rsidR="00D62C95">
        <w:rPr>
          <w:rFonts w:ascii="Times New Roman" w:hAnsi="Times New Roman" w:cs="Times New Roman"/>
          <w:sz w:val="20"/>
          <w:szCs w:val="18"/>
        </w:rPr>
        <w:t>Z</w:t>
      </w:r>
      <w:r w:rsidRPr="00D50D44" w:rsidR="00945D8C">
        <w:rPr>
          <w:rFonts w:ascii="Times New Roman" w:hAnsi="Times New Roman" w:cs="Times New Roman"/>
          <w:sz w:val="20"/>
          <w:szCs w:val="18"/>
        </w:rPr>
        <w:t>droj: ITMS</w:t>
      </w:r>
      <w:r w:rsidR="001D246C">
        <w:rPr>
          <w:rFonts w:ascii="Times New Roman" w:hAnsi="Times New Roman" w:cs="Times New Roman"/>
          <w:sz w:val="20"/>
          <w:szCs w:val="18"/>
        </w:rPr>
        <w:t xml:space="preserve"> IT</w:t>
      </w:r>
      <w:r w:rsidRPr="00D50D44" w:rsidR="00945D8C">
        <w:rPr>
          <w:rFonts w:ascii="Times New Roman" w:hAnsi="Times New Roman" w:cs="Times New Roman"/>
          <w:sz w:val="20"/>
          <w:szCs w:val="18"/>
        </w:rPr>
        <w:t>, RO</w:t>
      </w:r>
    </w:p>
    <w:p w:rsidR="00D62C95" w:rsidRPr="00D50D44" w:rsidP="00D62C95">
      <w:pPr>
        <w:tabs>
          <w:tab w:val="left" w:pos="567"/>
        </w:tabs>
        <w:bidi w:val="0"/>
        <w:spacing w:after="0"/>
        <w:ind w:left="567" w:hanging="567"/>
        <w:rPr>
          <w:rFonts w:ascii="Times New Roman" w:hAnsi="Times New Roman" w:cs="Times New Roman"/>
          <w:sz w:val="20"/>
          <w:szCs w:val="18"/>
        </w:rPr>
      </w:pPr>
    </w:p>
    <w:p w:rsidR="001546EF" w:rsidRPr="00D50D44" w:rsidP="00D62C95">
      <w:pPr>
        <w:bidi w:val="0"/>
        <w:spacing w:after="0"/>
        <w:ind w:firstLine="709"/>
        <w:jc w:val="both"/>
        <w:rPr>
          <w:rFonts w:ascii="Times New Roman" w:hAnsi="Times New Roman" w:cs="Times New Roman"/>
        </w:rPr>
      </w:pPr>
      <w:r w:rsidRPr="00D50D44" w:rsidR="005F182A">
        <w:rPr>
          <w:rFonts w:ascii="Times New Roman" w:hAnsi="Times New Roman" w:cs="Times New Roman"/>
        </w:rPr>
        <w:t>Z uvedeného grafu v</w:t>
      </w:r>
      <w:r w:rsidRPr="00D50D44" w:rsidR="00945D8C">
        <w:rPr>
          <w:rFonts w:ascii="Times New Roman" w:hAnsi="Times New Roman" w:cs="Times New Roman"/>
        </w:rPr>
        <w:t xml:space="preserve">yplýva, že miera kontrahovania deviatich z jedenástich </w:t>
      </w:r>
      <w:r w:rsidRPr="00D50D44" w:rsidR="005F182A">
        <w:rPr>
          <w:rFonts w:ascii="Times New Roman" w:hAnsi="Times New Roman" w:cs="Times New Roman"/>
        </w:rPr>
        <w:t xml:space="preserve"> operačných programov je vyššia ako 100 %. Kontrahovanie na úrovni </w:t>
      </w:r>
      <w:r w:rsidRPr="00D50D44" w:rsidR="00945D8C">
        <w:rPr>
          <w:rFonts w:ascii="Times New Roman" w:hAnsi="Times New Roman" w:cs="Times New Roman"/>
        </w:rPr>
        <w:t xml:space="preserve">blížiacej sa 100 % je len v dvoch </w:t>
      </w:r>
      <w:r w:rsidRPr="00D50D44" w:rsidR="005F182A">
        <w:rPr>
          <w:rFonts w:ascii="Times New Roman" w:hAnsi="Times New Roman" w:cs="Times New Roman"/>
        </w:rPr>
        <w:t xml:space="preserve"> operačných programoch </w:t>
      </w:r>
      <w:r w:rsidR="00D41961">
        <w:rPr>
          <w:rFonts w:ascii="Times New Roman" w:hAnsi="Times New Roman" w:cs="Times New Roman"/>
        </w:rPr>
        <w:t xml:space="preserve"> </w:t>
      </w:r>
      <w:r w:rsidRPr="00D50D44" w:rsidR="005F182A">
        <w:rPr>
          <w:rFonts w:ascii="Times New Roman" w:hAnsi="Times New Roman" w:cs="Times New Roman"/>
        </w:rPr>
        <w:t>-  OP</w:t>
      </w:r>
      <w:r w:rsidRPr="00D50D44" w:rsidR="00FB7C7C">
        <w:rPr>
          <w:rFonts w:ascii="Times New Roman" w:hAnsi="Times New Roman" w:cs="Times New Roman"/>
        </w:rPr>
        <w:t> </w:t>
      </w:r>
      <w:r w:rsidRPr="00D50D44" w:rsidR="005F182A">
        <w:rPr>
          <w:rFonts w:ascii="Times New Roman" w:hAnsi="Times New Roman" w:cs="Times New Roman"/>
        </w:rPr>
        <w:t>Technická pomoc a</w:t>
      </w:r>
      <w:r w:rsidRPr="00D50D44" w:rsidR="00FB7C7C">
        <w:rPr>
          <w:rFonts w:ascii="Times New Roman" w:hAnsi="Times New Roman" w:cs="Times New Roman"/>
        </w:rPr>
        <w:t xml:space="preserve"> </w:t>
      </w:r>
      <w:r w:rsidRPr="00D50D44" w:rsidR="005F182A">
        <w:rPr>
          <w:rFonts w:ascii="Times New Roman" w:hAnsi="Times New Roman" w:cs="Times New Roman"/>
        </w:rPr>
        <w:t>OP Konkurencieschopnosť a hospodársky rast.</w:t>
      </w:r>
    </w:p>
    <w:p w:rsidR="005F182A" w:rsidRPr="00D50D44" w:rsidP="00D62C95">
      <w:pPr>
        <w:bidi w:val="0"/>
        <w:spacing w:after="0"/>
        <w:ind w:firstLine="709"/>
        <w:jc w:val="both"/>
        <w:rPr>
          <w:rFonts w:ascii="Times New Roman" w:hAnsi="Times New Roman" w:cs="Times New Roman"/>
        </w:rPr>
      </w:pPr>
      <w:r w:rsidRPr="00D50D44">
        <w:rPr>
          <w:rFonts w:ascii="Times New Roman" w:hAnsi="Times New Roman" w:cs="Times New Roman"/>
        </w:rPr>
        <w:t xml:space="preserve"> </w:t>
      </w:r>
    </w:p>
    <w:p w:rsidR="00604AC8" w:rsidRPr="00D50D44" w:rsidP="00D62C95">
      <w:pPr>
        <w:bidi w:val="0"/>
        <w:spacing w:after="0"/>
        <w:ind w:firstLine="709"/>
        <w:jc w:val="both"/>
        <w:rPr>
          <w:rFonts w:ascii="Times New Roman" w:hAnsi="Times New Roman" w:cs="Times New Roman"/>
        </w:rPr>
      </w:pPr>
      <w:r w:rsidRPr="00D50D44" w:rsidR="005F182A">
        <w:rPr>
          <w:rFonts w:ascii="Times New Roman" w:hAnsi="Times New Roman" w:cs="Times New Roman"/>
        </w:rPr>
        <w:t>Nadkontrahovanie je štandardným nástrojom na zabezpečenie vyčerpania celej alokácie príslušného operačného programu, ktorý využívajú aj ostatné členské štáty EÚ. Miera tzv.</w:t>
      </w:r>
      <w:r w:rsidRPr="00D50D44" w:rsidR="00F40A3C">
        <w:rPr>
          <w:rFonts w:ascii="Times New Roman" w:hAnsi="Times New Roman" w:cs="Times New Roman"/>
        </w:rPr>
        <w:t> </w:t>
      </w:r>
      <w:r w:rsidRPr="00D50D44" w:rsidR="00BA1FAA">
        <w:rPr>
          <w:rFonts w:ascii="Times New Roman" w:hAnsi="Times New Roman" w:cs="Times New Roman"/>
        </w:rPr>
        <w:t>nadko</w:t>
      </w:r>
      <w:r w:rsidRPr="00D50D44" w:rsidR="00945D8C">
        <w:rPr>
          <w:rFonts w:ascii="Times New Roman" w:hAnsi="Times New Roman" w:cs="Times New Roman"/>
        </w:rPr>
        <w:t>n</w:t>
      </w:r>
      <w:r w:rsidRPr="00D50D44" w:rsidR="00BA1FAA">
        <w:rPr>
          <w:rFonts w:ascii="Times New Roman" w:hAnsi="Times New Roman" w:cs="Times New Roman"/>
        </w:rPr>
        <w:t>trahovania</w:t>
      </w:r>
      <w:r w:rsidRPr="00D50D44" w:rsidR="005F182A">
        <w:rPr>
          <w:rFonts w:ascii="Times New Roman" w:hAnsi="Times New Roman" w:cs="Times New Roman"/>
        </w:rPr>
        <w:t xml:space="preserve"> </w:t>
      </w:r>
      <w:r w:rsidRPr="00D50D44" w:rsidR="00BA1FAA">
        <w:rPr>
          <w:rFonts w:ascii="Times New Roman" w:hAnsi="Times New Roman" w:cs="Times New Roman"/>
        </w:rPr>
        <w:t xml:space="preserve"> </w:t>
      </w:r>
      <w:r w:rsidRPr="00D50D44" w:rsidR="005F182A">
        <w:rPr>
          <w:rFonts w:ascii="Times New Roman" w:hAnsi="Times New Roman" w:cs="Times New Roman"/>
        </w:rPr>
        <w:t xml:space="preserve">sa líši v jednotlivých operačných programoch a táto podlieha istým úpravám v závislosti napríklad od reálnych úspor nákladov projektov dosiahnutých v procese VO. </w:t>
      </w:r>
      <w:r w:rsidRPr="00D50D44" w:rsidR="00BA1FAA">
        <w:rPr>
          <w:rFonts w:ascii="Times New Roman" w:hAnsi="Times New Roman" w:cs="Times New Roman"/>
        </w:rPr>
        <w:t xml:space="preserve">Taktiež nadkontrahovanie zohľadňuje </w:t>
      </w:r>
      <w:r w:rsidRPr="00D50D44" w:rsidR="005F182A">
        <w:rPr>
          <w:rFonts w:ascii="Times New Roman" w:hAnsi="Times New Roman" w:cs="Times New Roman"/>
        </w:rPr>
        <w:t xml:space="preserve">aj </w:t>
      </w:r>
      <w:r w:rsidRPr="00D50D44" w:rsidR="00BA1FAA">
        <w:rPr>
          <w:rFonts w:ascii="Times New Roman" w:hAnsi="Times New Roman" w:cs="Times New Roman"/>
        </w:rPr>
        <w:t xml:space="preserve">potrebu nahradenia korekcií novými projektmi. </w:t>
      </w:r>
    </w:p>
    <w:p w:rsidR="001546EF" w:rsidRPr="00D50D44" w:rsidP="00D62C95">
      <w:pPr>
        <w:bidi w:val="0"/>
        <w:spacing w:after="0"/>
        <w:ind w:firstLine="709"/>
        <w:jc w:val="both"/>
        <w:rPr>
          <w:rFonts w:ascii="Times New Roman" w:hAnsi="Times New Roman" w:cs="Times New Roman"/>
        </w:rPr>
      </w:pPr>
    </w:p>
    <w:p w:rsidR="00BA1FAA" w:rsidRPr="00D50D44" w:rsidP="00D62C95">
      <w:pPr>
        <w:bidi w:val="0"/>
        <w:spacing w:after="0"/>
        <w:ind w:firstLine="709"/>
        <w:jc w:val="both"/>
        <w:rPr>
          <w:rFonts w:ascii="Times New Roman" w:hAnsi="Times New Roman" w:cs="Times New Roman"/>
        </w:rPr>
      </w:pPr>
      <w:r w:rsidRPr="00D50D44" w:rsidR="005F182A">
        <w:rPr>
          <w:rFonts w:ascii="Times New Roman" w:hAnsi="Times New Roman" w:cs="Times New Roman"/>
        </w:rPr>
        <w:t xml:space="preserve">Vo vzťahu k </w:t>
      </w:r>
      <w:r w:rsidRPr="00D50D44">
        <w:rPr>
          <w:rFonts w:ascii="Times New Roman" w:hAnsi="Times New Roman" w:cs="Times New Roman"/>
        </w:rPr>
        <w:t xml:space="preserve">OP Technická pomoc </w:t>
      </w:r>
      <w:r w:rsidRPr="00D50D44" w:rsidR="005F182A">
        <w:rPr>
          <w:rFonts w:ascii="Times New Roman" w:hAnsi="Times New Roman" w:cs="Times New Roman"/>
        </w:rPr>
        <w:t xml:space="preserve">je potrebné zdôrazniť, že tento operačný program je určený na </w:t>
      </w:r>
      <w:r w:rsidRPr="00D50D44">
        <w:rPr>
          <w:rFonts w:ascii="Times New Roman" w:hAnsi="Times New Roman" w:cs="Times New Roman"/>
        </w:rPr>
        <w:t>financovanie a vzdelávanie administratívnych kapacít</w:t>
      </w:r>
      <w:r w:rsidRPr="00D50D44" w:rsidR="005F182A">
        <w:rPr>
          <w:rFonts w:ascii="Times New Roman" w:hAnsi="Times New Roman" w:cs="Times New Roman"/>
        </w:rPr>
        <w:t xml:space="preserve"> zapojených do implementácie fondov</w:t>
      </w:r>
      <w:r w:rsidR="00D45CB5">
        <w:rPr>
          <w:rFonts w:ascii="Times New Roman" w:hAnsi="Times New Roman" w:cs="Times New Roman"/>
        </w:rPr>
        <w:t xml:space="preserve"> EÚ</w:t>
      </w:r>
      <w:r w:rsidRPr="00D50D44" w:rsidR="005F182A">
        <w:rPr>
          <w:rFonts w:ascii="Times New Roman" w:hAnsi="Times New Roman" w:cs="Times New Roman"/>
        </w:rPr>
        <w:t xml:space="preserve">, </w:t>
      </w:r>
      <w:r w:rsidRPr="00D50D44">
        <w:rPr>
          <w:rFonts w:ascii="Times New Roman" w:hAnsi="Times New Roman" w:cs="Times New Roman"/>
        </w:rPr>
        <w:t xml:space="preserve"> </w:t>
      </w:r>
      <w:r w:rsidRPr="00D50D44" w:rsidR="005F182A">
        <w:rPr>
          <w:rFonts w:ascii="Times New Roman" w:hAnsi="Times New Roman" w:cs="Times New Roman"/>
        </w:rPr>
        <w:t xml:space="preserve">ich </w:t>
      </w:r>
      <w:r w:rsidRPr="00D50D44">
        <w:rPr>
          <w:rFonts w:ascii="Times New Roman" w:hAnsi="Times New Roman" w:cs="Times New Roman"/>
        </w:rPr>
        <w:t>technického v</w:t>
      </w:r>
      <w:r w:rsidRPr="00D50D44" w:rsidR="005F182A">
        <w:rPr>
          <w:rFonts w:ascii="Times New Roman" w:hAnsi="Times New Roman" w:cs="Times New Roman"/>
        </w:rPr>
        <w:t>ybavenia</w:t>
      </w:r>
      <w:r w:rsidRPr="00D50D44" w:rsidR="00945D8C">
        <w:rPr>
          <w:rFonts w:ascii="Times New Roman" w:hAnsi="Times New Roman" w:cs="Times New Roman"/>
        </w:rPr>
        <w:t>,</w:t>
      </w:r>
      <w:r w:rsidRPr="00D50D44" w:rsidR="005F182A">
        <w:rPr>
          <w:rFonts w:ascii="Times New Roman" w:hAnsi="Times New Roman" w:cs="Times New Roman"/>
        </w:rPr>
        <w:t xml:space="preserve"> ako aj financovania expertíz</w:t>
      </w:r>
      <w:r w:rsidRPr="00D50D44" w:rsidR="00945D8C">
        <w:rPr>
          <w:rFonts w:ascii="Times New Roman" w:hAnsi="Times New Roman" w:cs="Times New Roman"/>
        </w:rPr>
        <w:t>,</w:t>
      </w:r>
      <w:r w:rsidRPr="00D50D44" w:rsidR="005F182A">
        <w:rPr>
          <w:rFonts w:ascii="Times New Roman" w:hAnsi="Times New Roman" w:cs="Times New Roman"/>
        </w:rPr>
        <w:t xml:space="preserve"> či štúdií potrebných napr. pre účely hodnotenia ako systémovej požiadavky E</w:t>
      </w:r>
      <w:r w:rsidR="00BA0258">
        <w:rPr>
          <w:rFonts w:ascii="Times New Roman" w:hAnsi="Times New Roman" w:cs="Times New Roman"/>
        </w:rPr>
        <w:t>K</w:t>
      </w:r>
      <w:r w:rsidRPr="00D50D44" w:rsidR="005F182A">
        <w:rPr>
          <w:rFonts w:ascii="Times New Roman" w:hAnsi="Times New Roman" w:cs="Times New Roman"/>
        </w:rPr>
        <w:t xml:space="preserve">. </w:t>
      </w:r>
      <w:r w:rsidRPr="00D50D44">
        <w:rPr>
          <w:rFonts w:ascii="Times New Roman" w:hAnsi="Times New Roman" w:cs="Times New Roman"/>
        </w:rPr>
        <w:t>Úrad vlády</w:t>
      </w:r>
      <w:r w:rsidRPr="00D50D44" w:rsidR="00604AC8">
        <w:rPr>
          <w:rFonts w:ascii="Times New Roman" w:hAnsi="Times New Roman" w:cs="Times New Roman"/>
        </w:rPr>
        <w:t xml:space="preserve"> SR</w:t>
      </w:r>
      <w:r w:rsidR="00D41961">
        <w:rPr>
          <w:rFonts w:ascii="Times New Roman" w:hAnsi="Times New Roman" w:cs="Times New Roman"/>
        </w:rPr>
        <w:t xml:space="preserve">, </w:t>
      </w:r>
      <w:r w:rsidRPr="00D50D44">
        <w:rPr>
          <w:rFonts w:ascii="Times New Roman" w:hAnsi="Times New Roman" w:cs="Times New Roman"/>
        </w:rPr>
        <w:t xml:space="preserve">ako riadiaci orgán </w:t>
      </w:r>
      <w:r w:rsidRPr="00D50D44" w:rsidR="005F182A">
        <w:rPr>
          <w:rFonts w:ascii="Times New Roman" w:hAnsi="Times New Roman" w:cs="Times New Roman"/>
        </w:rPr>
        <w:t>tohto operačného programu</w:t>
      </w:r>
      <w:r w:rsidR="00D41961">
        <w:rPr>
          <w:rFonts w:ascii="Times New Roman" w:hAnsi="Times New Roman" w:cs="Times New Roman"/>
        </w:rPr>
        <w:t xml:space="preserve">, </w:t>
      </w:r>
      <w:r w:rsidRPr="00D50D44" w:rsidR="005F182A">
        <w:rPr>
          <w:rFonts w:ascii="Times New Roman" w:hAnsi="Times New Roman" w:cs="Times New Roman"/>
        </w:rPr>
        <w:t xml:space="preserve">pristupuje k využívaniu týchto zdrojov </w:t>
      </w:r>
      <w:r w:rsidRPr="00D50D44">
        <w:rPr>
          <w:rFonts w:ascii="Times New Roman" w:hAnsi="Times New Roman" w:cs="Times New Roman"/>
        </w:rPr>
        <w:t>zodpovedne</w:t>
      </w:r>
      <w:r w:rsidRPr="00D50D44" w:rsidR="005F182A">
        <w:rPr>
          <w:rFonts w:ascii="Times New Roman" w:hAnsi="Times New Roman" w:cs="Times New Roman"/>
        </w:rPr>
        <w:t xml:space="preserve"> a niektoré aktivity financovateľné z prostriedkov technickej pomoci, ako napr. expertízy, vykonáva odborný personál</w:t>
      </w:r>
      <w:r w:rsidRPr="00D50D44" w:rsidR="00FB7C7C">
        <w:rPr>
          <w:rFonts w:ascii="Times New Roman" w:hAnsi="Times New Roman" w:cs="Times New Roman"/>
        </w:rPr>
        <w:t xml:space="preserve"> </w:t>
      </w:r>
      <w:r w:rsidRPr="00D50D44" w:rsidR="005F182A">
        <w:rPr>
          <w:rFonts w:ascii="Times New Roman" w:hAnsi="Times New Roman" w:cs="Times New Roman"/>
        </w:rPr>
        <w:t xml:space="preserve">ÚV SR. </w:t>
      </w:r>
      <w:r w:rsidRPr="00D50D44" w:rsidR="006E42F0">
        <w:rPr>
          <w:rFonts w:ascii="Times New Roman" w:hAnsi="Times New Roman" w:cs="Times New Roman"/>
        </w:rPr>
        <w:t xml:space="preserve"> Hospodárne sa tiež pristupuje k VO technického vybavenia. Tieto opatrenia preto môžu viesť k nižšiemu ako 100</w:t>
      </w:r>
      <w:r w:rsidRPr="00D50D44">
        <w:rPr>
          <w:rFonts w:ascii="Times New Roman" w:hAnsi="Times New Roman" w:cs="Times New Roman"/>
        </w:rPr>
        <w:t xml:space="preserve">% </w:t>
      </w:r>
      <w:r w:rsidRPr="00D50D44" w:rsidR="00945D8C">
        <w:rPr>
          <w:rFonts w:ascii="Times New Roman" w:hAnsi="Times New Roman" w:cs="Times New Roman"/>
        </w:rPr>
        <w:t xml:space="preserve">kontrahovaniu a tiež </w:t>
      </w:r>
      <w:r w:rsidRPr="00D50D44" w:rsidR="006E42F0">
        <w:rPr>
          <w:rFonts w:ascii="Times New Roman" w:hAnsi="Times New Roman" w:cs="Times New Roman"/>
        </w:rPr>
        <w:t>vyčerpaniu alokácie určenej na</w:t>
      </w:r>
      <w:r w:rsidRPr="00D50D44" w:rsidR="00FB7C7C">
        <w:rPr>
          <w:rFonts w:ascii="Times New Roman" w:hAnsi="Times New Roman" w:cs="Times New Roman"/>
        </w:rPr>
        <w:t> </w:t>
      </w:r>
      <w:r w:rsidRPr="00D50D44" w:rsidR="00945D8C">
        <w:rPr>
          <w:rFonts w:ascii="Times New Roman" w:hAnsi="Times New Roman" w:cs="Times New Roman"/>
        </w:rPr>
        <w:t>technickú pomoc, čo je v prípade tohto operačného programu opodstatnené.</w:t>
      </w:r>
      <w:r w:rsidR="003A3E54">
        <w:rPr>
          <w:rFonts w:ascii="Times New Roman" w:hAnsi="Times New Roman" w:cs="Times New Roman"/>
        </w:rPr>
        <w:t xml:space="preserve"> </w:t>
      </w:r>
      <w:r w:rsidRPr="00D50D44" w:rsidR="006E42F0">
        <w:rPr>
          <w:rFonts w:ascii="Times New Roman" w:hAnsi="Times New Roman" w:cs="Times New Roman"/>
        </w:rPr>
        <w:t xml:space="preserve">V prípade </w:t>
      </w:r>
      <w:r w:rsidRPr="00D50D44">
        <w:rPr>
          <w:rFonts w:ascii="Times New Roman" w:hAnsi="Times New Roman" w:cs="Times New Roman"/>
        </w:rPr>
        <w:t xml:space="preserve">OP </w:t>
      </w:r>
      <w:r w:rsidRPr="00D50D44" w:rsidR="00F40A3C">
        <w:rPr>
          <w:rFonts w:ascii="Times New Roman" w:hAnsi="Times New Roman" w:cs="Times New Roman"/>
        </w:rPr>
        <w:t>Konkurencieschopnosť</w:t>
      </w:r>
      <w:r w:rsidRPr="00D50D44" w:rsidR="006E42F0">
        <w:rPr>
          <w:rFonts w:ascii="Times New Roman" w:hAnsi="Times New Roman" w:cs="Times New Roman"/>
        </w:rPr>
        <w:t xml:space="preserve"> a hospodársky rast dosiahla miera kontrahovania úroveň </w:t>
      </w:r>
      <w:r w:rsidRPr="00D50D44">
        <w:rPr>
          <w:rFonts w:ascii="Times New Roman" w:hAnsi="Times New Roman" w:cs="Times New Roman"/>
        </w:rPr>
        <w:t xml:space="preserve">100% </w:t>
      </w:r>
      <w:r w:rsidRPr="00D50D44" w:rsidR="006E42F0">
        <w:rPr>
          <w:rFonts w:ascii="Times New Roman" w:hAnsi="Times New Roman" w:cs="Times New Roman"/>
        </w:rPr>
        <w:t xml:space="preserve">v júli 2014, </w:t>
      </w:r>
      <w:r w:rsidRPr="00D50D44">
        <w:rPr>
          <w:rFonts w:ascii="Times New Roman" w:hAnsi="Times New Roman" w:cs="Times New Roman"/>
        </w:rPr>
        <w:t xml:space="preserve">avšak prijímatelia pomoci, </w:t>
      </w:r>
      <w:r w:rsidRPr="00D50D44" w:rsidR="006E42F0">
        <w:rPr>
          <w:rFonts w:ascii="Times New Roman" w:hAnsi="Times New Roman" w:cs="Times New Roman"/>
        </w:rPr>
        <w:t xml:space="preserve">ktorí sú predovšetkým zo </w:t>
      </w:r>
      <w:r w:rsidRPr="00D50D44">
        <w:rPr>
          <w:rFonts w:ascii="Times New Roman" w:hAnsi="Times New Roman" w:cs="Times New Roman"/>
        </w:rPr>
        <w:t>súkromného sektora</w:t>
      </w:r>
      <w:r w:rsidRPr="00D50D44" w:rsidR="006E42F0">
        <w:rPr>
          <w:rFonts w:ascii="Times New Roman" w:hAnsi="Times New Roman" w:cs="Times New Roman"/>
        </w:rPr>
        <w:t xml:space="preserve">, </w:t>
      </w:r>
      <w:r w:rsidRPr="00D50D44">
        <w:rPr>
          <w:rFonts w:ascii="Times New Roman" w:hAnsi="Times New Roman" w:cs="Times New Roman"/>
        </w:rPr>
        <w:t xml:space="preserve"> odstúpili od zmlúv o NFP, </w:t>
      </w:r>
      <w:r w:rsidRPr="00D50D44" w:rsidR="006E42F0">
        <w:rPr>
          <w:rFonts w:ascii="Times New Roman" w:hAnsi="Times New Roman" w:cs="Times New Roman"/>
        </w:rPr>
        <w:t>čo malo za následok zníženie miery kontrahovania</w:t>
      </w:r>
      <w:r w:rsidRPr="00D50D44">
        <w:rPr>
          <w:rFonts w:ascii="Times New Roman" w:hAnsi="Times New Roman" w:cs="Times New Roman"/>
        </w:rPr>
        <w:t>.</w:t>
      </w:r>
    </w:p>
    <w:p w:rsidR="00D84102" w:rsidRPr="00D50D44" w:rsidP="00D62C95">
      <w:pPr>
        <w:pStyle w:val="Heading2"/>
        <w:numPr>
          <w:numId w:val="36"/>
        </w:numPr>
        <w:bidi w:val="0"/>
        <w:spacing w:after="120"/>
        <w:ind w:left="714" w:hanging="357"/>
        <w:rPr>
          <w:rFonts w:ascii="Times New Roman" w:hAnsi="Times New Roman" w:cs="Times New Roman"/>
        </w:rPr>
      </w:pPr>
      <w:bookmarkStart w:id="3" w:name="_Toc419481408"/>
      <w:r w:rsidRPr="00D50D44" w:rsidR="00DE554D">
        <w:rPr>
          <w:rFonts w:ascii="Times New Roman" w:hAnsi="Times New Roman" w:cs="Times New Roman" w:hint="default"/>
        </w:rPr>
        <w:t>Č</w:t>
      </w:r>
      <w:r w:rsidRPr="00D50D44" w:rsidR="00DE554D">
        <w:rPr>
          <w:rFonts w:ascii="Times New Roman" w:hAnsi="Times New Roman" w:cs="Times New Roman" w:hint="default"/>
        </w:rPr>
        <w:t>erpanie zá</w:t>
      </w:r>
      <w:r w:rsidRPr="00D50D44" w:rsidR="00DE554D">
        <w:rPr>
          <w:rFonts w:ascii="Times New Roman" w:hAnsi="Times New Roman" w:cs="Times New Roman" w:hint="default"/>
        </w:rPr>
        <w:t>vä</w:t>
      </w:r>
      <w:r w:rsidRPr="00D50D44" w:rsidR="00DE554D">
        <w:rPr>
          <w:rFonts w:ascii="Times New Roman" w:hAnsi="Times New Roman" w:cs="Times New Roman" w:hint="default"/>
        </w:rPr>
        <w:t xml:space="preserve">zku </w:t>
      </w:r>
      <w:r w:rsidRPr="00D50D44">
        <w:rPr>
          <w:rFonts w:ascii="Times New Roman" w:hAnsi="Times New Roman" w:cs="Times New Roman"/>
        </w:rPr>
        <w:t>NSRR</w:t>
      </w:r>
      <w:bookmarkEnd w:id="3"/>
      <w:r w:rsidRPr="00D50D44">
        <w:rPr>
          <w:rFonts w:ascii="Times New Roman" w:hAnsi="Times New Roman" w:cs="Times New Roman"/>
        </w:rPr>
        <w:t xml:space="preserve"> </w:t>
      </w:r>
    </w:p>
    <w:p w:rsidR="00FE1238" w:rsidRPr="00D50D44" w:rsidP="00D62C95">
      <w:pPr>
        <w:pStyle w:val="Heading3"/>
        <w:bidi w:val="0"/>
        <w:ind w:left="360"/>
        <w:rPr>
          <w:rFonts w:ascii="Times New Roman" w:hAnsi="Times New Roman" w:cs="Times New Roman"/>
        </w:rPr>
      </w:pPr>
      <w:bookmarkStart w:id="4" w:name="_Toc419481409"/>
      <w:r w:rsidRPr="00D50D44" w:rsidR="00CA0957">
        <w:rPr>
          <w:rFonts w:ascii="Times New Roman" w:hAnsi="Times New Roman" w:cs="Times New Roman"/>
        </w:rPr>
        <w:t xml:space="preserve">4.1 </w:t>
      </w:r>
      <w:r w:rsidRPr="00D50D44" w:rsidR="00DE554D">
        <w:rPr>
          <w:rFonts w:ascii="Times New Roman" w:hAnsi="Times New Roman" w:cs="Times New Roman" w:hint="default"/>
        </w:rPr>
        <w:t>Aktuá</w:t>
      </w:r>
      <w:r w:rsidRPr="00D50D44" w:rsidR="00DE554D">
        <w:rPr>
          <w:rFonts w:ascii="Times New Roman" w:hAnsi="Times New Roman" w:cs="Times New Roman" w:hint="default"/>
        </w:rPr>
        <w:t>lny stav č</w:t>
      </w:r>
      <w:r w:rsidRPr="00D50D44" w:rsidR="00DE554D">
        <w:rPr>
          <w:rFonts w:ascii="Times New Roman" w:hAnsi="Times New Roman" w:cs="Times New Roman" w:hint="default"/>
        </w:rPr>
        <w:t>erpania</w:t>
      </w:r>
      <w:bookmarkEnd w:id="4"/>
      <w:r w:rsidRPr="00D50D44" w:rsidR="00DE554D">
        <w:rPr>
          <w:rFonts w:ascii="Times New Roman" w:hAnsi="Times New Roman" w:cs="Times New Roman" w:hint="default"/>
        </w:rPr>
        <w:t xml:space="preserve"> </w:t>
      </w:r>
    </w:p>
    <w:p w:rsidR="00D54028" w:rsidRPr="00D50D44" w:rsidP="00D62C95">
      <w:pPr>
        <w:bidi w:val="0"/>
        <w:spacing w:after="0"/>
        <w:ind w:firstLine="709"/>
        <w:jc w:val="both"/>
        <w:rPr>
          <w:rFonts w:ascii="Times New Roman" w:hAnsi="Times New Roman" w:cs="Times New Roman"/>
        </w:rPr>
      </w:pPr>
    </w:p>
    <w:p w:rsidR="00FE1238" w:rsidRPr="00D50D44" w:rsidP="00D62C95">
      <w:pPr>
        <w:bidi w:val="0"/>
        <w:ind w:firstLine="708"/>
        <w:jc w:val="both"/>
        <w:rPr>
          <w:rFonts w:ascii="Times New Roman" w:hAnsi="Times New Roman" w:cs="Times New Roman"/>
        </w:rPr>
      </w:pPr>
      <w:r w:rsidRPr="00D50D44">
        <w:rPr>
          <w:rFonts w:ascii="Times New Roman" w:hAnsi="Times New Roman" w:cs="Times New Roman"/>
        </w:rPr>
        <w:t>V</w:t>
      </w:r>
      <w:r w:rsidRPr="00D50D44" w:rsidR="00945D8C">
        <w:rPr>
          <w:rFonts w:ascii="Times New Roman" w:hAnsi="Times New Roman" w:cs="Times New Roman"/>
        </w:rPr>
        <w:t> programovom období 2007</w:t>
      </w:r>
      <w:r w:rsidR="003A3E54">
        <w:rPr>
          <w:rFonts w:ascii="Times New Roman" w:hAnsi="Times New Roman" w:cs="Times New Roman"/>
        </w:rPr>
        <w:t xml:space="preserve"> </w:t>
      </w:r>
      <w:r w:rsidRPr="00D50D44" w:rsidR="00945D8C">
        <w:rPr>
          <w:rFonts w:ascii="Times New Roman" w:hAnsi="Times New Roman" w:cs="Times New Roman"/>
        </w:rPr>
        <w:t>–</w:t>
      </w:r>
      <w:r w:rsidR="003A3E54">
        <w:rPr>
          <w:rFonts w:ascii="Times New Roman" w:hAnsi="Times New Roman" w:cs="Times New Roman"/>
        </w:rPr>
        <w:t xml:space="preserve"> </w:t>
      </w:r>
      <w:r w:rsidRPr="00D50D44" w:rsidR="00945D8C">
        <w:rPr>
          <w:rFonts w:ascii="Times New Roman" w:hAnsi="Times New Roman" w:cs="Times New Roman"/>
        </w:rPr>
        <w:t>2013 predstavuje</w:t>
      </w:r>
      <w:r w:rsidRPr="00D50D44">
        <w:rPr>
          <w:rFonts w:ascii="Times New Roman" w:hAnsi="Times New Roman" w:cs="Times New Roman"/>
        </w:rPr>
        <w:t xml:space="preserve"> stav čerpania</w:t>
      </w:r>
      <w:r>
        <w:rPr>
          <w:rStyle w:val="FootnoteReference"/>
          <w:rFonts w:ascii="Times New Roman" w:hAnsi="Times New Roman"/>
          <w:rtl w:val="0"/>
        </w:rPr>
        <w:footnoteReference w:id="4"/>
      </w:r>
      <w:r w:rsidRPr="00D50D44">
        <w:rPr>
          <w:rFonts w:ascii="Times New Roman" w:hAnsi="Times New Roman" w:cs="Times New Roman"/>
        </w:rPr>
        <w:t xml:space="preserve"> na úrovni RO (vrátane predfinancovaní a zálohových p</w:t>
      </w:r>
      <w:r w:rsidRPr="00D50D44" w:rsidR="00945D8C">
        <w:rPr>
          <w:rFonts w:ascii="Times New Roman" w:hAnsi="Times New Roman" w:cs="Times New Roman"/>
        </w:rPr>
        <w:t>latieb uhradených prijímateľovi</w:t>
      </w:r>
      <w:r w:rsidRPr="00D50D44" w:rsidR="00AB7997">
        <w:rPr>
          <w:rFonts w:ascii="Times New Roman" w:hAnsi="Times New Roman" w:cs="Times New Roman"/>
        </w:rPr>
        <w:t>)</w:t>
      </w:r>
      <w:r w:rsidRPr="00D50D44">
        <w:rPr>
          <w:rFonts w:ascii="Times New Roman" w:hAnsi="Times New Roman" w:cs="Times New Roman"/>
        </w:rPr>
        <w:t xml:space="preserve"> k 30.</w:t>
      </w:r>
      <w:r w:rsidR="003A3E54">
        <w:rPr>
          <w:rFonts w:ascii="Times New Roman" w:hAnsi="Times New Roman" w:cs="Times New Roman"/>
        </w:rPr>
        <w:t xml:space="preserve"> 0</w:t>
      </w:r>
      <w:r w:rsidRPr="00D50D44">
        <w:rPr>
          <w:rFonts w:ascii="Times New Roman" w:hAnsi="Times New Roman" w:cs="Times New Roman"/>
        </w:rPr>
        <w:t>4.</w:t>
      </w:r>
      <w:r w:rsidR="003A3E54">
        <w:rPr>
          <w:rFonts w:ascii="Times New Roman" w:hAnsi="Times New Roman" w:cs="Times New Roman"/>
        </w:rPr>
        <w:t xml:space="preserve"> </w:t>
      </w:r>
      <w:r w:rsidRPr="00D50D44">
        <w:rPr>
          <w:rFonts w:ascii="Times New Roman" w:hAnsi="Times New Roman" w:cs="Times New Roman"/>
        </w:rPr>
        <w:t xml:space="preserve">2015 </w:t>
      </w:r>
      <w:r w:rsidRPr="00D50D44" w:rsidR="0031554D">
        <w:rPr>
          <w:rFonts w:ascii="Times New Roman" w:hAnsi="Times New Roman" w:cs="Times New Roman"/>
        </w:rPr>
        <w:t>sumu</w:t>
      </w:r>
      <w:r w:rsidRPr="00D50D44" w:rsidR="00945D8C">
        <w:rPr>
          <w:rFonts w:ascii="Times New Roman" w:hAnsi="Times New Roman" w:cs="Times New Roman"/>
        </w:rPr>
        <w:t xml:space="preserve"> </w:t>
      </w:r>
      <w:r w:rsidRPr="00D50D44" w:rsidR="009E41D1">
        <w:rPr>
          <w:rFonts w:ascii="Times New Roman" w:hAnsi="Times New Roman" w:cs="Times New Roman"/>
        </w:rPr>
        <w:t>8,07</w:t>
      </w:r>
      <w:r w:rsidRPr="00D50D44">
        <w:rPr>
          <w:rFonts w:ascii="Times New Roman" w:hAnsi="Times New Roman" w:cs="Times New Roman"/>
        </w:rPr>
        <w:t>4 mld.</w:t>
      </w:r>
      <w:r w:rsidRPr="00D50D44" w:rsidR="006E42F0">
        <w:rPr>
          <w:rFonts w:ascii="Times New Roman" w:hAnsi="Times New Roman" w:cs="Times New Roman"/>
        </w:rPr>
        <w:t xml:space="preserve"> EUR</w:t>
      </w:r>
      <w:r w:rsidRPr="00D50D44">
        <w:rPr>
          <w:rFonts w:ascii="Times New Roman" w:hAnsi="Times New Roman" w:cs="Times New Roman"/>
        </w:rPr>
        <w:t>, čo</w:t>
      </w:r>
      <w:r w:rsidRPr="00D50D44" w:rsidR="00D54028">
        <w:rPr>
          <w:rFonts w:ascii="Times New Roman" w:hAnsi="Times New Roman" w:cs="Times New Roman"/>
        </w:rPr>
        <w:t> </w:t>
      </w:r>
      <w:r w:rsidRPr="00D50D44">
        <w:rPr>
          <w:rFonts w:ascii="Times New Roman" w:hAnsi="Times New Roman" w:cs="Times New Roman"/>
        </w:rPr>
        <w:t>predstavuje</w:t>
      </w:r>
      <w:r w:rsidRPr="00D50D44" w:rsidR="00D54028">
        <w:rPr>
          <w:rFonts w:ascii="Times New Roman" w:hAnsi="Times New Roman" w:cs="Times New Roman"/>
        </w:rPr>
        <w:t xml:space="preserve"> </w:t>
      </w:r>
      <w:r w:rsidRPr="00D50D44">
        <w:rPr>
          <w:rFonts w:ascii="Times New Roman" w:hAnsi="Times New Roman" w:cs="Times New Roman"/>
        </w:rPr>
        <w:t xml:space="preserve">70 % </w:t>
      </w:r>
      <w:r w:rsidRPr="00D50D44" w:rsidR="006E42F0">
        <w:rPr>
          <w:rFonts w:ascii="Times New Roman" w:hAnsi="Times New Roman" w:cs="Times New Roman"/>
        </w:rPr>
        <w:t xml:space="preserve">záväzku </w:t>
      </w:r>
      <w:r w:rsidRPr="00D50D44">
        <w:rPr>
          <w:rFonts w:ascii="Times New Roman" w:hAnsi="Times New Roman" w:cs="Times New Roman"/>
        </w:rPr>
        <w:t xml:space="preserve">NSRR. Do konca </w:t>
      </w:r>
      <w:r w:rsidRPr="00D50D44" w:rsidR="006E42F0">
        <w:rPr>
          <w:rFonts w:ascii="Times New Roman" w:hAnsi="Times New Roman" w:cs="Times New Roman"/>
        </w:rPr>
        <w:t xml:space="preserve">programového </w:t>
      </w:r>
      <w:r w:rsidRPr="00D50D44">
        <w:rPr>
          <w:rFonts w:ascii="Times New Roman" w:hAnsi="Times New Roman" w:cs="Times New Roman"/>
        </w:rPr>
        <w:t>obdobia</w:t>
      </w:r>
      <w:r w:rsidRPr="00D50D44" w:rsidR="006E42F0">
        <w:rPr>
          <w:rFonts w:ascii="Times New Roman" w:hAnsi="Times New Roman" w:cs="Times New Roman"/>
        </w:rPr>
        <w:t xml:space="preserve">  je k dispozícii ešte </w:t>
      </w:r>
      <w:r w:rsidRPr="00D50D44" w:rsidR="009E41D1">
        <w:rPr>
          <w:rFonts w:ascii="Times New Roman" w:hAnsi="Times New Roman" w:cs="Times New Roman"/>
          <w:b/>
        </w:rPr>
        <w:t>3,40</w:t>
      </w:r>
      <w:r w:rsidRPr="00D50D44">
        <w:rPr>
          <w:rFonts w:ascii="Times New Roman" w:hAnsi="Times New Roman" w:cs="Times New Roman"/>
          <w:b/>
        </w:rPr>
        <w:t xml:space="preserve">8 mld. </w:t>
      </w:r>
      <w:r w:rsidRPr="00D50D44" w:rsidR="006E42F0">
        <w:rPr>
          <w:rFonts w:ascii="Times New Roman" w:hAnsi="Times New Roman" w:cs="Times New Roman"/>
          <w:b/>
        </w:rPr>
        <w:t xml:space="preserve">EUR. </w:t>
      </w:r>
    </w:p>
    <w:p w:rsidR="00F17675" w:rsidRPr="00D50D44" w:rsidP="00F17675">
      <w:pPr>
        <w:bidi w:val="0"/>
        <w:spacing w:after="0"/>
        <w:rPr>
          <w:rFonts w:ascii="Times New Roman" w:hAnsi="Times New Roman" w:cs="Times New Roman"/>
        </w:rPr>
      </w:pPr>
      <w:r w:rsidRPr="00D50D44" w:rsidR="00FE1238">
        <w:rPr>
          <w:rFonts w:ascii="Times New Roman" w:hAnsi="Times New Roman" w:cs="Times New Roman"/>
        </w:rPr>
        <w:t xml:space="preserve">Tabuľka č. </w:t>
      </w:r>
      <w:r w:rsidRPr="00D50D44" w:rsidR="00F40A3C">
        <w:rPr>
          <w:rFonts w:ascii="Times New Roman" w:hAnsi="Times New Roman" w:cs="Times New Roman"/>
        </w:rPr>
        <w:t>3</w:t>
      </w:r>
      <w:r w:rsidRPr="00D50D44" w:rsidR="00FE1238">
        <w:rPr>
          <w:rFonts w:ascii="Times New Roman" w:hAnsi="Times New Roman" w:cs="Times New Roman"/>
        </w:rPr>
        <w:t>: Čerpanie ŠF a KF k 30. 04. 2015</w:t>
      </w:r>
      <w:r w:rsidRPr="00D50D44">
        <w:rPr>
          <w:rFonts w:ascii="Times New Roman" w:hAnsi="Times New Roman" w:cs="Times New Roman"/>
        </w:rPr>
        <w:t xml:space="preserve"> </w:t>
      </w:r>
      <w:r w:rsidR="007833B0">
        <w:rPr>
          <w:rFonts w:ascii="Times New Roman" w:hAnsi="Times New Roman" w:cs="Times New Roman"/>
        </w:rPr>
        <w:t>(EÚ zdroje)</w:t>
      </w:r>
    </w:p>
    <w:tbl>
      <w:tblPr>
        <w:tblStyle w:val="TableNormal"/>
        <w:tblW w:w="4962" w:type="pct"/>
        <w:tblLayout w:type="fixed"/>
        <w:tblCellMar>
          <w:left w:w="70" w:type="dxa"/>
          <w:right w:w="70" w:type="dxa"/>
        </w:tblCellMar>
        <w:tblLook w:val="04A0"/>
      </w:tblPr>
      <w:tblGrid>
        <w:gridCol w:w="2882"/>
        <w:gridCol w:w="1443"/>
        <w:gridCol w:w="1380"/>
        <w:gridCol w:w="848"/>
        <w:gridCol w:w="1404"/>
        <w:gridCol w:w="1185"/>
      </w:tblGrid>
      <w:tr>
        <w:tblPrEx>
          <w:tblW w:w="4962" w:type="pct"/>
          <w:tblLayout w:type="fixed"/>
          <w:tblCellMar>
            <w:left w:w="70" w:type="dxa"/>
            <w:right w:w="70" w:type="dxa"/>
          </w:tblCellMar>
          <w:tblLook w:val="04A0"/>
        </w:tblPrEx>
        <w:trPr>
          <w:trHeight w:val="1908"/>
        </w:trPr>
        <w:tc>
          <w:tcPr>
            <w:tcW w:w="1576" w:type="pct"/>
            <w:vMerge w:val="restart"/>
            <w:tcBorders>
              <w:top w:val="single" w:sz="8" w:space="0" w:color="auto"/>
              <w:left w:val="single" w:sz="8" w:space="0" w:color="auto"/>
              <w:bottom w:val="single" w:sz="8" w:space="0" w:color="000000"/>
              <w:right w:val="single" w:sz="8" w:space="0" w:color="auto"/>
            </w:tcBorders>
            <w:shd w:val="clear" w:color="000000" w:fill="C0C0C0"/>
            <w:textDirection w:val="lrTb"/>
            <w:vAlign w:val="center"/>
            <w:hideMark/>
          </w:tcPr>
          <w:p w:rsidR="00C81E35" w:rsidRPr="00C81E35" w:rsidP="00D303EF">
            <w:pPr>
              <w:bidi w:val="0"/>
              <w:spacing w:after="0"/>
              <w:jc w:val="center"/>
              <w:rPr>
                <w:rFonts w:ascii="Times New Roman" w:hAnsi="Times New Roman" w:cs="Times New Roman"/>
                <w:b/>
                <w:bCs/>
                <w:sz w:val="20"/>
                <w:szCs w:val="20"/>
                <w:lang w:eastAsia="sk-SK"/>
              </w:rPr>
            </w:pPr>
            <w:r w:rsidRPr="00C81E35">
              <w:rPr>
                <w:rFonts w:ascii="Times New Roman" w:hAnsi="Times New Roman" w:cs="Times New Roman"/>
                <w:b/>
                <w:bCs/>
                <w:sz w:val="20"/>
                <w:szCs w:val="20"/>
                <w:lang w:eastAsia="cs-CZ"/>
              </w:rPr>
              <w:t>Operačný program</w:t>
            </w:r>
          </w:p>
        </w:tc>
        <w:tc>
          <w:tcPr>
            <w:tcW w:w="789" w:type="pct"/>
            <w:tcBorders>
              <w:top w:val="single" w:sz="8" w:space="0" w:color="auto"/>
              <w:left w:val="nil"/>
              <w:bottom w:val="single" w:sz="8" w:space="0" w:color="auto"/>
              <w:right w:val="single" w:sz="8" w:space="0" w:color="auto"/>
            </w:tcBorders>
            <w:shd w:val="clear" w:color="000000" w:fill="C0C0C0"/>
            <w:textDirection w:val="lrTb"/>
            <w:vAlign w:val="center"/>
            <w:hideMark/>
          </w:tcPr>
          <w:p w:rsidR="00C81E35" w:rsidRPr="00C81E35" w:rsidP="00D303EF">
            <w:pPr>
              <w:bidi w:val="0"/>
              <w:spacing w:after="0"/>
              <w:jc w:val="center"/>
              <w:rPr>
                <w:rFonts w:ascii="Times New Roman" w:hAnsi="Times New Roman" w:cs="Times New Roman"/>
                <w:b/>
                <w:bCs/>
                <w:sz w:val="20"/>
                <w:szCs w:val="20"/>
                <w:lang w:eastAsia="sk-SK"/>
              </w:rPr>
            </w:pPr>
            <w:r w:rsidRPr="00C81E35">
              <w:rPr>
                <w:rFonts w:ascii="Times New Roman" w:hAnsi="Times New Roman" w:cs="Times New Roman"/>
                <w:b/>
                <w:bCs/>
                <w:sz w:val="20"/>
                <w:szCs w:val="20"/>
                <w:lang w:eastAsia="cs-CZ"/>
              </w:rPr>
              <w:t xml:space="preserve">Alokácia 2007 – 2013 </w:t>
            </w:r>
          </w:p>
          <w:p w:rsidR="00C81E35" w:rsidRPr="00C81E35" w:rsidP="00D303EF">
            <w:pPr>
              <w:bidi w:val="0"/>
              <w:spacing w:after="0"/>
              <w:jc w:val="center"/>
              <w:rPr>
                <w:rFonts w:ascii="Times New Roman" w:hAnsi="Times New Roman" w:cs="Times New Roman"/>
                <w:b/>
                <w:bCs/>
                <w:sz w:val="20"/>
                <w:szCs w:val="20"/>
                <w:lang w:eastAsia="sk-SK"/>
              </w:rPr>
            </w:pPr>
            <w:r w:rsidRPr="00C81E35">
              <w:rPr>
                <w:rFonts w:ascii="Times New Roman" w:hAnsi="Times New Roman" w:cs="Times New Roman"/>
                <w:b/>
                <w:bCs/>
                <w:sz w:val="20"/>
                <w:szCs w:val="20"/>
                <w:lang w:eastAsia="sk-SK"/>
              </w:rPr>
              <w:t>v €</w:t>
            </w:r>
          </w:p>
        </w:tc>
        <w:tc>
          <w:tcPr>
            <w:tcW w:w="755" w:type="pct"/>
            <w:tcBorders>
              <w:top w:val="single" w:sz="8" w:space="0" w:color="auto"/>
              <w:left w:val="single" w:sz="8" w:space="0" w:color="auto"/>
              <w:bottom w:val="single" w:sz="8" w:space="0" w:color="auto"/>
              <w:right w:val="single" w:sz="8" w:space="0" w:color="auto"/>
            </w:tcBorders>
            <w:shd w:val="clear" w:color="000000" w:fill="C0C0C0"/>
            <w:textDirection w:val="lrTb"/>
            <w:vAlign w:val="center"/>
          </w:tcPr>
          <w:p w:rsidR="00C81E35" w:rsidRPr="00C81E35" w:rsidP="00D303EF">
            <w:pPr>
              <w:bidi w:val="0"/>
              <w:spacing w:after="0"/>
              <w:jc w:val="center"/>
              <w:rPr>
                <w:rFonts w:ascii="Times New Roman" w:hAnsi="Times New Roman" w:cs="Times New Roman"/>
                <w:b/>
                <w:bCs/>
                <w:sz w:val="20"/>
                <w:szCs w:val="20"/>
                <w:lang w:eastAsia="sk-SK"/>
              </w:rPr>
            </w:pPr>
            <w:r w:rsidRPr="00C81E35">
              <w:rPr>
                <w:rFonts w:ascii="Times New Roman" w:hAnsi="Times New Roman" w:cs="Times New Roman"/>
                <w:b/>
                <w:bCs/>
                <w:sz w:val="20"/>
                <w:szCs w:val="20"/>
                <w:lang w:eastAsia="cs-CZ"/>
              </w:rPr>
              <w:t>Čerpanie ŠF/KF (schválené SŽP znížené o nezrovnalosti) v €</w:t>
            </w:r>
          </w:p>
        </w:tc>
        <w:tc>
          <w:tcPr>
            <w:tcW w:w="464" w:type="pct"/>
            <w:tcBorders>
              <w:top w:val="single" w:sz="8" w:space="0" w:color="auto"/>
              <w:left w:val="single" w:sz="8" w:space="0" w:color="auto"/>
              <w:bottom w:val="single" w:sz="8" w:space="0" w:color="auto"/>
              <w:right w:val="single" w:sz="8" w:space="0" w:color="auto"/>
            </w:tcBorders>
            <w:shd w:val="clear" w:color="000000" w:fill="C0C0C0"/>
            <w:textDirection w:val="lrTb"/>
            <w:vAlign w:val="center"/>
          </w:tcPr>
          <w:p w:rsidR="00C81E35" w:rsidRPr="00C81E35" w:rsidP="00D303EF">
            <w:pPr>
              <w:bidi w:val="0"/>
              <w:spacing w:after="0"/>
              <w:jc w:val="center"/>
              <w:rPr>
                <w:rFonts w:ascii="Times New Roman" w:hAnsi="Times New Roman" w:cs="Times New Roman"/>
                <w:b/>
                <w:bCs/>
                <w:sz w:val="20"/>
                <w:szCs w:val="20"/>
                <w:lang w:eastAsia="sk-SK"/>
              </w:rPr>
            </w:pPr>
            <w:r w:rsidRPr="00C81E35">
              <w:rPr>
                <w:rFonts w:ascii="Times New Roman" w:hAnsi="Times New Roman" w:cs="Times New Roman"/>
                <w:b/>
                <w:bCs/>
                <w:sz w:val="20"/>
                <w:szCs w:val="20"/>
                <w:lang w:eastAsia="cs-CZ"/>
              </w:rPr>
              <w:t>Podiel čerpania na záväzku 2007 – 2013 v %</w:t>
            </w:r>
          </w:p>
        </w:tc>
        <w:tc>
          <w:tcPr>
            <w:tcW w:w="768" w:type="pct"/>
            <w:tcBorders>
              <w:top w:val="single" w:sz="8" w:space="0" w:color="auto"/>
              <w:left w:val="single" w:sz="8" w:space="0" w:color="auto"/>
              <w:bottom w:val="single" w:sz="8" w:space="0" w:color="auto"/>
              <w:right w:val="single" w:sz="8" w:space="0" w:color="auto"/>
            </w:tcBorders>
            <w:shd w:val="clear" w:color="000000" w:fill="C0C0C0"/>
            <w:textDirection w:val="lrTb"/>
            <w:vAlign w:val="center"/>
          </w:tcPr>
          <w:p w:rsidR="00C81E35" w:rsidRPr="00C81E35" w:rsidP="00F17675">
            <w:pPr>
              <w:bidi w:val="0"/>
              <w:spacing w:after="0"/>
              <w:jc w:val="center"/>
              <w:rPr>
                <w:rFonts w:ascii="Times New Roman" w:hAnsi="Times New Roman" w:cs="Times New Roman"/>
                <w:b/>
                <w:bCs/>
                <w:sz w:val="20"/>
                <w:szCs w:val="20"/>
                <w:lang w:eastAsia="sk-SK"/>
              </w:rPr>
            </w:pPr>
            <w:r w:rsidRPr="00C81E35">
              <w:rPr>
                <w:rFonts w:ascii="Times New Roman" w:hAnsi="Times New Roman" w:cs="Times New Roman"/>
                <w:b/>
                <w:bCs/>
                <w:sz w:val="20"/>
                <w:szCs w:val="20"/>
                <w:lang w:eastAsia="cs-CZ"/>
              </w:rPr>
              <w:t>Čerpanie ŠF/KF vrátane záloh a predfinancovania (znížené o nezrovnalosti) v €</w:t>
            </w:r>
          </w:p>
        </w:tc>
        <w:tc>
          <w:tcPr>
            <w:tcW w:w="649" w:type="pct"/>
            <w:tcBorders>
              <w:top w:val="single" w:sz="8" w:space="0" w:color="auto"/>
              <w:left w:val="single" w:sz="8" w:space="0" w:color="auto"/>
              <w:bottom w:val="single" w:sz="8" w:space="0" w:color="auto"/>
              <w:right w:val="single" w:sz="8" w:space="0" w:color="auto"/>
            </w:tcBorders>
            <w:shd w:val="clear" w:color="000000" w:fill="C0C0C0"/>
            <w:textDirection w:val="lrTb"/>
            <w:vAlign w:val="center"/>
          </w:tcPr>
          <w:p w:rsidR="00C81E35" w:rsidRPr="00C81E35" w:rsidP="00D303EF">
            <w:pPr>
              <w:bidi w:val="0"/>
              <w:spacing w:after="0"/>
              <w:jc w:val="center"/>
              <w:rPr>
                <w:rFonts w:ascii="Times New Roman" w:hAnsi="Times New Roman" w:cs="Times New Roman"/>
                <w:b/>
                <w:bCs/>
                <w:sz w:val="20"/>
                <w:szCs w:val="20"/>
                <w:lang w:eastAsia="sk-SK"/>
              </w:rPr>
            </w:pPr>
            <w:r w:rsidRPr="00C81E35">
              <w:rPr>
                <w:rFonts w:ascii="Times New Roman" w:hAnsi="Times New Roman" w:cs="Times New Roman"/>
                <w:b/>
                <w:bCs/>
                <w:sz w:val="20"/>
                <w:szCs w:val="20"/>
                <w:lang w:eastAsia="cs-CZ"/>
              </w:rPr>
              <w:t>Podiel čerpania vrátane záloh a predfinancovania na záväzku 2007 – 2013 v %</w:t>
            </w:r>
          </w:p>
        </w:tc>
      </w:tr>
      <w:tr>
        <w:tblPrEx>
          <w:tblW w:w="4962" w:type="pct"/>
          <w:tblLayout w:type="fixed"/>
          <w:tblCellMar>
            <w:left w:w="70" w:type="dxa"/>
            <w:right w:w="70" w:type="dxa"/>
          </w:tblCellMar>
          <w:tblLook w:val="04A0"/>
        </w:tblPrEx>
        <w:trPr>
          <w:trHeight w:val="264"/>
        </w:trPr>
        <w:tc>
          <w:tcPr>
            <w:tcW w:w="1576" w:type="pct"/>
            <w:vMerge/>
            <w:tcBorders>
              <w:top w:val="single" w:sz="8" w:space="0" w:color="auto"/>
              <w:left w:val="single" w:sz="8" w:space="0" w:color="auto"/>
              <w:bottom w:val="single" w:sz="8" w:space="0" w:color="000000"/>
              <w:right w:val="single" w:sz="8" w:space="0" w:color="auto"/>
            </w:tcBorders>
            <w:textDirection w:val="lrTb"/>
            <w:vAlign w:val="center"/>
            <w:hideMark/>
          </w:tcPr>
          <w:p w:rsidR="00C81E35" w:rsidRPr="00C81E35" w:rsidP="00D303EF">
            <w:pPr>
              <w:bidi w:val="0"/>
              <w:spacing w:after="0"/>
              <w:rPr>
                <w:rFonts w:ascii="Times New Roman" w:hAnsi="Times New Roman" w:cs="Times New Roman"/>
                <w:b/>
                <w:bCs/>
                <w:sz w:val="20"/>
                <w:szCs w:val="20"/>
                <w:lang w:eastAsia="sk-SK"/>
              </w:rPr>
            </w:pPr>
          </w:p>
        </w:tc>
        <w:tc>
          <w:tcPr>
            <w:tcW w:w="789" w:type="pct"/>
            <w:tcBorders>
              <w:top w:val="single" w:sz="8" w:space="0" w:color="auto"/>
              <w:left w:val="nil"/>
              <w:bottom w:val="single" w:sz="8" w:space="0" w:color="auto"/>
              <w:right w:val="single" w:sz="8" w:space="0" w:color="auto"/>
            </w:tcBorders>
            <w:shd w:val="clear" w:color="000000" w:fill="C0C0C0"/>
            <w:textDirection w:val="lrTb"/>
            <w:vAlign w:val="center"/>
            <w:hideMark/>
          </w:tcPr>
          <w:p w:rsidR="00C81E35" w:rsidRPr="00C81E35" w:rsidP="00D303EF">
            <w:pPr>
              <w:bidi w:val="0"/>
              <w:spacing w:after="0"/>
              <w:jc w:val="center"/>
              <w:rPr>
                <w:rFonts w:ascii="Times New Roman" w:hAnsi="Times New Roman" w:cs="Times New Roman"/>
                <w:b/>
                <w:bCs/>
                <w:sz w:val="20"/>
                <w:szCs w:val="20"/>
                <w:lang w:eastAsia="sk-SK"/>
              </w:rPr>
            </w:pPr>
            <w:r w:rsidRPr="00C81E35">
              <w:rPr>
                <w:rFonts w:ascii="Times New Roman" w:hAnsi="Times New Roman" w:cs="Times New Roman"/>
                <w:b/>
                <w:bCs/>
                <w:sz w:val="20"/>
                <w:szCs w:val="20"/>
                <w:lang w:val="cs-CZ" w:eastAsia="sk-SK"/>
              </w:rPr>
              <w:t>EÚ zdroje</w:t>
            </w:r>
          </w:p>
        </w:tc>
        <w:tc>
          <w:tcPr>
            <w:tcW w:w="755" w:type="pct"/>
            <w:tcBorders>
              <w:top w:val="single" w:sz="8" w:space="0" w:color="auto"/>
              <w:left w:val="nil"/>
              <w:bottom w:val="single" w:sz="8" w:space="0" w:color="auto"/>
              <w:right w:val="single" w:sz="8" w:space="0" w:color="auto"/>
            </w:tcBorders>
            <w:shd w:val="clear" w:color="000000" w:fill="C0C0C0"/>
            <w:textDirection w:val="lrTb"/>
            <w:vAlign w:val="center"/>
          </w:tcPr>
          <w:p w:rsidR="00C81E35" w:rsidRPr="00C81E35" w:rsidP="00D303EF">
            <w:pPr>
              <w:bidi w:val="0"/>
              <w:spacing w:after="0"/>
              <w:jc w:val="center"/>
              <w:rPr>
                <w:rFonts w:ascii="Times New Roman" w:hAnsi="Times New Roman" w:cs="Times New Roman"/>
                <w:b/>
                <w:bCs/>
                <w:sz w:val="20"/>
                <w:szCs w:val="20"/>
                <w:lang w:eastAsia="sk-SK"/>
              </w:rPr>
            </w:pPr>
            <w:r w:rsidRPr="00C81E35">
              <w:rPr>
                <w:rFonts w:ascii="Times New Roman" w:hAnsi="Times New Roman" w:cs="Times New Roman"/>
                <w:b/>
                <w:bCs/>
                <w:sz w:val="20"/>
                <w:szCs w:val="20"/>
                <w:lang w:val="cs-CZ" w:eastAsia="sk-SK"/>
              </w:rPr>
              <w:t>EÚ zdroje</w:t>
            </w:r>
          </w:p>
        </w:tc>
        <w:tc>
          <w:tcPr>
            <w:tcW w:w="464" w:type="pct"/>
            <w:tcBorders>
              <w:top w:val="single" w:sz="8" w:space="0" w:color="auto"/>
              <w:left w:val="single" w:sz="8" w:space="0" w:color="auto"/>
              <w:bottom w:val="single" w:sz="8" w:space="0" w:color="auto"/>
              <w:right w:val="single" w:sz="8" w:space="0" w:color="auto"/>
            </w:tcBorders>
            <w:shd w:val="clear" w:color="000000" w:fill="C0C0C0"/>
            <w:textDirection w:val="lrTb"/>
            <w:vAlign w:val="center"/>
          </w:tcPr>
          <w:p w:rsidR="00C81E35" w:rsidRPr="00C81E35" w:rsidP="00D303EF">
            <w:pPr>
              <w:bidi w:val="0"/>
              <w:spacing w:after="0"/>
              <w:jc w:val="center"/>
              <w:rPr>
                <w:rFonts w:ascii="Times New Roman" w:hAnsi="Times New Roman" w:cs="Times New Roman"/>
                <w:b/>
                <w:bCs/>
                <w:sz w:val="20"/>
                <w:szCs w:val="20"/>
                <w:lang w:eastAsia="sk-SK"/>
              </w:rPr>
            </w:pPr>
            <w:r w:rsidRPr="00C81E35">
              <w:rPr>
                <w:rFonts w:ascii="Times New Roman" w:hAnsi="Times New Roman" w:cs="Times New Roman"/>
                <w:b/>
                <w:bCs/>
                <w:sz w:val="20"/>
                <w:szCs w:val="20"/>
                <w:lang w:val="cs-CZ" w:eastAsia="sk-SK"/>
              </w:rPr>
              <w:t>%</w:t>
            </w:r>
          </w:p>
        </w:tc>
        <w:tc>
          <w:tcPr>
            <w:tcW w:w="768" w:type="pct"/>
            <w:tcBorders>
              <w:top w:val="single" w:sz="8" w:space="0" w:color="auto"/>
              <w:left w:val="nil"/>
              <w:bottom w:val="single" w:sz="8" w:space="0" w:color="auto"/>
              <w:right w:val="single" w:sz="8" w:space="0" w:color="auto"/>
            </w:tcBorders>
            <w:shd w:val="clear" w:color="000000" w:fill="C0C0C0"/>
            <w:textDirection w:val="lrTb"/>
            <w:vAlign w:val="center"/>
          </w:tcPr>
          <w:p w:rsidR="00C81E35" w:rsidRPr="00C81E35" w:rsidP="00D303EF">
            <w:pPr>
              <w:bidi w:val="0"/>
              <w:spacing w:after="0"/>
              <w:jc w:val="center"/>
              <w:rPr>
                <w:rFonts w:ascii="Times New Roman" w:hAnsi="Times New Roman" w:cs="Times New Roman"/>
                <w:b/>
                <w:bCs/>
                <w:sz w:val="20"/>
                <w:szCs w:val="20"/>
                <w:lang w:val="cs-CZ" w:eastAsia="sk-SK"/>
              </w:rPr>
            </w:pPr>
            <w:r w:rsidRPr="00C81E35">
              <w:rPr>
                <w:rFonts w:ascii="Times New Roman" w:hAnsi="Times New Roman" w:cs="Times New Roman"/>
                <w:b/>
                <w:bCs/>
                <w:sz w:val="20"/>
                <w:szCs w:val="20"/>
                <w:lang w:val="cs-CZ" w:eastAsia="sk-SK"/>
              </w:rPr>
              <w:t>EÚ zdroje</w:t>
            </w:r>
          </w:p>
        </w:tc>
        <w:tc>
          <w:tcPr>
            <w:tcW w:w="649" w:type="pct"/>
            <w:tcBorders>
              <w:top w:val="single" w:sz="8" w:space="0" w:color="auto"/>
              <w:left w:val="single" w:sz="8" w:space="0" w:color="auto"/>
              <w:bottom w:val="single" w:sz="8" w:space="0" w:color="auto"/>
              <w:right w:val="single" w:sz="8" w:space="0" w:color="auto"/>
            </w:tcBorders>
            <w:shd w:val="clear" w:color="000000" w:fill="C0C0C0"/>
            <w:textDirection w:val="lrTb"/>
            <w:vAlign w:val="center"/>
          </w:tcPr>
          <w:p w:rsidR="00C81E35" w:rsidRPr="00C81E35" w:rsidP="00D303EF">
            <w:pPr>
              <w:bidi w:val="0"/>
              <w:spacing w:after="0"/>
              <w:jc w:val="center"/>
              <w:rPr>
                <w:rFonts w:ascii="Times New Roman" w:hAnsi="Times New Roman" w:cs="Times New Roman"/>
                <w:b/>
                <w:bCs/>
                <w:sz w:val="20"/>
                <w:szCs w:val="20"/>
                <w:lang w:eastAsia="sk-SK"/>
              </w:rPr>
            </w:pPr>
            <w:r w:rsidRPr="00C81E35">
              <w:rPr>
                <w:rFonts w:ascii="Times New Roman" w:hAnsi="Times New Roman" w:cs="Times New Roman"/>
                <w:b/>
                <w:bCs/>
                <w:sz w:val="20"/>
                <w:szCs w:val="20"/>
                <w:lang w:val="cs-CZ" w:eastAsia="sk-SK"/>
              </w:rPr>
              <w:t>%</w:t>
            </w:r>
          </w:p>
        </w:tc>
      </w:tr>
      <w:tr>
        <w:tblPrEx>
          <w:tblW w:w="4962" w:type="pct"/>
          <w:tblLayout w:type="fixed"/>
          <w:tblCellMar>
            <w:left w:w="70" w:type="dxa"/>
            <w:right w:w="70" w:type="dxa"/>
          </w:tblCellMar>
          <w:tblLook w:val="04A0"/>
        </w:tblPrEx>
        <w:trPr>
          <w:trHeight w:val="308"/>
        </w:trPr>
        <w:tc>
          <w:tcPr>
            <w:tcW w:w="1576" w:type="pct"/>
            <w:tcBorders>
              <w:top w:val="nil"/>
              <w:left w:val="single" w:sz="8" w:space="0" w:color="auto"/>
              <w:bottom w:val="single" w:sz="8" w:space="0" w:color="auto"/>
              <w:right w:val="single" w:sz="8" w:space="0" w:color="auto"/>
            </w:tcBorders>
            <w:textDirection w:val="lrTb"/>
            <w:vAlign w:val="center"/>
          </w:tcPr>
          <w:p w:rsidR="00C81E35" w:rsidRPr="00C81E35" w:rsidP="00D303EF">
            <w:pPr>
              <w:bidi w:val="0"/>
              <w:spacing w:after="0"/>
              <w:rPr>
                <w:rFonts w:ascii="Times New Roman" w:hAnsi="Times New Roman" w:cs="Times New Roman"/>
                <w:bCs/>
                <w:sz w:val="20"/>
                <w:szCs w:val="20"/>
                <w:lang w:eastAsia="sk-SK"/>
              </w:rPr>
            </w:pPr>
          </w:p>
        </w:tc>
        <w:tc>
          <w:tcPr>
            <w:tcW w:w="789" w:type="pct"/>
            <w:tcBorders>
              <w:top w:val="nil"/>
              <w:left w:val="nil"/>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b/>
                <w:bCs/>
                <w:sz w:val="20"/>
                <w:szCs w:val="20"/>
                <w:lang w:eastAsia="sk-SK"/>
              </w:rPr>
            </w:pPr>
            <w:r w:rsidRPr="00C81E35">
              <w:rPr>
                <w:rFonts w:ascii="Times New Roman" w:hAnsi="Times New Roman" w:cs="Times New Roman"/>
                <w:b/>
                <w:bCs/>
                <w:sz w:val="20"/>
                <w:szCs w:val="20"/>
                <w:lang w:eastAsia="sk-SK"/>
              </w:rPr>
              <w:t>A</w:t>
            </w:r>
          </w:p>
        </w:tc>
        <w:tc>
          <w:tcPr>
            <w:tcW w:w="755" w:type="pct"/>
            <w:tcBorders>
              <w:top w:val="single" w:sz="8" w:space="0" w:color="auto"/>
              <w:left w:val="nil"/>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b/>
                <w:bCs/>
                <w:sz w:val="20"/>
                <w:szCs w:val="20"/>
                <w:lang w:eastAsia="sk-SK"/>
              </w:rPr>
            </w:pPr>
            <w:r w:rsidRPr="00C81E35">
              <w:rPr>
                <w:rFonts w:ascii="Times New Roman" w:hAnsi="Times New Roman" w:cs="Times New Roman"/>
                <w:b/>
                <w:bCs/>
                <w:sz w:val="20"/>
                <w:szCs w:val="20"/>
                <w:lang w:eastAsia="sk-SK"/>
              </w:rPr>
              <w:t>B</w:t>
            </w:r>
          </w:p>
        </w:tc>
        <w:tc>
          <w:tcPr>
            <w:tcW w:w="464"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b/>
                <w:bCs/>
                <w:sz w:val="20"/>
                <w:szCs w:val="20"/>
                <w:lang w:eastAsia="sk-SK"/>
              </w:rPr>
            </w:pPr>
            <w:r w:rsidRPr="00C81E35">
              <w:rPr>
                <w:rFonts w:ascii="Times New Roman" w:hAnsi="Times New Roman" w:cs="Times New Roman"/>
                <w:b/>
                <w:bCs/>
                <w:sz w:val="20"/>
                <w:szCs w:val="20"/>
                <w:lang w:eastAsia="sk-SK"/>
              </w:rPr>
              <w:t>C=B/A</w:t>
            </w:r>
          </w:p>
        </w:tc>
        <w:tc>
          <w:tcPr>
            <w:tcW w:w="768" w:type="pct"/>
            <w:tcBorders>
              <w:top w:val="single" w:sz="8" w:space="0" w:color="auto"/>
              <w:left w:val="nil"/>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b/>
                <w:bCs/>
                <w:sz w:val="20"/>
                <w:szCs w:val="20"/>
                <w:lang w:eastAsia="sk-SK"/>
              </w:rPr>
            </w:pPr>
            <w:r w:rsidRPr="00C81E35">
              <w:rPr>
                <w:rFonts w:ascii="Times New Roman" w:hAnsi="Times New Roman" w:cs="Times New Roman"/>
                <w:b/>
                <w:bCs/>
                <w:sz w:val="20"/>
                <w:szCs w:val="20"/>
                <w:lang w:eastAsia="sk-SK"/>
              </w:rPr>
              <w:t>D</w:t>
            </w:r>
          </w:p>
        </w:tc>
        <w:tc>
          <w:tcPr>
            <w:tcW w:w="649"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b/>
                <w:bCs/>
                <w:sz w:val="20"/>
                <w:szCs w:val="20"/>
                <w:lang w:eastAsia="sk-SK"/>
              </w:rPr>
            </w:pPr>
            <w:r w:rsidRPr="00C81E35">
              <w:rPr>
                <w:rFonts w:ascii="Times New Roman" w:hAnsi="Times New Roman" w:cs="Times New Roman"/>
                <w:b/>
                <w:bCs/>
                <w:sz w:val="20"/>
                <w:szCs w:val="20"/>
                <w:lang w:eastAsia="sk-SK"/>
              </w:rPr>
              <w:t>E=D/A</w:t>
            </w:r>
          </w:p>
        </w:tc>
      </w:tr>
      <w:tr>
        <w:tblPrEx>
          <w:tblW w:w="4962" w:type="pct"/>
          <w:tblLayout w:type="fixed"/>
          <w:tblCellMar>
            <w:left w:w="70" w:type="dxa"/>
            <w:right w:w="70" w:type="dxa"/>
          </w:tblCellMar>
          <w:tblLook w:val="04A0"/>
        </w:tblPrEx>
        <w:trPr>
          <w:trHeight w:val="308"/>
        </w:trPr>
        <w:tc>
          <w:tcPr>
            <w:tcW w:w="1576" w:type="pct"/>
            <w:tcBorders>
              <w:top w:val="nil"/>
              <w:left w:val="single" w:sz="8" w:space="0" w:color="auto"/>
              <w:bottom w:val="single" w:sz="8" w:space="0" w:color="auto"/>
              <w:right w:val="single" w:sz="8" w:space="0" w:color="auto"/>
            </w:tcBorders>
            <w:textDirection w:val="lrTb"/>
            <w:vAlign w:val="center"/>
          </w:tcPr>
          <w:p w:rsidR="00C81E35" w:rsidRPr="00C81E35" w:rsidP="00D303EF">
            <w:pPr>
              <w:bidi w:val="0"/>
              <w:spacing w:after="0"/>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OP Vzdelávanie</w:t>
            </w:r>
          </w:p>
        </w:tc>
        <w:tc>
          <w:tcPr>
            <w:tcW w:w="789" w:type="pct"/>
            <w:tcBorders>
              <w:top w:val="nil"/>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542 728 760</w:t>
            </w:r>
          </w:p>
        </w:tc>
        <w:tc>
          <w:tcPr>
            <w:tcW w:w="755"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365 765 816</w:t>
            </w:r>
          </w:p>
        </w:tc>
        <w:tc>
          <w:tcPr>
            <w:tcW w:w="464"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67,39%</w:t>
            </w:r>
          </w:p>
        </w:tc>
        <w:tc>
          <w:tcPr>
            <w:tcW w:w="768"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434 549 878</w:t>
            </w:r>
          </w:p>
        </w:tc>
        <w:tc>
          <w:tcPr>
            <w:tcW w:w="649"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80,07%</w:t>
            </w:r>
          </w:p>
        </w:tc>
      </w:tr>
      <w:tr>
        <w:tblPrEx>
          <w:tblW w:w="4962" w:type="pct"/>
          <w:tblLayout w:type="fixed"/>
          <w:tblCellMar>
            <w:left w:w="70" w:type="dxa"/>
            <w:right w:w="70" w:type="dxa"/>
          </w:tblCellMar>
          <w:tblLook w:val="04A0"/>
        </w:tblPrEx>
        <w:trPr>
          <w:trHeight w:val="308"/>
        </w:trPr>
        <w:tc>
          <w:tcPr>
            <w:tcW w:w="1576" w:type="pct"/>
            <w:tcBorders>
              <w:top w:val="nil"/>
              <w:left w:val="single" w:sz="8" w:space="0" w:color="auto"/>
              <w:bottom w:val="single" w:sz="8" w:space="0" w:color="auto"/>
              <w:right w:val="single" w:sz="8" w:space="0" w:color="auto"/>
            </w:tcBorders>
            <w:textDirection w:val="lrTb"/>
            <w:vAlign w:val="center"/>
          </w:tcPr>
          <w:p w:rsidR="00C81E35" w:rsidRPr="00C81E35" w:rsidP="00D303EF">
            <w:pPr>
              <w:bidi w:val="0"/>
              <w:spacing w:after="0"/>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OP Zamestn. a sociálna inklúzia</w:t>
            </w:r>
          </w:p>
        </w:tc>
        <w:tc>
          <w:tcPr>
            <w:tcW w:w="789" w:type="pct"/>
            <w:tcBorders>
              <w:top w:val="nil"/>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941 301 578</w:t>
            </w:r>
          </w:p>
        </w:tc>
        <w:tc>
          <w:tcPr>
            <w:tcW w:w="755"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726 668 902</w:t>
            </w:r>
          </w:p>
        </w:tc>
        <w:tc>
          <w:tcPr>
            <w:tcW w:w="464"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77,20%</w:t>
            </w:r>
          </w:p>
        </w:tc>
        <w:tc>
          <w:tcPr>
            <w:tcW w:w="768"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785 513 889</w:t>
            </w:r>
          </w:p>
        </w:tc>
        <w:tc>
          <w:tcPr>
            <w:tcW w:w="649"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83,45%</w:t>
            </w:r>
          </w:p>
        </w:tc>
      </w:tr>
      <w:tr>
        <w:tblPrEx>
          <w:tblW w:w="4962" w:type="pct"/>
          <w:tblLayout w:type="fixed"/>
          <w:tblCellMar>
            <w:left w:w="70" w:type="dxa"/>
            <w:right w:w="70" w:type="dxa"/>
          </w:tblCellMar>
          <w:tblLook w:val="04A0"/>
        </w:tblPrEx>
        <w:trPr>
          <w:trHeight w:val="308"/>
        </w:trPr>
        <w:tc>
          <w:tcPr>
            <w:tcW w:w="1576" w:type="pct"/>
            <w:tcBorders>
              <w:top w:val="nil"/>
              <w:left w:val="single" w:sz="8" w:space="0" w:color="auto"/>
              <w:bottom w:val="single" w:sz="8" w:space="0" w:color="auto"/>
              <w:right w:val="single" w:sz="8" w:space="0" w:color="auto"/>
            </w:tcBorders>
            <w:textDirection w:val="lrTb"/>
            <w:vAlign w:val="center"/>
          </w:tcPr>
          <w:p w:rsidR="00C81E35" w:rsidRPr="00C81E35" w:rsidP="00D303EF">
            <w:pPr>
              <w:bidi w:val="0"/>
              <w:spacing w:after="0"/>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OP Informatizácia spoločnosti</w:t>
            </w:r>
          </w:p>
        </w:tc>
        <w:tc>
          <w:tcPr>
            <w:tcW w:w="789" w:type="pct"/>
            <w:tcBorders>
              <w:top w:val="nil"/>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843 595 405</w:t>
            </w:r>
          </w:p>
        </w:tc>
        <w:tc>
          <w:tcPr>
            <w:tcW w:w="755"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586 755 778</w:t>
            </w:r>
          </w:p>
        </w:tc>
        <w:tc>
          <w:tcPr>
            <w:tcW w:w="464"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69,55%</w:t>
            </w:r>
          </w:p>
        </w:tc>
        <w:tc>
          <w:tcPr>
            <w:tcW w:w="768"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638 719 662</w:t>
            </w:r>
          </w:p>
        </w:tc>
        <w:tc>
          <w:tcPr>
            <w:tcW w:w="649"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75,71%</w:t>
            </w:r>
          </w:p>
        </w:tc>
      </w:tr>
      <w:tr>
        <w:tblPrEx>
          <w:tblW w:w="4962" w:type="pct"/>
          <w:tblLayout w:type="fixed"/>
          <w:tblCellMar>
            <w:left w:w="70" w:type="dxa"/>
            <w:right w:w="70" w:type="dxa"/>
          </w:tblCellMar>
          <w:tblLook w:val="04A0"/>
        </w:tblPrEx>
        <w:trPr>
          <w:trHeight w:val="308"/>
        </w:trPr>
        <w:tc>
          <w:tcPr>
            <w:tcW w:w="1576" w:type="pct"/>
            <w:tcBorders>
              <w:top w:val="nil"/>
              <w:left w:val="single" w:sz="8" w:space="0" w:color="auto"/>
              <w:bottom w:val="single" w:sz="8" w:space="0" w:color="auto"/>
              <w:right w:val="single" w:sz="8" w:space="0" w:color="auto"/>
            </w:tcBorders>
            <w:textDirection w:val="lrTb"/>
            <w:vAlign w:val="center"/>
          </w:tcPr>
          <w:p w:rsidR="00C81E35" w:rsidRPr="00C81E35" w:rsidP="00D50D44">
            <w:pPr>
              <w:bidi w:val="0"/>
              <w:spacing w:after="0"/>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 xml:space="preserve">OP Životné prostredie </w:t>
            </w:r>
          </w:p>
        </w:tc>
        <w:tc>
          <w:tcPr>
            <w:tcW w:w="789" w:type="pct"/>
            <w:tcBorders>
              <w:top w:val="nil"/>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1 820 000 000</w:t>
            </w:r>
          </w:p>
        </w:tc>
        <w:tc>
          <w:tcPr>
            <w:tcW w:w="755"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1 027 014 317</w:t>
            </w:r>
          </w:p>
        </w:tc>
        <w:tc>
          <w:tcPr>
            <w:tcW w:w="464"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56,43%</w:t>
            </w:r>
          </w:p>
        </w:tc>
        <w:tc>
          <w:tcPr>
            <w:tcW w:w="768"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1 050 314 454</w:t>
            </w:r>
          </w:p>
        </w:tc>
        <w:tc>
          <w:tcPr>
            <w:tcW w:w="649"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57,71%</w:t>
            </w:r>
          </w:p>
        </w:tc>
      </w:tr>
      <w:tr>
        <w:tblPrEx>
          <w:tblW w:w="4962" w:type="pct"/>
          <w:tblLayout w:type="fixed"/>
          <w:tblCellMar>
            <w:left w:w="70" w:type="dxa"/>
            <w:right w:w="70" w:type="dxa"/>
          </w:tblCellMar>
          <w:tblLook w:val="04A0"/>
        </w:tblPrEx>
        <w:trPr>
          <w:trHeight w:val="308"/>
        </w:trPr>
        <w:tc>
          <w:tcPr>
            <w:tcW w:w="1576" w:type="pct"/>
            <w:tcBorders>
              <w:top w:val="nil"/>
              <w:left w:val="single" w:sz="8" w:space="0" w:color="auto"/>
              <w:bottom w:val="single" w:sz="8" w:space="0" w:color="auto"/>
              <w:right w:val="single" w:sz="8" w:space="0" w:color="auto"/>
            </w:tcBorders>
            <w:textDirection w:val="lrTb"/>
            <w:vAlign w:val="center"/>
          </w:tcPr>
          <w:p w:rsidR="00C81E35" w:rsidRPr="00C81E35" w:rsidP="00D303EF">
            <w:pPr>
              <w:bidi w:val="0"/>
              <w:spacing w:after="0"/>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Regionálny OP</w:t>
            </w:r>
          </w:p>
        </w:tc>
        <w:tc>
          <w:tcPr>
            <w:tcW w:w="789" w:type="pct"/>
            <w:tcBorders>
              <w:top w:val="nil"/>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1 554 503 927</w:t>
            </w:r>
          </w:p>
        </w:tc>
        <w:tc>
          <w:tcPr>
            <w:tcW w:w="755"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1 273 725 689</w:t>
            </w:r>
          </w:p>
        </w:tc>
        <w:tc>
          <w:tcPr>
            <w:tcW w:w="464"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81,94%</w:t>
            </w:r>
          </w:p>
        </w:tc>
        <w:tc>
          <w:tcPr>
            <w:tcW w:w="768"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1 280 517 087</w:t>
            </w:r>
          </w:p>
        </w:tc>
        <w:tc>
          <w:tcPr>
            <w:tcW w:w="649"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82,37%</w:t>
            </w:r>
          </w:p>
        </w:tc>
      </w:tr>
      <w:tr>
        <w:tblPrEx>
          <w:tblW w:w="4962" w:type="pct"/>
          <w:tblLayout w:type="fixed"/>
          <w:tblCellMar>
            <w:left w:w="70" w:type="dxa"/>
            <w:right w:w="70" w:type="dxa"/>
          </w:tblCellMar>
          <w:tblLook w:val="04A0"/>
        </w:tblPrEx>
        <w:trPr>
          <w:trHeight w:val="308"/>
        </w:trPr>
        <w:tc>
          <w:tcPr>
            <w:tcW w:w="1576" w:type="pct"/>
            <w:tcBorders>
              <w:top w:val="nil"/>
              <w:left w:val="single" w:sz="8" w:space="0" w:color="auto"/>
              <w:bottom w:val="single" w:sz="8" w:space="0" w:color="auto"/>
              <w:right w:val="single" w:sz="8" w:space="0" w:color="auto"/>
            </w:tcBorders>
            <w:textDirection w:val="lrTb"/>
            <w:vAlign w:val="center"/>
          </w:tcPr>
          <w:p w:rsidR="00C81E35" w:rsidRPr="00C81E35" w:rsidP="00D50D44">
            <w:pPr>
              <w:bidi w:val="0"/>
              <w:spacing w:after="0"/>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 xml:space="preserve">OP Doprava </w:t>
            </w:r>
          </w:p>
        </w:tc>
        <w:tc>
          <w:tcPr>
            <w:tcW w:w="789" w:type="pct"/>
            <w:tcBorders>
              <w:top w:val="nil"/>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3 160 154 595</w:t>
            </w:r>
          </w:p>
        </w:tc>
        <w:tc>
          <w:tcPr>
            <w:tcW w:w="755"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sz w:val="20"/>
                <w:szCs w:val="20"/>
                <w:lang w:eastAsia="sk-SK"/>
              </w:rPr>
            </w:pPr>
            <w:r w:rsidR="00112D94">
              <w:rPr>
                <w:rFonts w:ascii="Times New Roman" w:hAnsi="Times New Roman" w:cs="Times New Roman"/>
                <w:bCs/>
                <w:sz w:val="20"/>
                <w:szCs w:val="20"/>
                <w:lang w:eastAsia="sk-SK"/>
              </w:rPr>
              <w:t>2 100 099 839</w:t>
            </w:r>
          </w:p>
        </w:tc>
        <w:tc>
          <w:tcPr>
            <w:tcW w:w="464"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66,46%</w:t>
            </w:r>
          </w:p>
        </w:tc>
        <w:tc>
          <w:tcPr>
            <w:tcW w:w="768"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2 128 613 811</w:t>
            </w:r>
          </w:p>
        </w:tc>
        <w:tc>
          <w:tcPr>
            <w:tcW w:w="649"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67,36%</w:t>
            </w:r>
          </w:p>
        </w:tc>
      </w:tr>
      <w:tr>
        <w:tblPrEx>
          <w:tblW w:w="4962" w:type="pct"/>
          <w:tblLayout w:type="fixed"/>
          <w:tblCellMar>
            <w:left w:w="70" w:type="dxa"/>
            <w:right w:w="70" w:type="dxa"/>
          </w:tblCellMar>
          <w:tblLook w:val="04A0"/>
        </w:tblPrEx>
        <w:trPr>
          <w:trHeight w:val="308"/>
        </w:trPr>
        <w:tc>
          <w:tcPr>
            <w:tcW w:w="1576" w:type="pct"/>
            <w:tcBorders>
              <w:top w:val="nil"/>
              <w:left w:val="single" w:sz="8" w:space="0" w:color="auto"/>
              <w:bottom w:val="single" w:sz="8" w:space="0" w:color="auto"/>
              <w:right w:val="single" w:sz="8" w:space="0" w:color="auto"/>
            </w:tcBorders>
            <w:textDirection w:val="lrTb"/>
            <w:vAlign w:val="center"/>
          </w:tcPr>
          <w:p w:rsidR="00C81E35" w:rsidRPr="00C81E35" w:rsidP="00D303EF">
            <w:pPr>
              <w:bidi w:val="0"/>
              <w:spacing w:after="0"/>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OP Zdravotníctvo</w:t>
            </w:r>
          </w:p>
        </w:tc>
        <w:tc>
          <w:tcPr>
            <w:tcW w:w="789" w:type="pct"/>
            <w:tcBorders>
              <w:top w:val="nil"/>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250 000 000</w:t>
            </w:r>
          </w:p>
        </w:tc>
        <w:tc>
          <w:tcPr>
            <w:tcW w:w="755"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203 786 329</w:t>
            </w:r>
          </w:p>
        </w:tc>
        <w:tc>
          <w:tcPr>
            <w:tcW w:w="464"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81,51%</w:t>
            </w:r>
          </w:p>
        </w:tc>
        <w:tc>
          <w:tcPr>
            <w:tcW w:w="768"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207 194 311</w:t>
            </w:r>
          </w:p>
        </w:tc>
        <w:tc>
          <w:tcPr>
            <w:tcW w:w="649"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82,88%</w:t>
            </w:r>
          </w:p>
        </w:tc>
      </w:tr>
      <w:tr>
        <w:tblPrEx>
          <w:tblW w:w="4962" w:type="pct"/>
          <w:tblLayout w:type="fixed"/>
          <w:tblCellMar>
            <w:left w:w="70" w:type="dxa"/>
            <w:right w:w="70" w:type="dxa"/>
          </w:tblCellMar>
          <w:tblLook w:val="04A0"/>
        </w:tblPrEx>
        <w:trPr>
          <w:trHeight w:val="308"/>
        </w:trPr>
        <w:tc>
          <w:tcPr>
            <w:tcW w:w="1576" w:type="pct"/>
            <w:tcBorders>
              <w:top w:val="nil"/>
              <w:left w:val="single" w:sz="8" w:space="0" w:color="auto"/>
              <w:bottom w:val="single" w:sz="8" w:space="0" w:color="auto"/>
              <w:right w:val="single" w:sz="8" w:space="0" w:color="auto"/>
            </w:tcBorders>
            <w:textDirection w:val="lrTb"/>
            <w:vAlign w:val="center"/>
          </w:tcPr>
          <w:p w:rsidR="00C81E35" w:rsidRPr="00C81E35" w:rsidP="00D303EF">
            <w:pPr>
              <w:bidi w:val="0"/>
              <w:spacing w:after="0"/>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OP Konkurenc. a hosp. rast</w:t>
            </w:r>
          </w:p>
        </w:tc>
        <w:tc>
          <w:tcPr>
            <w:tcW w:w="789" w:type="pct"/>
            <w:tcBorders>
              <w:top w:val="nil"/>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968 250 000</w:t>
            </w:r>
          </w:p>
        </w:tc>
        <w:tc>
          <w:tcPr>
            <w:tcW w:w="755"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530 617 663</w:t>
            </w:r>
          </w:p>
        </w:tc>
        <w:tc>
          <w:tcPr>
            <w:tcW w:w="464"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54,80%</w:t>
            </w:r>
          </w:p>
        </w:tc>
        <w:tc>
          <w:tcPr>
            <w:tcW w:w="768"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536 979 679</w:t>
            </w:r>
          </w:p>
        </w:tc>
        <w:tc>
          <w:tcPr>
            <w:tcW w:w="649"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55,46%</w:t>
            </w:r>
          </w:p>
        </w:tc>
      </w:tr>
      <w:tr>
        <w:tblPrEx>
          <w:tblW w:w="4962" w:type="pct"/>
          <w:tblLayout w:type="fixed"/>
          <w:tblCellMar>
            <w:left w:w="70" w:type="dxa"/>
            <w:right w:w="70" w:type="dxa"/>
          </w:tblCellMar>
          <w:tblLook w:val="04A0"/>
        </w:tblPrEx>
        <w:trPr>
          <w:trHeight w:val="308"/>
        </w:trPr>
        <w:tc>
          <w:tcPr>
            <w:tcW w:w="1576" w:type="pct"/>
            <w:tcBorders>
              <w:top w:val="nil"/>
              <w:left w:val="single" w:sz="8" w:space="0" w:color="auto"/>
              <w:bottom w:val="single" w:sz="8" w:space="0" w:color="auto"/>
              <w:right w:val="single" w:sz="8" w:space="0" w:color="auto"/>
            </w:tcBorders>
            <w:textDirection w:val="lrTb"/>
            <w:vAlign w:val="center"/>
            <w:hideMark/>
          </w:tcPr>
          <w:p w:rsidR="00C81E35" w:rsidRPr="00C81E35" w:rsidP="00D303EF">
            <w:pPr>
              <w:bidi w:val="0"/>
              <w:spacing w:after="0"/>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OP Technická pomoc</w:t>
            </w:r>
          </w:p>
        </w:tc>
        <w:tc>
          <w:tcPr>
            <w:tcW w:w="789" w:type="pct"/>
            <w:tcBorders>
              <w:top w:val="nil"/>
              <w:left w:val="nil"/>
              <w:bottom w:val="single" w:sz="8" w:space="0" w:color="auto"/>
              <w:right w:val="single" w:sz="8" w:space="0" w:color="auto"/>
            </w:tcBorders>
            <w:textDirection w:val="lrTb"/>
            <w:vAlign w:val="center"/>
            <w:hideMark/>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97 601 421</w:t>
            </w:r>
          </w:p>
        </w:tc>
        <w:tc>
          <w:tcPr>
            <w:tcW w:w="755"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65 411 919</w:t>
            </w:r>
          </w:p>
        </w:tc>
        <w:tc>
          <w:tcPr>
            <w:tcW w:w="464"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67,02%</w:t>
            </w:r>
          </w:p>
        </w:tc>
        <w:tc>
          <w:tcPr>
            <w:tcW w:w="768"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66 763 654</w:t>
            </w:r>
          </w:p>
        </w:tc>
        <w:tc>
          <w:tcPr>
            <w:tcW w:w="649"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68,40%</w:t>
            </w:r>
          </w:p>
        </w:tc>
      </w:tr>
      <w:tr>
        <w:tblPrEx>
          <w:tblW w:w="4962" w:type="pct"/>
          <w:tblLayout w:type="fixed"/>
          <w:tblCellMar>
            <w:left w:w="70" w:type="dxa"/>
            <w:right w:w="70" w:type="dxa"/>
          </w:tblCellMar>
          <w:tblLook w:val="04A0"/>
        </w:tblPrEx>
        <w:trPr>
          <w:trHeight w:val="308"/>
        </w:trPr>
        <w:tc>
          <w:tcPr>
            <w:tcW w:w="1576" w:type="pct"/>
            <w:tcBorders>
              <w:top w:val="nil"/>
              <w:left w:val="single" w:sz="8" w:space="0" w:color="auto"/>
              <w:bottom w:val="single" w:sz="8" w:space="0" w:color="auto"/>
              <w:right w:val="single" w:sz="8" w:space="0" w:color="auto"/>
            </w:tcBorders>
            <w:textDirection w:val="lrTb"/>
            <w:vAlign w:val="center"/>
            <w:hideMark/>
          </w:tcPr>
          <w:p w:rsidR="00C81E35" w:rsidRPr="00C81E35" w:rsidP="00D303EF">
            <w:pPr>
              <w:bidi w:val="0"/>
              <w:spacing w:after="0"/>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OP Bratislavský kraj</w:t>
            </w:r>
          </w:p>
        </w:tc>
        <w:tc>
          <w:tcPr>
            <w:tcW w:w="789" w:type="pct"/>
            <w:tcBorders>
              <w:top w:val="nil"/>
              <w:left w:val="nil"/>
              <w:bottom w:val="single" w:sz="8" w:space="0" w:color="auto"/>
              <w:right w:val="single" w:sz="8" w:space="0" w:color="auto"/>
            </w:tcBorders>
            <w:textDirection w:val="lrTb"/>
            <w:vAlign w:val="center"/>
            <w:hideMark/>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95 207 607</w:t>
            </w:r>
          </w:p>
        </w:tc>
        <w:tc>
          <w:tcPr>
            <w:tcW w:w="755"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63 510 689</w:t>
            </w:r>
          </w:p>
        </w:tc>
        <w:tc>
          <w:tcPr>
            <w:tcW w:w="464"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66,71%</w:t>
            </w:r>
          </w:p>
        </w:tc>
        <w:tc>
          <w:tcPr>
            <w:tcW w:w="768"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64 083 276</w:t>
            </w:r>
          </w:p>
        </w:tc>
        <w:tc>
          <w:tcPr>
            <w:tcW w:w="649"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67,31%</w:t>
            </w:r>
          </w:p>
        </w:tc>
      </w:tr>
      <w:tr>
        <w:tblPrEx>
          <w:tblW w:w="4962" w:type="pct"/>
          <w:tblLayout w:type="fixed"/>
          <w:tblCellMar>
            <w:left w:w="70" w:type="dxa"/>
            <w:right w:w="70" w:type="dxa"/>
          </w:tblCellMar>
          <w:tblLook w:val="04A0"/>
        </w:tblPrEx>
        <w:trPr>
          <w:trHeight w:val="308"/>
        </w:trPr>
        <w:tc>
          <w:tcPr>
            <w:tcW w:w="1576" w:type="pct"/>
            <w:tcBorders>
              <w:top w:val="nil"/>
              <w:left w:val="single" w:sz="8" w:space="0" w:color="auto"/>
              <w:bottom w:val="single" w:sz="8" w:space="0" w:color="auto"/>
              <w:right w:val="single" w:sz="8" w:space="0" w:color="auto"/>
            </w:tcBorders>
            <w:textDirection w:val="lrTb"/>
            <w:vAlign w:val="center"/>
          </w:tcPr>
          <w:p w:rsidR="00C81E35" w:rsidRPr="00C81E35" w:rsidP="00D303EF">
            <w:pPr>
              <w:bidi w:val="0"/>
              <w:spacing w:after="0"/>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OP Výskum a vývoj</w:t>
            </w:r>
          </w:p>
        </w:tc>
        <w:tc>
          <w:tcPr>
            <w:tcW w:w="789" w:type="pct"/>
            <w:tcBorders>
              <w:top w:val="nil"/>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1 209 415 373</w:t>
            </w:r>
          </w:p>
        </w:tc>
        <w:tc>
          <w:tcPr>
            <w:tcW w:w="755"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834 659 132</w:t>
            </w:r>
          </w:p>
        </w:tc>
        <w:tc>
          <w:tcPr>
            <w:tcW w:w="464"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sz w:val="20"/>
                <w:szCs w:val="20"/>
                <w:lang w:eastAsia="sk-SK"/>
              </w:rPr>
            </w:pPr>
            <w:r w:rsidRPr="00C81E35">
              <w:rPr>
                <w:rFonts w:ascii="Times New Roman" w:hAnsi="Times New Roman" w:cs="Times New Roman"/>
                <w:bCs/>
                <w:sz w:val="20"/>
                <w:szCs w:val="20"/>
                <w:lang w:eastAsia="sk-SK"/>
              </w:rPr>
              <w:t>69,01%</w:t>
            </w:r>
          </w:p>
        </w:tc>
        <w:tc>
          <w:tcPr>
            <w:tcW w:w="768" w:type="pct"/>
            <w:tcBorders>
              <w:top w:val="single" w:sz="8" w:space="0" w:color="auto"/>
              <w:left w:val="nil"/>
              <w:bottom w:val="single" w:sz="8" w:space="0" w:color="auto"/>
              <w:right w:val="single" w:sz="8" w:space="0" w:color="auto"/>
            </w:tcBorders>
            <w:textDirection w:val="lrTb"/>
            <w:vAlign w:val="center"/>
          </w:tcPr>
          <w:p w:rsidR="00C81E35" w:rsidRPr="00C81E35" w:rsidP="00C81E35">
            <w:pPr>
              <w:bidi w:val="0"/>
              <w:spacing w:after="0"/>
              <w:jc w:val="right"/>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881 651 797</w:t>
            </w:r>
          </w:p>
        </w:tc>
        <w:tc>
          <w:tcPr>
            <w:tcW w:w="649" w:type="pct"/>
            <w:tcBorders>
              <w:top w:val="single" w:sz="8" w:space="0" w:color="auto"/>
              <w:left w:val="single" w:sz="8" w:space="0" w:color="auto"/>
              <w:bottom w:val="single" w:sz="8" w:space="0" w:color="auto"/>
              <w:right w:val="single" w:sz="8" w:space="0" w:color="auto"/>
            </w:tcBorders>
            <w:textDirection w:val="lrTb"/>
            <w:vAlign w:val="center"/>
          </w:tcPr>
          <w:p w:rsidR="00C81E35" w:rsidRPr="00C81E35" w:rsidP="00D303EF">
            <w:pPr>
              <w:bidi w:val="0"/>
              <w:spacing w:after="0"/>
              <w:jc w:val="center"/>
              <w:rPr>
                <w:rFonts w:ascii="Times New Roman" w:hAnsi="Times New Roman" w:cs="Times New Roman"/>
                <w:bCs/>
                <w:sz w:val="20"/>
                <w:szCs w:val="20"/>
                <w:lang w:eastAsia="sk-SK"/>
              </w:rPr>
            </w:pPr>
            <w:r w:rsidRPr="00C81E35">
              <w:rPr>
                <w:rFonts w:ascii="Times New Roman" w:hAnsi="Times New Roman" w:cs="Times New Roman"/>
                <w:bCs/>
                <w:sz w:val="20"/>
                <w:szCs w:val="20"/>
                <w:lang w:eastAsia="sk-SK"/>
              </w:rPr>
              <w:t>72,90%</w:t>
            </w:r>
          </w:p>
        </w:tc>
      </w:tr>
      <w:tr>
        <w:tblPrEx>
          <w:tblW w:w="4962" w:type="pct"/>
          <w:tblLayout w:type="fixed"/>
          <w:tblCellMar>
            <w:left w:w="70" w:type="dxa"/>
            <w:right w:w="70" w:type="dxa"/>
          </w:tblCellMar>
          <w:tblLook w:val="04A0"/>
        </w:tblPrEx>
        <w:trPr>
          <w:trHeight w:val="308"/>
        </w:trPr>
        <w:tc>
          <w:tcPr>
            <w:tcW w:w="1576" w:type="pct"/>
            <w:tcBorders>
              <w:top w:val="nil"/>
              <w:left w:val="single" w:sz="8" w:space="0" w:color="auto"/>
              <w:bottom w:val="single" w:sz="8" w:space="0" w:color="auto"/>
              <w:right w:val="single" w:sz="8" w:space="0" w:color="auto"/>
            </w:tcBorders>
            <w:shd w:val="clear" w:color="000000" w:fill="999999"/>
            <w:textDirection w:val="lrTb"/>
            <w:vAlign w:val="center"/>
            <w:hideMark/>
          </w:tcPr>
          <w:p w:rsidR="00C81E35" w:rsidRPr="00C81E35" w:rsidP="00D303EF">
            <w:pPr>
              <w:bidi w:val="0"/>
              <w:spacing w:after="0"/>
              <w:jc w:val="center"/>
              <w:rPr>
                <w:rFonts w:ascii="Times New Roman" w:hAnsi="Times New Roman" w:cs="Times New Roman"/>
                <w:b/>
                <w:bCs/>
                <w:sz w:val="20"/>
                <w:szCs w:val="20"/>
                <w:lang w:eastAsia="sk-SK"/>
              </w:rPr>
            </w:pPr>
            <w:r w:rsidRPr="00C81E35">
              <w:rPr>
                <w:rFonts w:ascii="Times New Roman" w:hAnsi="Times New Roman" w:cs="Times New Roman"/>
                <w:b/>
                <w:bCs/>
                <w:sz w:val="20"/>
                <w:szCs w:val="20"/>
                <w:lang w:eastAsia="sk-SK"/>
              </w:rPr>
              <w:t>SPOLU</w:t>
            </w:r>
          </w:p>
        </w:tc>
        <w:tc>
          <w:tcPr>
            <w:tcW w:w="789" w:type="pct"/>
            <w:tcBorders>
              <w:top w:val="nil"/>
              <w:left w:val="nil"/>
              <w:bottom w:val="single" w:sz="8" w:space="0" w:color="auto"/>
              <w:right w:val="single" w:sz="8" w:space="0" w:color="auto"/>
            </w:tcBorders>
            <w:shd w:val="clear" w:color="000000" w:fill="999999"/>
            <w:textDirection w:val="lrTb"/>
            <w:vAlign w:val="center"/>
            <w:hideMark/>
          </w:tcPr>
          <w:p w:rsidR="00C81E35" w:rsidRPr="00C81E35" w:rsidP="00C81E35">
            <w:pPr>
              <w:bidi w:val="0"/>
              <w:spacing w:after="0"/>
              <w:jc w:val="right"/>
              <w:rPr>
                <w:rFonts w:ascii="Times New Roman" w:hAnsi="Times New Roman" w:cs="Times New Roman"/>
                <w:b/>
                <w:bCs/>
                <w:sz w:val="20"/>
                <w:szCs w:val="20"/>
                <w:lang w:eastAsia="sk-SK"/>
              </w:rPr>
            </w:pPr>
            <w:r w:rsidRPr="00C81E35">
              <w:rPr>
                <w:rFonts w:ascii="Times New Roman" w:hAnsi="Times New Roman" w:cs="Times New Roman"/>
                <w:b/>
                <w:bCs/>
                <w:sz w:val="20"/>
                <w:szCs w:val="20"/>
                <w:lang w:eastAsia="sk-SK"/>
              </w:rPr>
              <w:t>11 482 758 666</w:t>
            </w:r>
          </w:p>
        </w:tc>
        <w:tc>
          <w:tcPr>
            <w:tcW w:w="755" w:type="pct"/>
            <w:tcBorders>
              <w:top w:val="single" w:sz="8" w:space="0" w:color="auto"/>
              <w:left w:val="nil"/>
              <w:bottom w:val="single" w:sz="8" w:space="0" w:color="auto"/>
              <w:right w:val="single" w:sz="8" w:space="0" w:color="auto"/>
            </w:tcBorders>
            <w:shd w:val="clear" w:color="000000" w:fill="999999"/>
            <w:textDirection w:val="lrTb"/>
            <w:vAlign w:val="center"/>
          </w:tcPr>
          <w:p w:rsidR="00C81E35" w:rsidRPr="00C81E35" w:rsidP="00C81E35">
            <w:pPr>
              <w:bidi w:val="0"/>
              <w:spacing w:after="0"/>
              <w:jc w:val="right"/>
              <w:rPr>
                <w:rFonts w:ascii="Times New Roman" w:hAnsi="Times New Roman" w:cs="Times New Roman"/>
                <w:b/>
                <w:bCs/>
                <w:sz w:val="20"/>
                <w:szCs w:val="20"/>
                <w:lang w:eastAsia="sk-SK"/>
              </w:rPr>
            </w:pPr>
            <w:r w:rsidRPr="00C81E35">
              <w:rPr>
                <w:rFonts w:ascii="Times New Roman" w:hAnsi="Times New Roman" w:cs="Times New Roman"/>
                <w:b/>
                <w:bCs/>
                <w:sz w:val="20"/>
                <w:szCs w:val="20"/>
                <w:lang w:eastAsia="sk-SK"/>
              </w:rPr>
              <w:t>7 778 016 073</w:t>
            </w:r>
          </w:p>
        </w:tc>
        <w:tc>
          <w:tcPr>
            <w:tcW w:w="464" w:type="pct"/>
            <w:tcBorders>
              <w:top w:val="single" w:sz="8" w:space="0" w:color="auto"/>
              <w:left w:val="single" w:sz="8" w:space="0" w:color="auto"/>
              <w:bottom w:val="single" w:sz="8" w:space="0" w:color="auto"/>
              <w:right w:val="single" w:sz="8" w:space="0" w:color="auto"/>
            </w:tcBorders>
            <w:shd w:val="clear" w:color="000000" w:fill="999999"/>
            <w:textDirection w:val="lrTb"/>
            <w:vAlign w:val="center"/>
          </w:tcPr>
          <w:p w:rsidR="00C81E35" w:rsidRPr="00C81E35" w:rsidP="00D303EF">
            <w:pPr>
              <w:bidi w:val="0"/>
              <w:spacing w:after="0"/>
              <w:jc w:val="center"/>
              <w:rPr>
                <w:rFonts w:ascii="Times New Roman" w:hAnsi="Times New Roman" w:cs="Times New Roman"/>
                <w:b/>
                <w:bCs/>
                <w:sz w:val="20"/>
                <w:szCs w:val="20"/>
                <w:lang w:eastAsia="sk-SK"/>
              </w:rPr>
            </w:pPr>
            <w:r w:rsidRPr="00C81E35">
              <w:rPr>
                <w:rFonts w:ascii="Times New Roman" w:hAnsi="Times New Roman" w:cs="Times New Roman"/>
                <w:b/>
                <w:bCs/>
                <w:sz w:val="20"/>
                <w:szCs w:val="20"/>
                <w:lang w:eastAsia="sk-SK"/>
              </w:rPr>
              <w:t>67,74%</w:t>
            </w:r>
          </w:p>
        </w:tc>
        <w:tc>
          <w:tcPr>
            <w:tcW w:w="768" w:type="pct"/>
            <w:tcBorders>
              <w:top w:val="single" w:sz="8" w:space="0" w:color="auto"/>
              <w:left w:val="nil"/>
              <w:bottom w:val="single" w:sz="8" w:space="0" w:color="auto"/>
              <w:right w:val="single" w:sz="8" w:space="0" w:color="auto"/>
            </w:tcBorders>
            <w:shd w:val="clear" w:color="000000" w:fill="999999"/>
            <w:textDirection w:val="lrTb"/>
            <w:vAlign w:val="center"/>
          </w:tcPr>
          <w:p w:rsidR="00C81E35" w:rsidRPr="00C81E35" w:rsidP="00C81E35">
            <w:pPr>
              <w:bidi w:val="0"/>
              <w:spacing w:after="0"/>
              <w:jc w:val="right"/>
              <w:rPr>
                <w:rFonts w:ascii="Times New Roman" w:hAnsi="Times New Roman" w:cs="Times New Roman"/>
                <w:b/>
                <w:bCs/>
                <w:sz w:val="20"/>
                <w:szCs w:val="20"/>
                <w:lang w:eastAsia="sk-SK"/>
              </w:rPr>
            </w:pPr>
            <w:r w:rsidRPr="00C81E35">
              <w:rPr>
                <w:rFonts w:ascii="Times New Roman" w:hAnsi="Times New Roman" w:cs="Times New Roman"/>
                <w:b/>
                <w:bCs/>
                <w:sz w:val="20"/>
                <w:szCs w:val="20"/>
                <w:lang w:eastAsia="sk-SK"/>
              </w:rPr>
              <w:t>8 074 901 499</w:t>
            </w:r>
          </w:p>
        </w:tc>
        <w:tc>
          <w:tcPr>
            <w:tcW w:w="649" w:type="pct"/>
            <w:tcBorders>
              <w:top w:val="single" w:sz="8" w:space="0" w:color="auto"/>
              <w:left w:val="single" w:sz="8" w:space="0" w:color="auto"/>
              <w:bottom w:val="single" w:sz="8" w:space="0" w:color="auto"/>
              <w:right w:val="single" w:sz="8" w:space="0" w:color="auto"/>
            </w:tcBorders>
            <w:shd w:val="clear" w:color="000000" w:fill="999999"/>
            <w:textDirection w:val="lrTb"/>
            <w:vAlign w:val="center"/>
          </w:tcPr>
          <w:p w:rsidR="00C81E35" w:rsidRPr="00C81E35" w:rsidP="00D303EF">
            <w:pPr>
              <w:bidi w:val="0"/>
              <w:spacing w:after="0"/>
              <w:jc w:val="center"/>
              <w:rPr>
                <w:rFonts w:ascii="Times New Roman" w:hAnsi="Times New Roman" w:cs="Times New Roman"/>
                <w:b/>
                <w:bCs/>
                <w:sz w:val="20"/>
                <w:szCs w:val="20"/>
                <w:lang w:eastAsia="sk-SK"/>
              </w:rPr>
            </w:pPr>
            <w:r w:rsidRPr="00C81E35">
              <w:rPr>
                <w:rFonts w:ascii="Times New Roman" w:hAnsi="Times New Roman" w:cs="Times New Roman"/>
                <w:b/>
                <w:bCs/>
                <w:sz w:val="20"/>
                <w:szCs w:val="20"/>
                <w:lang w:eastAsia="sk-SK"/>
              </w:rPr>
              <w:t>70,32%</w:t>
            </w:r>
          </w:p>
        </w:tc>
      </w:tr>
    </w:tbl>
    <w:p w:rsidR="00FE1238" w:rsidRPr="00D50D44" w:rsidP="00F17675">
      <w:pPr>
        <w:bidi w:val="0"/>
        <w:spacing w:after="0"/>
        <w:rPr>
          <w:rFonts w:ascii="Times New Roman" w:hAnsi="Times New Roman" w:cs="Times New Roman"/>
          <w:sz w:val="20"/>
        </w:rPr>
      </w:pPr>
      <w:r w:rsidRPr="00D50D44">
        <w:rPr>
          <w:rFonts w:ascii="Times New Roman" w:hAnsi="Times New Roman" w:cs="Times New Roman"/>
          <w:sz w:val="20"/>
        </w:rPr>
        <w:t>Zdroj: MF SR</w:t>
      </w:r>
    </w:p>
    <w:p w:rsidR="00FE1238" w:rsidRPr="00D50D44" w:rsidP="00377016">
      <w:pPr>
        <w:keepNext/>
        <w:bidi w:val="0"/>
        <w:spacing w:before="120" w:after="0"/>
        <w:jc w:val="both"/>
        <w:rPr>
          <w:rFonts w:ascii="Times New Roman" w:hAnsi="Times New Roman" w:cs="Times New Roman"/>
        </w:rPr>
      </w:pPr>
      <w:r w:rsidRPr="00D50D44">
        <w:rPr>
          <w:rFonts w:ascii="Times New Roman" w:hAnsi="Times New Roman" w:cs="Times New Roman"/>
        </w:rPr>
        <w:t xml:space="preserve">Graf č. 2: Čerpanie k 30. 04. 2015 z alokácie 2007 – 2013 (EÚ zdroje) </w:t>
      </w:r>
    </w:p>
    <w:p w:rsidR="003433D8" w:rsidRPr="00D50D44" w:rsidP="00D62C95">
      <w:pPr>
        <w:keepNext/>
        <w:bidi w:val="0"/>
        <w:jc w:val="both"/>
        <w:rPr>
          <w:rFonts w:ascii="Times New Roman" w:hAnsi="Times New Roman" w:cs="Times New Roman"/>
        </w:rPr>
      </w:pPr>
      <w:r>
        <w:rPr>
          <w:rFonts w:ascii="Times New Roman" w:hAnsi="Times New Roman" w:cs="Times New Roman"/>
          <w:noProof/>
          <w:rtl w:val="0"/>
          <w:lang w:eastAsia="sk-SK"/>
        </w:rPr>
        <w:pict>
          <v:shape id="Graf 10" o:spid="_x0000_i1026" type="#_x0000_t75" style="width:482.9pt;height:275.55pt;visibility:visible" stroked="f">
            <v:imagedata r:id="rId7" o:title=""/>
            <o:lock v:ext="edit" aspectratio="f"/>
          </v:shape>
        </w:pict>
      </w:r>
      <w:r w:rsidRPr="00D50D44">
        <w:rPr>
          <w:rFonts w:ascii="Times New Roman" w:hAnsi="Times New Roman" w:cs="Times New Roman"/>
          <w:sz w:val="20"/>
        </w:rPr>
        <w:t>Zdroj: MF SR</w:t>
      </w:r>
    </w:p>
    <w:p w:rsidR="00493419" w:rsidRPr="00D50D44" w:rsidP="00D62C95">
      <w:pPr>
        <w:bidi w:val="0"/>
        <w:spacing w:after="0"/>
        <w:ind w:firstLine="709"/>
        <w:jc w:val="both"/>
        <w:rPr>
          <w:rFonts w:ascii="Times New Roman" w:hAnsi="Times New Roman" w:cs="Times New Roman"/>
        </w:rPr>
      </w:pPr>
      <w:r w:rsidRPr="00D50D44" w:rsidR="00FE1238">
        <w:rPr>
          <w:rFonts w:ascii="Times New Roman" w:hAnsi="Times New Roman" w:cs="Times New Roman"/>
        </w:rPr>
        <w:t xml:space="preserve">Za prvé 4 mesiace </w:t>
      </w:r>
      <w:r w:rsidRPr="00D50D44" w:rsidR="003433D8">
        <w:rPr>
          <w:rFonts w:ascii="Times New Roman" w:hAnsi="Times New Roman" w:cs="Times New Roman"/>
        </w:rPr>
        <w:t>roku</w:t>
      </w:r>
      <w:r w:rsidRPr="00D50D44" w:rsidR="00EB6125">
        <w:rPr>
          <w:rFonts w:ascii="Times New Roman" w:hAnsi="Times New Roman" w:cs="Times New Roman"/>
        </w:rPr>
        <w:t xml:space="preserve"> </w:t>
      </w:r>
      <w:r w:rsidRPr="00D50D44" w:rsidR="00FE1238">
        <w:rPr>
          <w:rFonts w:ascii="Times New Roman" w:hAnsi="Times New Roman" w:cs="Times New Roman"/>
        </w:rPr>
        <w:t>2015 došlo k výraznému zrýchleniu čerpania</w:t>
      </w:r>
      <w:r w:rsidRPr="00D50D44" w:rsidR="003433D8">
        <w:rPr>
          <w:rFonts w:ascii="Times New Roman" w:hAnsi="Times New Roman" w:cs="Times New Roman"/>
        </w:rPr>
        <w:t xml:space="preserve"> v porovnaní s </w:t>
      </w:r>
      <w:r w:rsidRPr="00D50D44" w:rsidR="00AB7997">
        <w:rPr>
          <w:rFonts w:ascii="Times New Roman" w:hAnsi="Times New Roman" w:cs="Times New Roman"/>
        </w:rPr>
        <w:t>rokmi</w:t>
      </w:r>
      <w:r w:rsidRPr="00D50D44" w:rsidR="00EB6125">
        <w:rPr>
          <w:rFonts w:ascii="Times New Roman" w:hAnsi="Times New Roman" w:cs="Times New Roman"/>
        </w:rPr>
        <w:t xml:space="preserve"> </w:t>
      </w:r>
      <w:r w:rsidRPr="00D50D44" w:rsidR="00AB7997">
        <w:rPr>
          <w:rFonts w:ascii="Times New Roman" w:hAnsi="Times New Roman" w:cs="Times New Roman"/>
        </w:rPr>
        <w:t>2013 a</w:t>
      </w:r>
      <w:r w:rsidRPr="00D50D44" w:rsidR="00EB6125">
        <w:rPr>
          <w:rFonts w:ascii="Times New Roman" w:hAnsi="Times New Roman" w:cs="Times New Roman"/>
        </w:rPr>
        <w:t xml:space="preserve"> </w:t>
      </w:r>
      <w:r w:rsidRPr="00D50D44" w:rsidR="00AB7997">
        <w:rPr>
          <w:rFonts w:ascii="Times New Roman" w:hAnsi="Times New Roman" w:cs="Times New Roman"/>
        </w:rPr>
        <w:t>2014, ktoré</w:t>
      </w:r>
      <w:r w:rsidRPr="00D50D44" w:rsidR="00EB6125">
        <w:rPr>
          <w:rFonts w:ascii="Times New Roman" w:hAnsi="Times New Roman" w:cs="Times New Roman"/>
        </w:rPr>
        <w:t xml:space="preserve"> sa v rámci programového obdobia </w:t>
      </w:r>
      <w:r w:rsidRPr="00D50D44" w:rsidR="00FE1238">
        <w:rPr>
          <w:rFonts w:ascii="Times New Roman" w:hAnsi="Times New Roman" w:cs="Times New Roman"/>
        </w:rPr>
        <w:t>2007–201</w:t>
      </w:r>
      <w:r w:rsidRPr="00D50D44" w:rsidR="003433D8">
        <w:rPr>
          <w:rFonts w:ascii="Times New Roman" w:hAnsi="Times New Roman" w:cs="Times New Roman"/>
        </w:rPr>
        <w:t>3</w:t>
      </w:r>
      <w:r w:rsidRPr="00D50D44" w:rsidR="00FE1238">
        <w:rPr>
          <w:rFonts w:ascii="Times New Roman" w:hAnsi="Times New Roman" w:cs="Times New Roman"/>
        </w:rPr>
        <w:t xml:space="preserve"> </w:t>
      </w:r>
      <w:r w:rsidRPr="00D50D44" w:rsidR="00EB6125">
        <w:rPr>
          <w:rFonts w:ascii="Times New Roman" w:hAnsi="Times New Roman" w:cs="Times New Roman"/>
        </w:rPr>
        <w:t>vyznačoval</w:t>
      </w:r>
      <w:r w:rsidRPr="00D50D44" w:rsidR="00AB7997">
        <w:rPr>
          <w:rFonts w:ascii="Times New Roman" w:hAnsi="Times New Roman" w:cs="Times New Roman"/>
        </w:rPr>
        <w:t>i</w:t>
      </w:r>
      <w:r w:rsidRPr="00D50D44" w:rsidR="00EB6125">
        <w:rPr>
          <w:rFonts w:ascii="Times New Roman" w:hAnsi="Times New Roman" w:cs="Times New Roman"/>
        </w:rPr>
        <w:t xml:space="preserve"> </w:t>
      </w:r>
      <w:r w:rsidRPr="00D50D44" w:rsidR="00FE1238">
        <w:rPr>
          <w:rFonts w:ascii="Times New Roman" w:hAnsi="Times New Roman" w:cs="Times New Roman"/>
        </w:rPr>
        <w:t>najvyšším tempom</w:t>
      </w:r>
      <w:r w:rsidRPr="00D50D44" w:rsidR="00EB6125">
        <w:rPr>
          <w:rFonts w:ascii="Times New Roman" w:hAnsi="Times New Roman" w:cs="Times New Roman"/>
        </w:rPr>
        <w:t xml:space="preserve"> čerpania. </w:t>
      </w:r>
      <w:r w:rsidRPr="00D50D44" w:rsidR="00FE1238">
        <w:rPr>
          <w:rFonts w:ascii="Times New Roman" w:hAnsi="Times New Roman" w:cs="Times New Roman"/>
        </w:rPr>
        <w:t>V porovnaní s prvými štyrmi mesiacmi roku 2013</w:t>
      </w:r>
      <w:r w:rsidR="00D41961">
        <w:rPr>
          <w:rFonts w:ascii="Times New Roman" w:hAnsi="Times New Roman" w:cs="Times New Roman"/>
        </w:rPr>
        <w:t xml:space="preserve">, </w:t>
      </w:r>
      <w:r w:rsidRPr="00D50D44" w:rsidR="00FE1238">
        <w:rPr>
          <w:rFonts w:ascii="Times New Roman" w:hAnsi="Times New Roman" w:cs="Times New Roman"/>
        </w:rPr>
        <w:t>resp. 2014</w:t>
      </w:r>
      <w:r w:rsidR="00D41961">
        <w:rPr>
          <w:rFonts w:ascii="Times New Roman" w:hAnsi="Times New Roman" w:cs="Times New Roman"/>
        </w:rPr>
        <w:t xml:space="preserve">, </w:t>
      </w:r>
      <w:r w:rsidRPr="00D50D44" w:rsidR="00FE1238">
        <w:rPr>
          <w:rFonts w:ascii="Times New Roman" w:hAnsi="Times New Roman" w:cs="Times New Roman"/>
        </w:rPr>
        <w:t>došlo k nárastu čerpania o</w:t>
      </w:r>
      <w:r w:rsidRPr="00D50D44" w:rsidR="00F40A3C">
        <w:rPr>
          <w:rFonts w:ascii="Times New Roman" w:hAnsi="Times New Roman" w:cs="Times New Roman"/>
        </w:rPr>
        <w:t> </w:t>
      </w:r>
      <w:r w:rsidRPr="00D50D44" w:rsidR="00FE1238">
        <w:rPr>
          <w:rFonts w:ascii="Times New Roman" w:hAnsi="Times New Roman" w:cs="Times New Roman"/>
        </w:rPr>
        <w:t>cca</w:t>
      </w:r>
      <w:r w:rsidRPr="00D50D44" w:rsidR="00F40A3C">
        <w:rPr>
          <w:rFonts w:ascii="Times New Roman" w:hAnsi="Times New Roman" w:cs="Times New Roman"/>
        </w:rPr>
        <w:t> </w:t>
      </w:r>
      <w:r w:rsidRPr="00D50D44" w:rsidR="00FE1238">
        <w:rPr>
          <w:rFonts w:ascii="Times New Roman" w:hAnsi="Times New Roman" w:cs="Times New Roman"/>
        </w:rPr>
        <w:t>50</w:t>
      </w:r>
      <w:r w:rsidRPr="00D50D44" w:rsidR="00EB6125">
        <w:rPr>
          <w:rFonts w:ascii="Times New Roman" w:hAnsi="Times New Roman" w:cs="Times New Roman"/>
        </w:rPr>
        <w:t xml:space="preserve">%, čo ilustruje graf č. 3.   </w:t>
      </w:r>
      <w:r w:rsidRPr="00D50D44" w:rsidR="00FE1238">
        <w:rPr>
          <w:rFonts w:ascii="Times New Roman" w:hAnsi="Times New Roman" w:cs="Times New Roman"/>
        </w:rPr>
        <w:t>Pri zachovaní</w:t>
      </w:r>
      <w:r w:rsidRPr="00D50D44" w:rsidR="003433D8">
        <w:rPr>
          <w:rFonts w:ascii="Times New Roman" w:hAnsi="Times New Roman" w:cs="Times New Roman"/>
        </w:rPr>
        <w:t xml:space="preserve">, resp. pokračovaní uvedeného tempa </w:t>
      </w:r>
      <w:r w:rsidRPr="00D50D44" w:rsidR="00FE1238">
        <w:rPr>
          <w:rFonts w:ascii="Times New Roman" w:hAnsi="Times New Roman" w:cs="Times New Roman"/>
        </w:rPr>
        <w:t>čerpania</w:t>
      </w:r>
      <w:r w:rsidRPr="00D50D44" w:rsidR="003433D8">
        <w:rPr>
          <w:rFonts w:ascii="Times New Roman" w:hAnsi="Times New Roman" w:cs="Times New Roman"/>
        </w:rPr>
        <w:t xml:space="preserve"> v nasledujúcich mesiacoch roka 2015,</w:t>
      </w:r>
      <w:r w:rsidRPr="00D50D44" w:rsidR="00FE1238">
        <w:rPr>
          <w:rFonts w:ascii="Times New Roman" w:hAnsi="Times New Roman" w:cs="Times New Roman"/>
        </w:rPr>
        <w:t xml:space="preserve"> by</w:t>
      </w:r>
      <w:r w:rsidRPr="00D50D44" w:rsidR="003433D8">
        <w:rPr>
          <w:rFonts w:ascii="Times New Roman" w:hAnsi="Times New Roman" w:cs="Times New Roman"/>
        </w:rPr>
        <w:t xml:space="preserve"> za rok </w:t>
      </w:r>
      <w:r w:rsidRPr="00D50D44" w:rsidR="00FE1238">
        <w:rPr>
          <w:rFonts w:ascii="Times New Roman" w:hAnsi="Times New Roman" w:cs="Times New Roman"/>
        </w:rPr>
        <w:t xml:space="preserve">2015 bolo vyčerpaných 2,27 mld. </w:t>
      </w:r>
      <w:r w:rsidRPr="00D50D44" w:rsidR="00EB6125">
        <w:rPr>
          <w:rFonts w:ascii="Times New Roman" w:hAnsi="Times New Roman" w:cs="Times New Roman"/>
        </w:rPr>
        <w:t>EUR</w:t>
      </w:r>
      <w:r w:rsidRPr="00D50D44" w:rsidR="00FE1238">
        <w:rPr>
          <w:rFonts w:ascii="Times New Roman" w:hAnsi="Times New Roman" w:cs="Times New Roman"/>
        </w:rPr>
        <w:t xml:space="preserve">. </w:t>
      </w:r>
      <w:r w:rsidRPr="00D50D44" w:rsidR="00EB6125">
        <w:rPr>
          <w:rFonts w:ascii="Times New Roman" w:hAnsi="Times New Roman" w:cs="Times New Roman"/>
        </w:rPr>
        <w:t xml:space="preserve"> </w:t>
      </w:r>
      <w:r w:rsidRPr="00D50D44" w:rsidR="003433D8">
        <w:rPr>
          <w:rFonts w:ascii="Times New Roman" w:hAnsi="Times New Roman" w:cs="Times New Roman"/>
        </w:rPr>
        <w:t>Opierajúc sa o historické údaje, vrátane údajov z iných členských štátov EÚ, je možné konštatovať, že pre</w:t>
      </w:r>
      <w:r w:rsidRPr="00D50D44" w:rsidR="00EB6125">
        <w:rPr>
          <w:rFonts w:ascii="Times New Roman" w:hAnsi="Times New Roman" w:cs="Times New Roman"/>
        </w:rPr>
        <w:t xml:space="preserve"> čerpanie </w:t>
      </w:r>
      <w:r w:rsidRPr="00D50D44" w:rsidR="003433D8">
        <w:rPr>
          <w:rFonts w:ascii="Times New Roman" w:hAnsi="Times New Roman" w:cs="Times New Roman"/>
        </w:rPr>
        <w:t xml:space="preserve">je typická akcelerácia </w:t>
      </w:r>
      <w:r w:rsidRPr="00D50D44" w:rsidR="00EB6125">
        <w:rPr>
          <w:rFonts w:ascii="Times New Roman" w:hAnsi="Times New Roman" w:cs="Times New Roman"/>
        </w:rPr>
        <w:t>ku koncu kalendárneho roka</w:t>
      </w:r>
      <w:r w:rsidR="00D41961">
        <w:rPr>
          <w:rFonts w:ascii="Times New Roman" w:hAnsi="Times New Roman" w:cs="Times New Roman"/>
        </w:rPr>
        <w:t xml:space="preserve">, </w:t>
      </w:r>
      <w:r w:rsidRPr="00D50D44" w:rsidR="003433D8">
        <w:rPr>
          <w:rFonts w:ascii="Times New Roman" w:hAnsi="Times New Roman" w:cs="Times New Roman"/>
        </w:rPr>
        <w:t xml:space="preserve">ako aj výrazný nárast ku koncu programového obdobia. </w:t>
      </w:r>
      <w:r w:rsidRPr="00D50D44" w:rsidR="00EB6125">
        <w:rPr>
          <w:rFonts w:ascii="Times New Roman" w:hAnsi="Times New Roman" w:cs="Times New Roman"/>
        </w:rPr>
        <w:t xml:space="preserve">Prognózy </w:t>
      </w:r>
      <w:r w:rsidRPr="00D50D44" w:rsidR="00FE1238">
        <w:rPr>
          <w:rFonts w:ascii="Times New Roman" w:hAnsi="Times New Roman" w:cs="Times New Roman"/>
        </w:rPr>
        <w:t xml:space="preserve">RO </w:t>
      </w:r>
      <w:r w:rsidRPr="00D50D44" w:rsidR="00EB6125">
        <w:rPr>
          <w:rFonts w:ascii="Times New Roman" w:hAnsi="Times New Roman" w:cs="Times New Roman"/>
        </w:rPr>
        <w:t xml:space="preserve">týkajúce sa  dočerpania záväzku </w:t>
      </w:r>
      <w:r w:rsidRPr="00D50D44" w:rsidR="00FE1238">
        <w:rPr>
          <w:rFonts w:ascii="Times New Roman" w:hAnsi="Times New Roman" w:cs="Times New Roman"/>
        </w:rPr>
        <w:t xml:space="preserve">NSRR </w:t>
      </w:r>
      <w:r w:rsidRPr="00D50D44" w:rsidR="00EB6125">
        <w:rPr>
          <w:rFonts w:ascii="Times New Roman" w:hAnsi="Times New Roman" w:cs="Times New Roman"/>
        </w:rPr>
        <w:t xml:space="preserve">zohľadňujú </w:t>
      </w:r>
      <w:r w:rsidRPr="00D50D44">
        <w:rPr>
          <w:rFonts w:ascii="Times New Roman" w:hAnsi="Times New Roman" w:cs="Times New Roman"/>
        </w:rPr>
        <w:t xml:space="preserve">nárast čerpania v poslednom štvrťroku 2015, ako aj efekt zvýšenej miery kontrahovania. Výsledkom bude medziročný nárast čerpania až do výšky 95 percentuálnych bodov oproti rokom 2013, resp. 2014.  Toto konštatovanie sa opiera aj o skúsenosti z ukončovania programového obdobia 2004-2006, kedy sa </w:t>
      </w:r>
      <w:r w:rsidRPr="00D50D44" w:rsidR="00603D4F">
        <w:rPr>
          <w:rFonts w:ascii="Times New Roman" w:hAnsi="Times New Roman" w:cs="Times New Roman"/>
        </w:rPr>
        <w:t>v poslednom roku implementácie vyčerpalo viac ako 35 % celkovej alokácie</w:t>
      </w:r>
      <w:r w:rsidRPr="00D50D44">
        <w:rPr>
          <w:rFonts w:ascii="Times New Roman" w:hAnsi="Times New Roman" w:cs="Times New Roman"/>
        </w:rPr>
        <w:t xml:space="preserve">.  </w:t>
      </w:r>
    </w:p>
    <w:p w:rsidR="00493419" w:rsidRPr="00D50D44" w:rsidP="00D62C95">
      <w:pPr>
        <w:bidi w:val="0"/>
        <w:spacing w:after="0"/>
        <w:ind w:firstLine="709"/>
        <w:jc w:val="both"/>
        <w:rPr>
          <w:rFonts w:ascii="Times New Roman" w:hAnsi="Times New Roman" w:cs="Times New Roman"/>
        </w:rPr>
      </w:pPr>
    </w:p>
    <w:p w:rsidR="00FE1238" w:rsidRPr="00D50D44" w:rsidP="00D62C95">
      <w:pPr>
        <w:bidi w:val="0"/>
        <w:spacing w:after="0"/>
        <w:ind w:firstLine="709"/>
        <w:jc w:val="both"/>
        <w:rPr>
          <w:rFonts w:ascii="Times New Roman" w:hAnsi="Times New Roman" w:cs="Times New Roman"/>
        </w:rPr>
      </w:pPr>
      <w:r w:rsidRPr="00D50D44" w:rsidR="00603D4F">
        <w:rPr>
          <w:rFonts w:ascii="Times New Roman" w:hAnsi="Times New Roman" w:cs="Times New Roman"/>
        </w:rPr>
        <w:t>Pri zohľadn</w:t>
      </w:r>
      <w:r w:rsidRPr="00D50D44" w:rsidR="00AB7997">
        <w:rPr>
          <w:rFonts w:ascii="Times New Roman" w:hAnsi="Times New Roman" w:cs="Times New Roman"/>
        </w:rPr>
        <w:t>ení vyššie uvedených skutočností</w:t>
      </w:r>
      <w:r w:rsidRPr="00D50D44" w:rsidR="00603D4F">
        <w:rPr>
          <w:rFonts w:ascii="Times New Roman" w:hAnsi="Times New Roman" w:cs="Times New Roman"/>
        </w:rPr>
        <w:t xml:space="preserve"> je reálny predpoklad, že </w:t>
      </w:r>
      <w:r w:rsidRPr="00D50D44">
        <w:rPr>
          <w:rFonts w:ascii="Times New Roman" w:hAnsi="Times New Roman" w:cs="Times New Roman"/>
        </w:rPr>
        <w:t xml:space="preserve">čerpanie v roku 2015 dosiahne </w:t>
      </w:r>
      <w:r w:rsidRPr="00D50D44" w:rsidR="00603D4F">
        <w:rPr>
          <w:rFonts w:ascii="Times New Roman" w:hAnsi="Times New Roman" w:cs="Times New Roman"/>
        </w:rPr>
        <w:t xml:space="preserve">výšku </w:t>
      </w:r>
      <w:r w:rsidRPr="00D50D44">
        <w:rPr>
          <w:rFonts w:ascii="Times New Roman" w:hAnsi="Times New Roman" w:cs="Times New Roman"/>
        </w:rPr>
        <w:t xml:space="preserve">2,85 mld. </w:t>
      </w:r>
      <w:r w:rsidRPr="00D50D44" w:rsidR="00272AF4">
        <w:rPr>
          <w:rFonts w:ascii="Times New Roman" w:hAnsi="Times New Roman" w:cs="Times New Roman"/>
        </w:rPr>
        <w:t>EUR</w:t>
      </w:r>
      <w:r w:rsidRPr="00D50D44">
        <w:rPr>
          <w:rFonts w:ascii="Times New Roman" w:hAnsi="Times New Roman" w:cs="Times New Roman"/>
        </w:rPr>
        <w:t xml:space="preserve">. </w:t>
      </w:r>
      <w:r w:rsidRPr="00D50D44" w:rsidR="00272AF4">
        <w:rPr>
          <w:rFonts w:ascii="Times New Roman" w:hAnsi="Times New Roman" w:cs="Times New Roman"/>
        </w:rPr>
        <w:t xml:space="preserve"> Pre</w:t>
      </w:r>
      <w:r w:rsidRPr="00D50D44" w:rsidR="00F40E59">
        <w:rPr>
          <w:rFonts w:ascii="Times New Roman" w:hAnsi="Times New Roman" w:cs="Times New Roman"/>
        </w:rPr>
        <w:t> </w:t>
      </w:r>
      <w:r w:rsidRPr="00D50D44" w:rsidR="00272AF4">
        <w:rPr>
          <w:rFonts w:ascii="Times New Roman" w:hAnsi="Times New Roman" w:cs="Times New Roman"/>
        </w:rPr>
        <w:t xml:space="preserve">správne pochopenie údajov z prognóz je potrebné zdôrazniť, že samotné prognózy </w:t>
      </w:r>
      <w:r w:rsidRPr="00D50D44">
        <w:rPr>
          <w:rFonts w:ascii="Times New Roman" w:hAnsi="Times New Roman" w:cs="Times New Roman"/>
        </w:rPr>
        <w:t xml:space="preserve">čerpania sa </w:t>
      </w:r>
      <w:r w:rsidRPr="00D50D44" w:rsidR="00272AF4">
        <w:rPr>
          <w:rFonts w:ascii="Times New Roman" w:hAnsi="Times New Roman" w:cs="Times New Roman"/>
        </w:rPr>
        <w:t xml:space="preserve">opierajú o údaje </w:t>
      </w:r>
      <w:r w:rsidRPr="00D50D44">
        <w:rPr>
          <w:rFonts w:ascii="Times New Roman" w:hAnsi="Times New Roman" w:cs="Times New Roman"/>
        </w:rPr>
        <w:t xml:space="preserve">čerpania </w:t>
      </w:r>
      <w:r w:rsidRPr="00D50D44" w:rsidR="00272AF4">
        <w:rPr>
          <w:rFonts w:ascii="Times New Roman" w:hAnsi="Times New Roman" w:cs="Times New Roman"/>
        </w:rPr>
        <w:t xml:space="preserve">MF SR  (t.j. schválené súhrnné žiadosti o platbu), </w:t>
      </w:r>
      <w:r w:rsidRPr="00D50D44">
        <w:rPr>
          <w:rFonts w:ascii="Times New Roman" w:hAnsi="Times New Roman" w:cs="Times New Roman"/>
        </w:rPr>
        <w:t>zatiaľ čo čerpanie na úrovni prijímateľa</w:t>
      </w:r>
      <w:r w:rsidR="00D41961">
        <w:rPr>
          <w:rFonts w:ascii="Times New Roman" w:hAnsi="Times New Roman" w:cs="Times New Roman"/>
        </w:rPr>
        <w:t xml:space="preserve">, </w:t>
      </w:r>
      <w:r w:rsidRPr="00D50D44">
        <w:rPr>
          <w:rFonts w:ascii="Times New Roman" w:hAnsi="Times New Roman" w:cs="Times New Roman"/>
        </w:rPr>
        <w:t xml:space="preserve">resp. </w:t>
      </w:r>
      <w:r w:rsidRPr="00D50D44" w:rsidR="00272AF4">
        <w:rPr>
          <w:rFonts w:ascii="Times New Roman" w:hAnsi="Times New Roman" w:cs="Times New Roman"/>
        </w:rPr>
        <w:t>RO</w:t>
      </w:r>
      <w:r w:rsidR="00D41961">
        <w:rPr>
          <w:rFonts w:ascii="Times New Roman" w:hAnsi="Times New Roman" w:cs="Times New Roman"/>
        </w:rPr>
        <w:t xml:space="preserve">, </w:t>
      </w:r>
      <w:r w:rsidRPr="00D50D44">
        <w:rPr>
          <w:rFonts w:ascii="Times New Roman" w:hAnsi="Times New Roman" w:cs="Times New Roman"/>
        </w:rPr>
        <w:t xml:space="preserve">vzniká </w:t>
      </w:r>
      <w:r w:rsidRPr="00D50D44" w:rsidR="00272AF4">
        <w:rPr>
          <w:rFonts w:ascii="Times New Roman" w:hAnsi="Times New Roman" w:cs="Times New Roman"/>
        </w:rPr>
        <w:t xml:space="preserve">skoršie </w:t>
      </w:r>
      <w:r w:rsidRPr="00D50D44">
        <w:rPr>
          <w:rFonts w:ascii="Times New Roman" w:hAnsi="Times New Roman" w:cs="Times New Roman"/>
        </w:rPr>
        <w:t>a do oficiálneh</w:t>
      </w:r>
      <w:r w:rsidRPr="00D50D44" w:rsidR="00272AF4">
        <w:rPr>
          <w:rFonts w:ascii="Times New Roman" w:hAnsi="Times New Roman" w:cs="Times New Roman"/>
        </w:rPr>
        <w:t xml:space="preserve">o čerpania sa premietne s určitým časovým </w:t>
      </w:r>
      <w:r w:rsidRPr="00D50D44">
        <w:rPr>
          <w:rFonts w:ascii="Times New Roman" w:hAnsi="Times New Roman" w:cs="Times New Roman"/>
        </w:rPr>
        <w:t xml:space="preserve"> </w:t>
      </w:r>
      <w:r w:rsidRPr="00D50D44" w:rsidR="00272AF4">
        <w:rPr>
          <w:rFonts w:ascii="Times New Roman" w:hAnsi="Times New Roman" w:cs="Times New Roman"/>
        </w:rPr>
        <w:t xml:space="preserve">posunom </w:t>
      </w:r>
      <w:r w:rsidRPr="00D50D44">
        <w:rPr>
          <w:rFonts w:ascii="Times New Roman" w:hAnsi="Times New Roman" w:cs="Times New Roman"/>
        </w:rPr>
        <w:t>spôsobeným zúčtovaním faktúr a žiadostí o platby. Preto aj keď obdobie oprávnenosti končí dňom 31.</w:t>
      </w:r>
      <w:r w:rsidR="003A3E54">
        <w:rPr>
          <w:rFonts w:ascii="Times New Roman" w:hAnsi="Times New Roman" w:cs="Times New Roman"/>
        </w:rPr>
        <w:t xml:space="preserve"> </w:t>
      </w:r>
      <w:r w:rsidRPr="00D50D44">
        <w:rPr>
          <w:rFonts w:ascii="Times New Roman" w:hAnsi="Times New Roman" w:cs="Times New Roman"/>
        </w:rPr>
        <w:t>12.</w:t>
      </w:r>
      <w:r w:rsidR="003A3E54">
        <w:rPr>
          <w:rFonts w:ascii="Times New Roman" w:hAnsi="Times New Roman" w:cs="Times New Roman"/>
        </w:rPr>
        <w:t xml:space="preserve"> </w:t>
      </w:r>
      <w:r w:rsidRPr="00D50D44">
        <w:rPr>
          <w:rFonts w:ascii="Times New Roman" w:hAnsi="Times New Roman" w:cs="Times New Roman"/>
        </w:rPr>
        <w:t>2015</w:t>
      </w:r>
      <w:r w:rsidRPr="00D50D44" w:rsidR="00272AF4">
        <w:rPr>
          <w:rFonts w:ascii="Times New Roman" w:hAnsi="Times New Roman" w:cs="Times New Roman"/>
        </w:rPr>
        <w:t xml:space="preserve">, </w:t>
      </w:r>
      <w:r w:rsidRPr="00D50D44" w:rsidR="00603D4F">
        <w:rPr>
          <w:rFonts w:ascii="Times New Roman" w:hAnsi="Times New Roman" w:cs="Times New Roman"/>
        </w:rPr>
        <w:t>v zmysle platných právnych pravidiel EÚ a SR</w:t>
      </w:r>
      <w:r>
        <w:rPr>
          <w:rStyle w:val="FootnoteReference"/>
          <w:rFonts w:ascii="Times New Roman" w:hAnsi="Times New Roman"/>
          <w:rtl w:val="0"/>
        </w:rPr>
        <w:footnoteReference w:id="5"/>
      </w:r>
      <w:r w:rsidR="00D41961">
        <w:rPr>
          <w:rFonts w:ascii="Times New Roman" w:hAnsi="Times New Roman" w:cs="Times New Roman"/>
        </w:rPr>
        <w:t xml:space="preserve">, </w:t>
      </w:r>
      <w:r w:rsidRPr="00D50D44" w:rsidR="00603D4F">
        <w:rPr>
          <w:rFonts w:ascii="Times New Roman" w:hAnsi="Times New Roman" w:cs="Times New Roman"/>
        </w:rPr>
        <w:t xml:space="preserve">je možné predkladať MF SR súhrnné </w:t>
      </w:r>
      <w:r w:rsidRPr="00D50D44">
        <w:rPr>
          <w:rFonts w:ascii="Times New Roman" w:hAnsi="Times New Roman" w:cs="Times New Roman"/>
        </w:rPr>
        <w:t>žiadosti o</w:t>
      </w:r>
      <w:r w:rsidRPr="00D50D44" w:rsidR="00272AF4">
        <w:rPr>
          <w:rFonts w:ascii="Times New Roman" w:hAnsi="Times New Roman" w:cs="Times New Roman"/>
        </w:rPr>
        <w:t> </w:t>
      </w:r>
      <w:r w:rsidRPr="00D50D44">
        <w:rPr>
          <w:rFonts w:ascii="Times New Roman" w:hAnsi="Times New Roman" w:cs="Times New Roman"/>
        </w:rPr>
        <w:t>platbu</w:t>
      </w:r>
      <w:r w:rsidRPr="00D50D44" w:rsidR="00272AF4">
        <w:rPr>
          <w:rFonts w:ascii="Times New Roman" w:hAnsi="Times New Roman" w:cs="Times New Roman"/>
        </w:rPr>
        <w:t xml:space="preserve"> </w:t>
      </w:r>
      <w:r w:rsidRPr="00D50D44">
        <w:rPr>
          <w:rFonts w:ascii="Times New Roman" w:hAnsi="Times New Roman" w:cs="Times New Roman"/>
        </w:rPr>
        <w:t>až</w:t>
      </w:r>
      <w:r w:rsidRPr="00D50D44" w:rsidR="00F40E59">
        <w:rPr>
          <w:rFonts w:ascii="Times New Roman" w:hAnsi="Times New Roman" w:cs="Times New Roman"/>
        </w:rPr>
        <w:t> </w:t>
      </w:r>
      <w:r w:rsidRPr="00D50D44">
        <w:rPr>
          <w:rFonts w:ascii="Times New Roman" w:hAnsi="Times New Roman" w:cs="Times New Roman"/>
        </w:rPr>
        <w:t>do apríla 2016 a</w:t>
      </w:r>
      <w:r w:rsidRPr="00D50D44" w:rsidR="00272AF4">
        <w:rPr>
          <w:rFonts w:ascii="Times New Roman" w:hAnsi="Times New Roman" w:cs="Times New Roman"/>
        </w:rPr>
        <w:t> </w:t>
      </w:r>
      <w:r w:rsidRPr="00D50D44">
        <w:rPr>
          <w:rFonts w:ascii="Times New Roman" w:hAnsi="Times New Roman" w:cs="Times New Roman"/>
        </w:rPr>
        <w:t>následne</w:t>
      </w:r>
      <w:r w:rsidRPr="00D50D44" w:rsidR="00272AF4">
        <w:rPr>
          <w:rFonts w:ascii="Times New Roman" w:hAnsi="Times New Roman" w:cs="Times New Roman"/>
        </w:rPr>
        <w:t xml:space="preserve"> zaslať E</w:t>
      </w:r>
      <w:r w:rsidR="00BA0258">
        <w:rPr>
          <w:rFonts w:ascii="Times New Roman" w:hAnsi="Times New Roman" w:cs="Times New Roman"/>
        </w:rPr>
        <w:t xml:space="preserve">K </w:t>
      </w:r>
      <w:r w:rsidRPr="00D50D44">
        <w:rPr>
          <w:rFonts w:ascii="Times New Roman" w:hAnsi="Times New Roman" w:cs="Times New Roman"/>
        </w:rPr>
        <w:t>žiadosti o platbu až do marca 2017. Vláda SR a</w:t>
      </w:r>
      <w:r w:rsidRPr="00D50D44" w:rsidR="00272AF4">
        <w:rPr>
          <w:rFonts w:ascii="Times New Roman" w:hAnsi="Times New Roman" w:cs="Times New Roman"/>
        </w:rPr>
        <w:t> </w:t>
      </w:r>
      <w:r w:rsidRPr="00D50D44">
        <w:rPr>
          <w:rFonts w:ascii="Times New Roman" w:hAnsi="Times New Roman" w:cs="Times New Roman"/>
        </w:rPr>
        <w:t>R</w:t>
      </w:r>
      <w:r w:rsidRPr="00D50D44" w:rsidR="00272AF4">
        <w:rPr>
          <w:rFonts w:ascii="Times New Roman" w:hAnsi="Times New Roman" w:cs="Times New Roman"/>
        </w:rPr>
        <w:t>O predpokladajú, že v</w:t>
      </w:r>
      <w:r w:rsidR="00D41961">
        <w:rPr>
          <w:rFonts w:ascii="Times New Roman" w:hAnsi="Times New Roman" w:cs="Times New Roman"/>
        </w:rPr>
        <w:t> </w:t>
      </w:r>
      <w:r w:rsidRPr="00D50D44" w:rsidR="00272AF4">
        <w:rPr>
          <w:rFonts w:ascii="Times New Roman" w:hAnsi="Times New Roman" w:cs="Times New Roman"/>
        </w:rPr>
        <w:t>r</w:t>
      </w:r>
      <w:r w:rsidR="00D41961">
        <w:rPr>
          <w:rFonts w:ascii="Times New Roman" w:hAnsi="Times New Roman" w:cs="Times New Roman"/>
        </w:rPr>
        <w:t xml:space="preserve">oku </w:t>
      </w:r>
      <w:r w:rsidRPr="00D50D44" w:rsidR="00272AF4">
        <w:rPr>
          <w:rFonts w:ascii="Times New Roman" w:hAnsi="Times New Roman" w:cs="Times New Roman"/>
        </w:rPr>
        <w:t xml:space="preserve">2016 budú zúčtované </w:t>
      </w:r>
      <w:r w:rsidRPr="00D50D44">
        <w:rPr>
          <w:rFonts w:ascii="Times New Roman" w:hAnsi="Times New Roman" w:cs="Times New Roman"/>
        </w:rPr>
        <w:t>zdroj</w:t>
      </w:r>
      <w:r w:rsidRPr="00D50D44" w:rsidR="00272AF4">
        <w:rPr>
          <w:rFonts w:ascii="Times New Roman" w:hAnsi="Times New Roman" w:cs="Times New Roman"/>
        </w:rPr>
        <w:t>e</w:t>
      </w:r>
      <w:r w:rsidRPr="00D50D44">
        <w:rPr>
          <w:rFonts w:ascii="Times New Roman" w:hAnsi="Times New Roman" w:cs="Times New Roman"/>
        </w:rPr>
        <w:t xml:space="preserve"> </w:t>
      </w:r>
      <w:r w:rsidRPr="00D50D44" w:rsidR="00AB7997">
        <w:rPr>
          <w:rFonts w:ascii="Times New Roman" w:hAnsi="Times New Roman" w:cs="Times New Roman"/>
        </w:rPr>
        <w:t>v objeme cca 8</w:t>
      </w:r>
      <w:r w:rsidRPr="00D50D44" w:rsidR="00272AF4">
        <w:rPr>
          <w:rFonts w:ascii="Times New Roman" w:hAnsi="Times New Roman" w:cs="Times New Roman"/>
        </w:rPr>
        <w:t xml:space="preserve">50 mil. EUR. </w:t>
      </w:r>
    </w:p>
    <w:p w:rsidR="003E0DEE" w:rsidRPr="00D50D44" w:rsidP="00D62C95">
      <w:pPr>
        <w:bidi w:val="0"/>
        <w:spacing w:after="0"/>
        <w:ind w:firstLine="709"/>
        <w:jc w:val="both"/>
        <w:rPr>
          <w:rFonts w:ascii="Times New Roman" w:hAnsi="Times New Roman" w:cs="Times New Roman"/>
        </w:rPr>
      </w:pPr>
    </w:p>
    <w:p w:rsidR="00FE1238" w:rsidRPr="00D50D44" w:rsidP="00D62C95">
      <w:pPr>
        <w:bidi w:val="0"/>
        <w:spacing w:after="0"/>
        <w:ind w:firstLine="709"/>
        <w:jc w:val="both"/>
        <w:rPr>
          <w:rFonts w:ascii="Times New Roman" w:hAnsi="Times New Roman" w:cs="Times New Roman"/>
        </w:rPr>
      </w:pPr>
      <w:r w:rsidRPr="00D50D44">
        <w:rPr>
          <w:rFonts w:ascii="Times New Roman" w:hAnsi="Times New Roman" w:cs="Times New Roman"/>
        </w:rPr>
        <w:t>K 30.</w:t>
      </w:r>
      <w:r w:rsidR="003A3E54">
        <w:rPr>
          <w:rFonts w:ascii="Times New Roman" w:hAnsi="Times New Roman" w:cs="Times New Roman"/>
        </w:rPr>
        <w:t xml:space="preserve"> 0</w:t>
      </w:r>
      <w:r w:rsidRPr="00D50D44">
        <w:rPr>
          <w:rFonts w:ascii="Times New Roman" w:hAnsi="Times New Roman" w:cs="Times New Roman"/>
        </w:rPr>
        <w:t>4.</w:t>
      </w:r>
      <w:r w:rsidR="003A3E54">
        <w:rPr>
          <w:rFonts w:ascii="Times New Roman" w:hAnsi="Times New Roman" w:cs="Times New Roman"/>
        </w:rPr>
        <w:t xml:space="preserve"> </w:t>
      </w:r>
      <w:r w:rsidRPr="00D50D44">
        <w:rPr>
          <w:rFonts w:ascii="Times New Roman" w:hAnsi="Times New Roman" w:cs="Times New Roman"/>
        </w:rPr>
        <w:t>2015 je v rámci niektorých operačných progr</w:t>
      </w:r>
      <w:r w:rsidRPr="00D50D44" w:rsidR="00272AF4">
        <w:rPr>
          <w:rFonts w:ascii="Times New Roman" w:hAnsi="Times New Roman" w:cs="Times New Roman"/>
        </w:rPr>
        <w:t>amov identifikované</w:t>
      </w:r>
      <w:r w:rsidRPr="00D50D44">
        <w:rPr>
          <w:rFonts w:ascii="Times New Roman" w:hAnsi="Times New Roman" w:cs="Times New Roman"/>
        </w:rPr>
        <w:t xml:space="preserve"> potenciálne riziko </w:t>
      </w:r>
      <w:r w:rsidRPr="00D50D44" w:rsidR="00272AF4">
        <w:rPr>
          <w:rFonts w:ascii="Times New Roman" w:hAnsi="Times New Roman" w:cs="Times New Roman"/>
        </w:rPr>
        <w:t xml:space="preserve">nedočerpania záväzku </w:t>
      </w:r>
      <w:r w:rsidRPr="00D50D44">
        <w:rPr>
          <w:rFonts w:ascii="Times New Roman" w:hAnsi="Times New Roman" w:cs="Times New Roman"/>
        </w:rPr>
        <w:t>v</w:t>
      </w:r>
      <w:r w:rsidRPr="00D50D44" w:rsidR="00DE554D">
        <w:rPr>
          <w:rFonts w:ascii="Times New Roman" w:hAnsi="Times New Roman" w:cs="Times New Roman"/>
        </w:rPr>
        <w:t xml:space="preserve"> súhrnnej </w:t>
      </w:r>
      <w:r w:rsidRPr="00D50D44">
        <w:rPr>
          <w:rFonts w:ascii="Times New Roman" w:hAnsi="Times New Roman" w:cs="Times New Roman"/>
        </w:rPr>
        <w:t xml:space="preserve">výške 273 mil. </w:t>
      </w:r>
      <w:r w:rsidR="00D50D44">
        <w:rPr>
          <w:rFonts w:ascii="Times New Roman" w:hAnsi="Times New Roman" w:cs="Times New Roman"/>
        </w:rPr>
        <w:t>EUR,</w:t>
      </w:r>
      <w:r w:rsidRPr="00D50D44" w:rsidR="00272AF4">
        <w:rPr>
          <w:rFonts w:ascii="Times New Roman" w:hAnsi="Times New Roman" w:cs="Times New Roman"/>
        </w:rPr>
        <w:t xml:space="preserve"> </w:t>
      </w:r>
      <w:r w:rsidRPr="00D50D44" w:rsidR="00DE554D">
        <w:rPr>
          <w:rFonts w:ascii="Times New Roman" w:hAnsi="Times New Roman" w:cs="Times New Roman"/>
        </w:rPr>
        <w:t xml:space="preserve"> </w:t>
      </w:r>
      <w:r w:rsidR="00D50D44">
        <w:rPr>
          <w:rFonts w:ascii="Times New Roman" w:hAnsi="Times New Roman" w:cs="Times New Roman"/>
        </w:rPr>
        <w:t>č</w:t>
      </w:r>
      <w:r w:rsidRPr="00D50D44" w:rsidR="00AF3054">
        <w:rPr>
          <w:rFonts w:ascii="Times New Roman" w:hAnsi="Times New Roman" w:cs="Times New Roman"/>
        </w:rPr>
        <w:t xml:space="preserve">o však automaticky neznamená nedočerpaný záväzok a prognóza v grafe č. 3 uvažuje s tým, že identifikované riziko bude eliminované. </w:t>
      </w:r>
      <w:r w:rsidRPr="00D50D44" w:rsidR="00DE554D">
        <w:rPr>
          <w:rFonts w:ascii="Times New Roman" w:hAnsi="Times New Roman" w:cs="Times New Roman"/>
        </w:rPr>
        <w:t>Vláda SR vyvíja mimoriadne úsilie na zníženie tohto rizika</w:t>
      </w:r>
      <w:r w:rsidR="00653C72">
        <w:rPr>
          <w:rFonts w:ascii="Times New Roman" w:hAnsi="Times New Roman" w:cs="Times New Roman"/>
        </w:rPr>
        <w:t xml:space="preserve"> </w:t>
      </w:r>
      <w:r w:rsidRPr="00D50D44" w:rsidR="00DE554D">
        <w:rPr>
          <w:rFonts w:ascii="Times New Roman" w:hAnsi="Times New Roman" w:cs="Times New Roman"/>
        </w:rPr>
        <w:t>tak na národnej</w:t>
      </w:r>
      <w:r w:rsidR="00653C72">
        <w:rPr>
          <w:rFonts w:ascii="Times New Roman" w:hAnsi="Times New Roman" w:cs="Times New Roman"/>
        </w:rPr>
        <w:t xml:space="preserve">, </w:t>
      </w:r>
      <w:r w:rsidRPr="00D50D44" w:rsidR="00DE554D">
        <w:rPr>
          <w:rFonts w:ascii="Times New Roman" w:hAnsi="Times New Roman" w:cs="Times New Roman"/>
        </w:rPr>
        <w:t>ako aj európskej úrovni. Niektoré konkrétne opatrenia na urýchlen</w:t>
      </w:r>
      <w:r w:rsidR="00983293">
        <w:rPr>
          <w:rFonts w:ascii="Times New Roman" w:hAnsi="Times New Roman" w:cs="Times New Roman"/>
        </w:rPr>
        <w:t>ie čerpania sú podrobne popísané</w:t>
      </w:r>
      <w:r w:rsidRPr="00D50D44" w:rsidR="00DE554D">
        <w:rPr>
          <w:rFonts w:ascii="Times New Roman" w:hAnsi="Times New Roman" w:cs="Times New Roman"/>
        </w:rPr>
        <w:t xml:space="preserve"> v ďalších častiach tejto správy. </w:t>
      </w:r>
    </w:p>
    <w:p w:rsidR="00D62C95" w:rsidRPr="00D50D44" w:rsidP="00D62C95">
      <w:pPr>
        <w:bidi w:val="0"/>
        <w:spacing w:after="0"/>
        <w:ind w:firstLine="709"/>
        <w:jc w:val="both"/>
        <w:rPr>
          <w:rFonts w:ascii="Times New Roman" w:hAnsi="Times New Roman" w:cs="Times New Roman"/>
        </w:rPr>
      </w:pPr>
    </w:p>
    <w:p w:rsidR="00F17675" w:rsidRPr="00D50D44" w:rsidP="00F17675">
      <w:pPr>
        <w:keepNext/>
        <w:bidi w:val="0"/>
        <w:spacing w:after="0"/>
        <w:jc w:val="both"/>
        <w:rPr>
          <w:rFonts w:ascii="Times New Roman" w:hAnsi="Times New Roman" w:cs="Times New Roman"/>
        </w:rPr>
      </w:pPr>
      <w:r w:rsidRPr="00D50D44" w:rsidR="00FE1238">
        <w:rPr>
          <w:rFonts w:ascii="Times New Roman" w:hAnsi="Times New Roman" w:cs="Times New Roman"/>
        </w:rPr>
        <w:t>Graf č. 3</w:t>
      </w:r>
      <w:r w:rsidRPr="00D50D44" w:rsidR="00BB6593">
        <w:rPr>
          <w:rFonts w:ascii="Times New Roman" w:hAnsi="Times New Roman" w:cs="Times New Roman"/>
        </w:rPr>
        <w:t xml:space="preserve">: </w:t>
      </w:r>
      <w:r w:rsidRPr="00D50D44" w:rsidR="00FE1238">
        <w:rPr>
          <w:rFonts w:ascii="Times New Roman" w:hAnsi="Times New Roman" w:cs="Times New Roman"/>
        </w:rPr>
        <w:t>Porovnanie čerpania v rokoch 2013,</w:t>
      </w:r>
      <w:r w:rsidR="00653C72">
        <w:rPr>
          <w:rFonts w:ascii="Times New Roman" w:hAnsi="Times New Roman" w:cs="Times New Roman"/>
        </w:rPr>
        <w:t xml:space="preserve"> </w:t>
      </w:r>
      <w:r w:rsidRPr="00D50D44" w:rsidR="00FE1238">
        <w:rPr>
          <w:rFonts w:ascii="Times New Roman" w:hAnsi="Times New Roman" w:cs="Times New Roman"/>
        </w:rPr>
        <w:t>2014,</w:t>
      </w:r>
      <w:r w:rsidR="00653C72">
        <w:rPr>
          <w:rFonts w:ascii="Times New Roman" w:hAnsi="Times New Roman" w:cs="Times New Roman"/>
        </w:rPr>
        <w:t xml:space="preserve"> </w:t>
      </w:r>
      <w:r w:rsidRPr="00D50D44" w:rsidR="00FE1238">
        <w:rPr>
          <w:rFonts w:ascii="Times New Roman" w:hAnsi="Times New Roman" w:cs="Times New Roman"/>
        </w:rPr>
        <w:t>2015 a prognóza čerpania do konca roka 2015 – údaje k 30.</w:t>
      </w:r>
      <w:r w:rsidR="003A3E54">
        <w:rPr>
          <w:rFonts w:ascii="Times New Roman" w:hAnsi="Times New Roman" w:cs="Times New Roman"/>
        </w:rPr>
        <w:t xml:space="preserve"> 0</w:t>
      </w:r>
      <w:r w:rsidRPr="00D50D44" w:rsidR="00FE1238">
        <w:rPr>
          <w:rFonts w:ascii="Times New Roman" w:hAnsi="Times New Roman" w:cs="Times New Roman"/>
        </w:rPr>
        <w:t>4.</w:t>
      </w:r>
      <w:r w:rsidR="003A3E54">
        <w:rPr>
          <w:rFonts w:ascii="Times New Roman" w:hAnsi="Times New Roman" w:cs="Times New Roman"/>
        </w:rPr>
        <w:t xml:space="preserve"> </w:t>
      </w:r>
      <w:r w:rsidRPr="00D50D44" w:rsidR="00FE1238">
        <w:rPr>
          <w:rFonts w:ascii="Times New Roman" w:hAnsi="Times New Roman" w:cs="Times New Roman"/>
        </w:rPr>
        <w:t>2015</w:t>
      </w:r>
      <w:r w:rsidR="007833B0">
        <w:rPr>
          <w:rFonts w:ascii="Times New Roman" w:hAnsi="Times New Roman" w:cs="Times New Roman"/>
        </w:rPr>
        <w:t xml:space="preserve"> (EÚ zdroje)</w:t>
      </w:r>
      <w:r w:rsidRPr="00D50D44" w:rsidR="00FE1238">
        <w:rPr>
          <w:rFonts w:ascii="Times New Roman" w:hAnsi="Times New Roman" w:cs="Times New Roman"/>
        </w:rPr>
        <w:t>.</w:t>
      </w:r>
    </w:p>
    <w:p w:rsidR="001D028C" w:rsidRPr="00D50D44" w:rsidP="00F17675">
      <w:pPr>
        <w:keepNext/>
        <w:bidi w:val="0"/>
        <w:spacing w:after="0"/>
        <w:jc w:val="both"/>
        <w:rPr>
          <w:rFonts w:ascii="Times New Roman" w:hAnsi="Times New Roman" w:cs="Times New Roman"/>
          <w:sz w:val="20"/>
        </w:rPr>
      </w:pPr>
      <w:r w:rsidRPr="00D50D44" w:rsidR="00FE1238">
        <w:rPr>
          <w:rFonts w:ascii="Times New Roman" w:hAnsi="Times New Roman" w:cs="Times New Roman"/>
        </w:rPr>
        <w:t xml:space="preserve"> </w:t>
      </w:r>
      <w:r>
        <w:rPr>
          <w:rFonts w:ascii="Times New Roman" w:hAnsi="Times New Roman" w:cs="Times New Roman"/>
          <w:noProof/>
          <w:rtl w:val="0"/>
          <w:lang w:eastAsia="sk-SK"/>
        </w:rPr>
        <w:pict>
          <v:shape id="Graf 1" o:spid="_x0000_i1027" type="#_x0000_t75" style="width:454.6pt;height:277pt;visibility:visible" stroked="f">
            <v:imagedata r:id="rId8" o:title=""/>
            <o:lock v:ext="edit" aspectratio="f"/>
          </v:shape>
        </w:pict>
      </w:r>
      <w:r w:rsidRPr="00D50D44">
        <w:rPr>
          <w:rFonts w:ascii="Times New Roman" w:hAnsi="Times New Roman" w:cs="Times New Roman"/>
          <w:sz w:val="20"/>
        </w:rPr>
        <w:t>Zdr</w:t>
      </w:r>
      <w:r w:rsidR="00652BDA">
        <w:rPr>
          <w:rFonts w:ascii="Times New Roman" w:hAnsi="Times New Roman" w:cs="Times New Roman"/>
          <w:sz w:val="20"/>
        </w:rPr>
        <w:t>oj: Centrálny koordinačný orgán, MF SR</w:t>
      </w:r>
    </w:p>
    <w:p w:rsidR="00FD303B" w:rsidP="00D62C95">
      <w:pPr>
        <w:pStyle w:val="Heading3"/>
        <w:bidi w:val="0"/>
        <w:ind w:left="360"/>
        <w:rPr>
          <w:rFonts w:ascii="Times New Roman" w:hAnsi="Times New Roman" w:cs="Times New Roman"/>
        </w:rPr>
      </w:pPr>
    </w:p>
    <w:p w:rsidR="00F40E59" w:rsidRPr="00D50D44" w:rsidP="00D62C95">
      <w:pPr>
        <w:pStyle w:val="Heading3"/>
        <w:bidi w:val="0"/>
        <w:ind w:left="360"/>
        <w:rPr>
          <w:rFonts w:ascii="Times New Roman" w:hAnsi="Times New Roman" w:cs="Times New Roman"/>
        </w:rPr>
      </w:pPr>
      <w:bookmarkStart w:id="5" w:name="_Toc419481410"/>
      <w:r w:rsidRPr="00D50D44" w:rsidR="00CA0957">
        <w:rPr>
          <w:rFonts w:ascii="Times New Roman" w:hAnsi="Times New Roman" w:cs="Times New Roman"/>
        </w:rPr>
        <w:t xml:space="preserve">4.2  </w:t>
      </w:r>
      <w:r w:rsidRPr="00D50D44" w:rsidR="00DE554D">
        <w:rPr>
          <w:rFonts w:ascii="Times New Roman" w:hAnsi="Times New Roman" w:cs="Times New Roman" w:hint="default"/>
        </w:rPr>
        <w:t>Opatrenia prijaté</w:t>
      </w:r>
      <w:r w:rsidRPr="00D50D44" w:rsidR="00DE554D">
        <w:rPr>
          <w:rFonts w:ascii="Times New Roman" w:hAnsi="Times New Roman" w:cs="Times New Roman" w:hint="default"/>
        </w:rPr>
        <w:t xml:space="preserve"> na zrý</w:t>
      </w:r>
      <w:r w:rsidRPr="00D50D44" w:rsidR="00DE554D">
        <w:rPr>
          <w:rFonts w:ascii="Times New Roman" w:hAnsi="Times New Roman" w:cs="Times New Roman" w:hint="default"/>
        </w:rPr>
        <w:t>chlenie č</w:t>
      </w:r>
      <w:r w:rsidRPr="00D50D44" w:rsidR="00DE554D">
        <w:rPr>
          <w:rFonts w:ascii="Times New Roman" w:hAnsi="Times New Roman" w:cs="Times New Roman" w:hint="default"/>
        </w:rPr>
        <w:t>erpania</w:t>
      </w:r>
      <w:bookmarkEnd w:id="5"/>
      <w:r w:rsidRPr="00D50D44" w:rsidR="00DE554D">
        <w:rPr>
          <w:rFonts w:ascii="Times New Roman" w:hAnsi="Times New Roman" w:cs="Times New Roman" w:hint="default"/>
        </w:rPr>
        <w:t xml:space="preserve"> </w:t>
      </w:r>
    </w:p>
    <w:p w:rsidR="00D62C95" w:rsidRPr="00D50D44" w:rsidP="00D62C95">
      <w:pPr>
        <w:bidi w:val="0"/>
        <w:rPr>
          <w:rFonts w:ascii="Times New Roman" w:hAnsi="Times New Roman" w:cs="Times New Roman"/>
        </w:rPr>
      </w:pPr>
    </w:p>
    <w:p w:rsidR="00C87924" w:rsidP="00D62C95">
      <w:pPr>
        <w:bidi w:val="0"/>
        <w:spacing w:after="0"/>
        <w:ind w:firstLine="708"/>
        <w:jc w:val="both"/>
        <w:rPr>
          <w:rFonts w:ascii="Times New Roman" w:hAnsi="Times New Roman" w:cs="Times New Roman"/>
        </w:rPr>
      </w:pPr>
      <w:r w:rsidRPr="00D50D44" w:rsidR="00F40E59">
        <w:rPr>
          <w:rFonts w:ascii="Times New Roman" w:hAnsi="Times New Roman" w:cs="Times New Roman"/>
        </w:rPr>
        <w:t>V</w:t>
      </w:r>
      <w:r w:rsidRPr="00D50D44">
        <w:rPr>
          <w:rFonts w:ascii="Times New Roman" w:hAnsi="Times New Roman" w:cs="Times New Roman"/>
        </w:rPr>
        <w:t>láda S</w:t>
      </w:r>
      <w:r w:rsidRPr="00D50D44" w:rsidR="00DE554D">
        <w:rPr>
          <w:rFonts w:ascii="Times New Roman" w:hAnsi="Times New Roman" w:cs="Times New Roman"/>
        </w:rPr>
        <w:t xml:space="preserve">lovenskej republiky prijala celý rad opatrení, ktorých cieľom je zrýchliť čerpanie zdrojov </w:t>
      </w:r>
      <w:r w:rsidR="00D45CB5">
        <w:rPr>
          <w:rFonts w:ascii="Times New Roman" w:hAnsi="Times New Roman" w:cs="Times New Roman"/>
        </w:rPr>
        <w:t xml:space="preserve">ŠF </w:t>
      </w:r>
      <w:r w:rsidRPr="00D50D44" w:rsidR="0031554D">
        <w:rPr>
          <w:rFonts w:ascii="Times New Roman" w:hAnsi="Times New Roman" w:cs="Times New Roman"/>
        </w:rPr>
        <w:t>a</w:t>
      </w:r>
      <w:r w:rsidR="00D45CB5">
        <w:rPr>
          <w:rFonts w:ascii="Times New Roman" w:hAnsi="Times New Roman" w:cs="Times New Roman"/>
        </w:rPr>
        <w:t xml:space="preserve"> KF </w:t>
      </w:r>
      <w:r w:rsidRPr="00D50D44" w:rsidR="0031554D">
        <w:rPr>
          <w:rFonts w:ascii="Times New Roman" w:hAnsi="Times New Roman" w:cs="Times New Roman"/>
        </w:rPr>
        <w:t xml:space="preserve"> </w:t>
      </w:r>
      <w:r w:rsidRPr="00D50D44" w:rsidR="00DE554D">
        <w:rPr>
          <w:rFonts w:ascii="Times New Roman" w:hAnsi="Times New Roman" w:cs="Times New Roman"/>
        </w:rPr>
        <w:t xml:space="preserve">programového obdobia </w:t>
      </w:r>
      <w:r w:rsidR="00503FDB">
        <w:rPr>
          <w:rFonts w:ascii="Times New Roman" w:hAnsi="Times New Roman" w:cs="Times New Roman"/>
        </w:rPr>
        <w:t>2007 - 2013</w:t>
      </w:r>
      <w:r w:rsidRPr="00D50D44" w:rsidR="00DE554D">
        <w:rPr>
          <w:rFonts w:ascii="Times New Roman" w:hAnsi="Times New Roman" w:cs="Times New Roman"/>
        </w:rPr>
        <w:t xml:space="preserve">.  Tieto opatrenia majú dve dimenzie – európsku (potreba dosiahnuť dohodu v rámci EÚ) a národnú: </w:t>
      </w:r>
    </w:p>
    <w:p w:rsidR="00014BB1" w:rsidRPr="00D50D44" w:rsidP="00D62C95">
      <w:pPr>
        <w:bidi w:val="0"/>
        <w:spacing w:after="0"/>
        <w:ind w:firstLine="708"/>
        <w:jc w:val="both"/>
        <w:rPr>
          <w:rFonts w:ascii="Times New Roman" w:hAnsi="Times New Roman" w:cs="Times New Roman"/>
        </w:rPr>
      </w:pPr>
    </w:p>
    <w:p w:rsidR="00014BB1" w:rsidRPr="001B085F" w:rsidP="00014BB1">
      <w:pPr>
        <w:pStyle w:val="ListParagraph"/>
        <w:numPr>
          <w:numId w:val="42"/>
        </w:numPr>
        <w:bidi w:val="0"/>
        <w:spacing w:after="0"/>
        <w:jc w:val="both"/>
        <w:rPr>
          <w:rFonts w:ascii="Times New Roman" w:hAnsi="Times New Roman" w:cs="Times New Roman"/>
          <w:u w:val="single"/>
        </w:rPr>
      </w:pPr>
      <w:r w:rsidRPr="001B085F">
        <w:rPr>
          <w:rFonts w:ascii="Times New Roman" w:hAnsi="Times New Roman" w:cs="Times New Roman"/>
          <w:u w:val="single"/>
        </w:rPr>
        <w:t>Opatrenia s európskou dimenziou</w:t>
      </w:r>
      <w:r>
        <w:rPr>
          <w:rFonts w:ascii="Times New Roman" w:hAnsi="Times New Roman" w:cs="Times New Roman"/>
          <w:u w:val="single"/>
        </w:rPr>
        <w:t>:</w:t>
      </w:r>
      <w:r w:rsidRPr="001B085F">
        <w:rPr>
          <w:rFonts w:ascii="Times New Roman" w:hAnsi="Times New Roman" w:cs="Times New Roman"/>
          <w:u w:val="single"/>
        </w:rPr>
        <w:t xml:space="preserve"> </w:t>
      </w:r>
    </w:p>
    <w:p w:rsidR="00014BB1" w:rsidRPr="001B085F" w:rsidP="00014BB1">
      <w:pPr>
        <w:pStyle w:val="ListParagraph"/>
        <w:numPr>
          <w:numId w:val="46"/>
        </w:numPr>
        <w:bidi w:val="0"/>
        <w:spacing w:after="0"/>
        <w:jc w:val="both"/>
        <w:rPr>
          <w:rFonts w:ascii="Times New Roman" w:hAnsi="Times New Roman" w:cs="Times New Roman"/>
        </w:rPr>
      </w:pPr>
      <w:r w:rsidRPr="001B085F">
        <w:rPr>
          <w:rFonts w:ascii="Times New Roman" w:hAnsi="Times New Roman" w:cs="Times New Roman"/>
        </w:rPr>
        <w:t>vláda SR presadila zmenu všeobecného nariadenia Rady (ES) č. 1083/2006</w:t>
      </w:r>
      <w:r w:rsidRPr="001B085F">
        <w:rPr>
          <w:rFonts w:ascii="Times New Roman" w:hAnsi="Times New Roman" w:cs="Times New Roman"/>
          <w:color w:val="FF0000"/>
        </w:rPr>
        <w:t xml:space="preserve"> </w:t>
      </w:r>
      <w:r w:rsidRPr="001B085F">
        <w:rPr>
          <w:rFonts w:ascii="Times New Roman" w:hAnsi="Times New Roman" w:cs="Times New Roman"/>
        </w:rPr>
        <w:t xml:space="preserve">pre programové obdobie </w:t>
      </w:r>
      <w:r w:rsidR="003A3E54">
        <w:rPr>
          <w:rFonts w:ascii="Times New Roman" w:hAnsi="Times New Roman" w:cs="Times New Roman"/>
        </w:rPr>
        <w:t xml:space="preserve">2007 - </w:t>
      </w:r>
      <w:r w:rsidR="00503FDB">
        <w:rPr>
          <w:rFonts w:ascii="Times New Roman" w:hAnsi="Times New Roman" w:cs="Times New Roman"/>
        </w:rPr>
        <w:t>2013</w:t>
      </w:r>
      <w:r w:rsidRPr="001B085F">
        <w:rPr>
          <w:rFonts w:ascii="Times New Roman" w:hAnsi="Times New Roman" w:cs="Times New Roman"/>
        </w:rPr>
        <w:t>, na základe ktorej sa ustanovilo pravidlo N+3 pre záväzky rokov</w:t>
      </w:r>
      <w:r w:rsidR="00653C72">
        <w:rPr>
          <w:rFonts w:ascii="Times New Roman" w:hAnsi="Times New Roman" w:cs="Times New Roman"/>
        </w:rPr>
        <w:t xml:space="preserve"> </w:t>
      </w:r>
      <w:r w:rsidRPr="001B085F">
        <w:rPr>
          <w:rFonts w:ascii="Times New Roman" w:hAnsi="Times New Roman" w:cs="Times New Roman"/>
        </w:rPr>
        <w:t>2011 a 2012, čím sa predĺžila možnosť čerpania týchto záväzkov o 1 rok</w:t>
      </w:r>
      <w:r>
        <w:rPr>
          <w:rFonts w:ascii="Times New Roman" w:hAnsi="Times New Roman" w:cs="Times New Roman"/>
        </w:rPr>
        <w:t>,</w:t>
      </w:r>
      <w:r w:rsidRPr="001B085F">
        <w:rPr>
          <w:rFonts w:ascii="Times New Roman" w:hAnsi="Times New Roman" w:cs="Times New Roman"/>
        </w:rPr>
        <w:t xml:space="preserve"> </w:t>
      </w:r>
    </w:p>
    <w:p w:rsidR="00014BB1" w:rsidP="00014BB1">
      <w:pPr>
        <w:pStyle w:val="ListParagraph"/>
        <w:numPr>
          <w:numId w:val="46"/>
        </w:numPr>
        <w:bidi w:val="0"/>
        <w:spacing w:after="0"/>
        <w:jc w:val="both"/>
        <w:rPr>
          <w:rFonts w:ascii="Times New Roman" w:hAnsi="Times New Roman" w:cs="Times New Roman"/>
        </w:rPr>
      </w:pPr>
      <w:r w:rsidRPr="001B085F">
        <w:rPr>
          <w:rFonts w:ascii="Times New Roman" w:hAnsi="Times New Roman" w:cs="Times New Roman"/>
        </w:rPr>
        <w:t>aktívna spolupráca s</w:t>
      </w:r>
      <w:r w:rsidR="00BA0258">
        <w:rPr>
          <w:rFonts w:ascii="Times New Roman" w:hAnsi="Times New Roman" w:cs="Times New Roman"/>
        </w:rPr>
        <w:t> </w:t>
      </w:r>
      <w:r w:rsidRPr="001B085F">
        <w:rPr>
          <w:rFonts w:ascii="Times New Roman" w:hAnsi="Times New Roman" w:cs="Times New Roman"/>
        </w:rPr>
        <w:t>E</w:t>
      </w:r>
      <w:r w:rsidR="00BA0258">
        <w:rPr>
          <w:rFonts w:ascii="Times New Roman" w:hAnsi="Times New Roman" w:cs="Times New Roman"/>
        </w:rPr>
        <w:t xml:space="preserve">K </w:t>
      </w:r>
      <w:r w:rsidRPr="001B085F">
        <w:rPr>
          <w:rFonts w:ascii="Times New Roman" w:hAnsi="Times New Roman" w:cs="Times New Roman"/>
        </w:rPr>
        <w:t>v rámci tzv. Akčnej skupiny pre lepšiu implementáciu („Task Force for Better Im</w:t>
      </w:r>
      <w:r>
        <w:rPr>
          <w:rFonts w:ascii="Times New Roman" w:hAnsi="Times New Roman" w:cs="Times New Roman"/>
        </w:rPr>
        <w:t>plementation“) podrobne popísaná</w:t>
      </w:r>
      <w:r w:rsidR="00BA0258">
        <w:rPr>
          <w:rFonts w:ascii="Times New Roman" w:hAnsi="Times New Roman" w:cs="Times New Roman"/>
        </w:rPr>
        <w:t xml:space="preserve"> v kapitole </w:t>
      </w:r>
      <w:r w:rsidRPr="001B085F">
        <w:rPr>
          <w:rFonts w:ascii="Times New Roman" w:hAnsi="Times New Roman" w:cs="Times New Roman"/>
        </w:rPr>
        <w:t xml:space="preserve">5 tejto Správy. </w:t>
      </w:r>
    </w:p>
    <w:p w:rsidR="00BA0258" w:rsidRPr="001B085F" w:rsidP="00BA0258">
      <w:pPr>
        <w:pStyle w:val="ListParagraph"/>
        <w:bidi w:val="0"/>
        <w:spacing w:after="0"/>
        <w:jc w:val="both"/>
        <w:rPr>
          <w:rFonts w:ascii="Times New Roman" w:hAnsi="Times New Roman" w:cs="Times New Roman"/>
        </w:rPr>
      </w:pPr>
    </w:p>
    <w:p w:rsidR="00014BB1" w:rsidRPr="001B085F" w:rsidP="00014BB1">
      <w:pPr>
        <w:pStyle w:val="ListParagraph"/>
        <w:bidi w:val="0"/>
        <w:spacing w:after="0"/>
        <w:jc w:val="both"/>
        <w:rPr>
          <w:rFonts w:ascii="Times New Roman" w:hAnsi="Times New Roman" w:cs="Times New Roman"/>
        </w:rPr>
      </w:pPr>
    </w:p>
    <w:p w:rsidR="00014BB1" w:rsidRPr="001B085F" w:rsidP="00014BB1">
      <w:pPr>
        <w:pStyle w:val="ListParagraph"/>
        <w:keepNext/>
        <w:numPr>
          <w:numId w:val="42"/>
        </w:numPr>
        <w:bidi w:val="0"/>
        <w:spacing w:after="0"/>
        <w:ind w:left="714" w:hanging="357"/>
        <w:jc w:val="both"/>
        <w:rPr>
          <w:rFonts w:ascii="Times New Roman" w:hAnsi="Times New Roman" w:cs="Times New Roman"/>
          <w:u w:val="single"/>
        </w:rPr>
      </w:pPr>
      <w:r w:rsidRPr="001B085F">
        <w:rPr>
          <w:rFonts w:ascii="Times New Roman" w:hAnsi="Times New Roman" w:cs="Times New Roman"/>
          <w:u w:val="single"/>
        </w:rPr>
        <w:t>Opatrenia s národnou dimenziou</w:t>
      </w:r>
      <w:r>
        <w:rPr>
          <w:rFonts w:ascii="Times New Roman" w:hAnsi="Times New Roman" w:cs="Times New Roman"/>
          <w:u w:val="single"/>
        </w:rPr>
        <w:t>:</w:t>
      </w:r>
    </w:p>
    <w:p w:rsidR="00014BB1" w:rsidRPr="00FD303B" w:rsidP="00FD303B">
      <w:pPr>
        <w:keepNext/>
        <w:bidi w:val="0"/>
        <w:spacing w:after="0"/>
        <w:jc w:val="both"/>
        <w:rPr>
          <w:rFonts w:ascii="Times New Roman" w:hAnsi="Times New Roman" w:cs="Times New Roman"/>
          <w:u w:val="single"/>
        </w:rPr>
      </w:pPr>
    </w:p>
    <w:p w:rsidR="00014BB1" w:rsidRPr="001B085F" w:rsidP="00014BB1">
      <w:pPr>
        <w:bidi w:val="0"/>
        <w:spacing w:after="0"/>
        <w:jc w:val="both"/>
        <w:rPr>
          <w:rFonts w:ascii="Times New Roman" w:hAnsi="Times New Roman" w:cs="Times New Roman"/>
        </w:rPr>
      </w:pPr>
      <w:r w:rsidRPr="001B085F">
        <w:rPr>
          <w:rFonts w:ascii="Times New Roman" w:hAnsi="Times New Roman" w:cs="Times New Roman"/>
        </w:rPr>
        <w:t>Úroveň RO:</w:t>
      </w:r>
    </w:p>
    <w:p w:rsidR="00014BB1" w:rsidRPr="001B085F" w:rsidP="00014BB1">
      <w:pPr>
        <w:pStyle w:val="ListParagraph"/>
        <w:numPr>
          <w:numId w:val="47"/>
        </w:numPr>
        <w:bidi w:val="0"/>
        <w:rPr>
          <w:rFonts w:ascii="Times New Roman" w:hAnsi="Times New Roman" w:cs="Times New Roman"/>
        </w:rPr>
      </w:pPr>
      <w:r w:rsidRPr="001B085F">
        <w:rPr>
          <w:rFonts w:ascii="Times New Roman" w:hAnsi="Times New Roman" w:cs="Times New Roman"/>
        </w:rPr>
        <w:t>realokácia finančných prostriedkov v rámci operačných programov</w:t>
      </w:r>
      <w:r w:rsidR="005514F4">
        <w:rPr>
          <w:rFonts w:ascii="Times New Roman" w:hAnsi="Times New Roman" w:cs="Times New Roman"/>
        </w:rPr>
        <w:t xml:space="preserve"> </w:t>
      </w:r>
      <w:r w:rsidRPr="001B085F" w:rsidR="005514F4">
        <w:rPr>
          <w:rFonts w:ascii="Times New Roman" w:hAnsi="Times New Roman" w:cs="Times New Roman"/>
        </w:rPr>
        <w:t>(</w:t>
      </w:r>
      <w:r w:rsidR="005514F4">
        <w:rPr>
          <w:rFonts w:ascii="Times New Roman" w:hAnsi="Times New Roman" w:cs="Times New Roman"/>
        </w:rPr>
        <w:t>interná realokácia</w:t>
      </w:r>
      <w:r w:rsidRPr="001B085F" w:rsidR="005514F4">
        <w:rPr>
          <w:rFonts w:ascii="Times New Roman" w:hAnsi="Times New Roman" w:cs="Times New Roman"/>
        </w:rPr>
        <w:t>)</w:t>
      </w:r>
      <w:r w:rsidRPr="001B085F">
        <w:rPr>
          <w:rFonts w:ascii="Times New Roman" w:hAnsi="Times New Roman" w:cs="Times New Roman"/>
        </w:rPr>
        <w:t>,</w:t>
      </w:r>
    </w:p>
    <w:p w:rsidR="00014BB1" w:rsidRPr="001B085F" w:rsidP="00014BB1">
      <w:pPr>
        <w:pStyle w:val="ListParagraph"/>
        <w:numPr>
          <w:numId w:val="47"/>
        </w:numPr>
        <w:bidi w:val="0"/>
        <w:rPr>
          <w:rFonts w:ascii="Times New Roman" w:hAnsi="Times New Roman" w:cs="Times New Roman"/>
        </w:rPr>
      </w:pPr>
      <w:r w:rsidRPr="001B085F">
        <w:rPr>
          <w:rFonts w:ascii="Times New Roman" w:hAnsi="Times New Roman" w:cs="Times New Roman"/>
        </w:rPr>
        <w:t>realokácia finančných prostriedkov medzi operačnými programami,</w:t>
      </w:r>
    </w:p>
    <w:p w:rsidR="00014BB1" w:rsidRPr="001B085F" w:rsidP="00014BB1">
      <w:pPr>
        <w:pStyle w:val="ListParagraph"/>
        <w:numPr>
          <w:numId w:val="47"/>
        </w:numPr>
        <w:bidi w:val="0"/>
        <w:rPr>
          <w:rFonts w:ascii="Times New Roman" w:hAnsi="Times New Roman" w:cs="Times New Roman"/>
        </w:rPr>
      </w:pPr>
      <w:r w:rsidRPr="001B085F">
        <w:rPr>
          <w:rFonts w:ascii="Times New Roman" w:hAnsi="Times New Roman" w:cs="Times New Roman"/>
        </w:rPr>
        <w:t>revízie (zmeny) operačných programov,</w:t>
      </w:r>
    </w:p>
    <w:p w:rsidR="00014BB1" w:rsidRPr="001B085F" w:rsidP="00014BB1">
      <w:pPr>
        <w:pStyle w:val="ListParagraph"/>
        <w:numPr>
          <w:numId w:val="47"/>
        </w:numPr>
        <w:bidi w:val="0"/>
        <w:spacing w:after="0"/>
        <w:jc w:val="both"/>
        <w:rPr>
          <w:rFonts w:ascii="Times New Roman" w:hAnsi="Times New Roman" w:cs="Times New Roman"/>
        </w:rPr>
      </w:pPr>
      <w:r w:rsidRPr="001B085F">
        <w:rPr>
          <w:rFonts w:ascii="Times New Roman" w:hAnsi="Times New Roman" w:cs="Times New Roman"/>
        </w:rPr>
        <w:t xml:space="preserve">využívanie inštitútu zásobníka projektov, </w:t>
      </w:r>
    </w:p>
    <w:p w:rsidR="00014BB1" w:rsidRPr="001B085F" w:rsidP="00014BB1">
      <w:pPr>
        <w:pStyle w:val="ListParagraph"/>
        <w:numPr>
          <w:numId w:val="47"/>
        </w:numPr>
        <w:bidi w:val="0"/>
        <w:rPr>
          <w:rFonts w:ascii="Times New Roman" w:hAnsi="Times New Roman" w:cs="Times New Roman"/>
        </w:rPr>
      </w:pPr>
      <w:r w:rsidR="00983293">
        <w:rPr>
          <w:rFonts w:ascii="Times New Roman" w:hAnsi="Times New Roman" w:cs="Times New Roman"/>
        </w:rPr>
        <w:t>zavedenie</w:t>
      </w:r>
      <w:r w:rsidRPr="001B085F">
        <w:rPr>
          <w:rFonts w:ascii="Times New Roman" w:hAnsi="Times New Roman" w:cs="Times New Roman"/>
        </w:rPr>
        <w:t xml:space="preserve"> výhľadových plánov kontrahovania</w:t>
      </w:r>
      <w:r w:rsidR="00983293">
        <w:rPr>
          <w:rFonts w:ascii="Times New Roman" w:hAnsi="Times New Roman" w:cs="Times New Roman"/>
        </w:rPr>
        <w:t xml:space="preserve"> a</w:t>
      </w:r>
      <w:r w:rsidRPr="001B085F">
        <w:rPr>
          <w:rFonts w:ascii="Times New Roman" w:hAnsi="Times New Roman" w:cs="Times New Roman"/>
        </w:rPr>
        <w:t xml:space="preserve"> čerpania operačných programov,</w:t>
      </w:r>
    </w:p>
    <w:p w:rsidR="00014BB1" w:rsidRPr="001B085F" w:rsidP="00014BB1">
      <w:pPr>
        <w:pStyle w:val="ListParagraph"/>
        <w:numPr>
          <w:numId w:val="45"/>
        </w:numPr>
        <w:bidi w:val="0"/>
        <w:spacing w:after="0"/>
        <w:jc w:val="both"/>
        <w:rPr>
          <w:rFonts w:ascii="Times New Roman" w:hAnsi="Times New Roman" w:cs="Times New Roman"/>
        </w:rPr>
      </w:pPr>
      <w:r w:rsidRPr="001B085F">
        <w:rPr>
          <w:rFonts w:ascii="Times New Roman" w:hAnsi="Times New Roman" w:cs="Times New Roman"/>
        </w:rPr>
        <w:t>zavedenie ex-ante kontroly VO pred ich vyhlásením v niektorých operačných programoch,</w:t>
      </w:r>
    </w:p>
    <w:p w:rsidR="00014BB1" w:rsidRPr="001B085F" w:rsidP="00014BB1">
      <w:pPr>
        <w:pStyle w:val="ListParagraph"/>
        <w:numPr>
          <w:numId w:val="45"/>
        </w:numPr>
        <w:bidi w:val="0"/>
        <w:spacing w:after="0"/>
        <w:jc w:val="both"/>
        <w:rPr>
          <w:rFonts w:ascii="Times New Roman" w:hAnsi="Times New Roman" w:cs="Times New Roman"/>
        </w:rPr>
      </w:pPr>
      <w:r w:rsidRPr="001B085F">
        <w:rPr>
          <w:rFonts w:ascii="Times New Roman" w:hAnsi="Times New Roman" w:cs="Times New Roman"/>
        </w:rPr>
        <w:t xml:space="preserve">skrátenie lehôt súvisiacich s kontrolou VO a administráciou žiadostí o platbu na strane RO, </w:t>
      </w:r>
    </w:p>
    <w:p w:rsidR="00014BB1" w:rsidRPr="001B085F" w:rsidP="00014BB1">
      <w:pPr>
        <w:pStyle w:val="ListParagraph"/>
        <w:numPr>
          <w:numId w:val="45"/>
        </w:numPr>
        <w:bidi w:val="0"/>
        <w:spacing w:after="0"/>
        <w:jc w:val="both"/>
        <w:rPr>
          <w:rFonts w:ascii="Times New Roman" w:hAnsi="Times New Roman" w:cs="Times New Roman"/>
        </w:rPr>
      </w:pPr>
      <w:r w:rsidRPr="001B085F">
        <w:rPr>
          <w:rFonts w:ascii="Times New Roman" w:hAnsi="Times New Roman" w:cs="Times New Roman"/>
        </w:rPr>
        <w:t>zavedenie pravidelného sledovania dodržiavania lehôt pre overenie a schvaľovanie ŽoP na úrovni RO,</w:t>
      </w:r>
    </w:p>
    <w:p w:rsidR="00014BB1" w:rsidRPr="001B085F" w:rsidP="00014BB1">
      <w:pPr>
        <w:pStyle w:val="ListParagraph"/>
        <w:numPr>
          <w:numId w:val="45"/>
        </w:numPr>
        <w:bidi w:val="0"/>
        <w:spacing w:after="0"/>
        <w:jc w:val="both"/>
        <w:rPr>
          <w:rFonts w:ascii="Times New Roman" w:hAnsi="Times New Roman" w:cs="Times New Roman"/>
        </w:rPr>
      </w:pPr>
      <w:r w:rsidRPr="001B085F">
        <w:rPr>
          <w:rFonts w:ascii="Times New Roman" w:hAnsi="Times New Roman" w:cs="Times New Roman"/>
        </w:rPr>
        <w:t xml:space="preserve">zavedenie mesačných plánov čerpania výdavkov na úrovni jednotlivých projektov, </w:t>
      </w:r>
    </w:p>
    <w:p w:rsidR="00014BB1" w:rsidRPr="001B085F" w:rsidP="00014BB1">
      <w:pPr>
        <w:pStyle w:val="ListParagraph"/>
        <w:numPr>
          <w:numId w:val="45"/>
        </w:numPr>
        <w:bidi w:val="0"/>
        <w:spacing w:after="0"/>
        <w:jc w:val="both"/>
        <w:rPr>
          <w:rFonts w:ascii="Times New Roman" w:hAnsi="Times New Roman" w:cs="Times New Roman"/>
        </w:rPr>
      </w:pPr>
      <w:r w:rsidRPr="001B085F">
        <w:rPr>
          <w:rFonts w:ascii="Times New Roman" w:hAnsi="Times New Roman" w:cs="Times New Roman"/>
        </w:rPr>
        <w:t xml:space="preserve">identifikovanie tzv. kľúčových projektov (z pohľadu ich dopadu na čerpanie, napr. veľké projekty) a aplikácia prvkov krízového riadenia v rámci implementácie projektov, ktoré boli identifikované ako rizikové z pohľadu čerpania, </w:t>
      </w:r>
    </w:p>
    <w:p w:rsidR="00014BB1" w:rsidRPr="001B085F" w:rsidP="00014BB1">
      <w:pPr>
        <w:pStyle w:val="ListParagraph"/>
        <w:numPr>
          <w:numId w:val="45"/>
        </w:numPr>
        <w:bidi w:val="0"/>
        <w:spacing w:after="0"/>
        <w:jc w:val="both"/>
        <w:rPr>
          <w:rFonts w:ascii="Times New Roman" w:hAnsi="Times New Roman" w:cs="Times New Roman"/>
        </w:rPr>
      </w:pPr>
      <w:r w:rsidRPr="001B085F">
        <w:rPr>
          <w:rFonts w:ascii="Times New Roman" w:hAnsi="Times New Roman" w:cs="Times New Roman"/>
        </w:rPr>
        <w:t>zefektívnenie procesu zmenového konania, t.j. procesu riadenia požiadaviek prijímateľov na zmenu projektu,</w:t>
      </w:r>
    </w:p>
    <w:p w:rsidR="00014BB1" w:rsidRPr="001B085F" w:rsidP="00014BB1">
      <w:pPr>
        <w:pStyle w:val="ListParagraph"/>
        <w:numPr>
          <w:numId w:val="45"/>
        </w:numPr>
        <w:bidi w:val="0"/>
        <w:spacing w:after="0"/>
        <w:jc w:val="both"/>
        <w:rPr>
          <w:rFonts w:ascii="Times New Roman" w:hAnsi="Times New Roman" w:cs="Times New Roman"/>
        </w:rPr>
      </w:pPr>
      <w:r w:rsidR="000773A5">
        <w:rPr>
          <w:rFonts w:ascii="Times New Roman" w:hAnsi="Times New Roman" w:cs="Times New Roman"/>
        </w:rPr>
        <w:t xml:space="preserve">vyhlasovanie dodatočných výziev </w:t>
      </w:r>
      <w:r w:rsidRPr="001B085F">
        <w:rPr>
          <w:rFonts w:ascii="Times New Roman" w:hAnsi="Times New Roman" w:cs="Times New Roman"/>
        </w:rPr>
        <w:t>a písomných vyzvaní, uplatnenie možnosti nadkontrahovania v rámci OP</w:t>
      </w:r>
      <w:r>
        <w:rPr>
          <w:rFonts w:ascii="Times New Roman" w:hAnsi="Times New Roman" w:cs="Times New Roman"/>
        </w:rPr>
        <w:t>,</w:t>
      </w:r>
      <w:r w:rsidRPr="001B085F">
        <w:rPr>
          <w:rFonts w:ascii="Times New Roman" w:hAnsi="Times New Roman" w:cs="Times New Roman"/>
        </w:rPr>
        <w:t xml:space="preserve"> </w:t>
      </w:r>
    </w:p>
    <w:p w:rsidR="00014BB1" w:rsidRPr="001B085F" w:rsidP="00014BB1">
      <w:pPr>
        <w:pStyle w:val="ListParagraph"/>
        <w:numPr>
          <w:numId w:val="45"/>
        </w:numPr>
        <w:bidi w:val="0"/>
        <w:spacing w:after="0"/>
        <w:jc w:val="both"/>
        <w:rPr>
          <w:rFonts w:ascii="Times New Roman" w:hAnsi="Times New Roman" w:cs="Times New Roman"/>
        </w:rPr>
      </w:pPr>
      <w:r w:rsidRPr="001B085F">
        <w:rPr>
          <w:rFonts w:ascii="Times New Roman" w:hAnsi="Times New Roman" w:cs="Times New Roman"/>
        </w:rPr>
        <w:t xml:space="preserve">posilnenie administratívnych kapacít RO, SORO, </w:t>
      </w:r>
      <w:r w:rsidR="000773A5">
        <w:rPr>
          <w:rFonts w:ascii="Times New Roman" w:hAnsi="Times New Roman" w:cs="Times New Roman"/>
        </w:rPr>
        <w:t>CO</w:t>
      </w:r>
      <w:r w:rsidRPr="001B085F">
        <w:rPr>
          <w:rFonts w:ascii="Times New Roman" w:hAnsi="Times New Roman" w:cs="Times New Roman"/>
        </w:rPr>
        <w:t xml:space="preserve">, </w:t>
      </w:r>
      <w:r w:rsidR="000773A5">
        <w:rPr>
          <w:rFonts w:ascii="Times New Roman" w:hAnsi="Times New Roman" w:cs="Times New Roman"/>
        </w:rPr>
        <w:t>CKO</w:t>
      </w:r>
      <w:r w:rsidRPr="001B085F">
        <w:rPr>
          <w:rFonts w:ascii="Times New Roman" w:hAnsi="Times New Roman" w:cs="Times New Roman"/>
        </w:rPr>
        <w:t xml:space="preserve"> a </w:t>
      </w:r>
      <w:r w:rsidR="000773A5">
        <w:rPr>
          <w:rFonts w:ascii="Times New Roman" w:hAnsi="Times New Roman" w:cs="Times New Roman"/>
        </w:rPr>
        <w:t>OA</w:t>
      </w:r>
      <w:r w:rsidRPr="001B085F">
        <w:rPr>
          <w:rFonts w:ascii="Times New Roman" w:hAnsi="Times New Roman" w:cs="Times New Roman"/>
        </w:rPr>
        <w:t xml:space="preserve"> (aj v súvislosti s potrebou prípravy nového programového obdobia 2014 - 2020)</w:t>
      </w:r>
      <w:r>
        <w:rPr>
          <w:rFonts w:ascii="Times New Roman" w:hAnsi="Times New Roman" w:cs="Times New Roman"/>
        </w:rPr>
        <w:t>.</w:t>
      </w:r>
    </w:p>
    <w:p w:rsidR="00014BB1" w:rsidRPr="001B085F" w:rsidP="00014BB1">
      <w:pPr>
        <w:bidi w:val="0"/>
        <w:spacing w:after="0"/>
        <w:jc w:val="both"/>
        <w:rPr>
          <w:rFonts w:ascii="Times New Roman" w:hAnsi="Times New Roman" w:cs="Times New Roman"/>
        </w:rPr>
      </w:pPr>
    </w:p>
    <w:p w:rsidR="00014BB1" w:rsidRPr="001B085F" w:rsidP="00014BB1">
      <w:pPr>
        <w:bidi w:val="0"/>
        <w:spacing w:after="0"/>
        <w:jc w:val="both"/>
        <w:rPr>
          <w:rFonts w:ascii="Times New Roman" w:hAnsi="Times New Roman" w:cs="Times New Roman"/>
        </w:rPr>
      </w:pPr>
      <w:r w:rsidRPr="001B085F">
        <w:rPr>
          <w:rFonts w:ascii="Times New Roman" w:hAnsi="Times New Roman" w:cs="Times New Roman"/>
        </w:rPr>
        <w:t>Úroveň prijímateľov:</w:t>
      </w:r>
    </w:p>
    <w:p w:rsidR="00014BB1" w:rsidRPr="001B085F" w:rsidP="00014BB1">
      <w:pPr>
        <w:pStyle w:val="ListParagraph"/>
        <w:numPr>
          <w:numId w:val="45"/>
        </w:numPr>
        <w:bidi w:val="0"/>
        <w:spacing w:after="0"/>
        <w:jc w:val="both"/>
        <w:rPr>
          <w:rFonts w:ascii="Times New Roman" w:hAnsi="Times New Roman" w:cs="Times New Roman"/>
        </w:rPr>
      </w:pPr>
      <w:r w:rsidRPr="001B085F">
        <w:rPr>
          <w:rFonts w:ascii="Times New Roman" w:hAnsi="Times New Roman" w:cs="Times New Roman"/>
        </w:rPr>
        <w:t>zintenzívnenie komunikácie s  prijímateľmi s cieľom urýchlenia kľúčových procesov ovplyvňujúcich čerpanie (VO, príprava a predkladanie žiadostí o platbu),</w:t>
      </w:r>
    </w:p>
    <w:p w:rsidR="00014BB1" w:rsidRPr="001B085F" w:rsidP="00014BB1">
      <w:pPr>
        <w:pStyle w:val="ListParagraph"/>
        <w:numPr>
          <w:numId w:val="45"/>
        </w:numPr>
        <w:bidi w:val="0"/>
        <w:spacing w:after="0"/>
        <w:jc w:val="both"/>
        <w:rPr>
          <w:rFonts w:ascii="Times New Roman" w:hAnsi="Times New Roman" w:cs="Times New Roman"/>
        </w:rPr>
      </w:pPr>
      <w:r w:rsidRPr="001B085F">
        <w:rPr>
          <w:rFonts w:ascii="Times New Roman" w:hAnsi="Times New Roman" w:cs="Times New Roman"/>
        </w:rPr>
        <w:t>zintenzívnenie školení prijímateľov</w:t>
      </w:r>
      <w:r>
        <w:rPr>
          <w:rFonts w:ascii="Times New Roman" w:hAnsi="Times New Roman" w:cs="Times New Roman"/>
        </w:rPr>
        <w:t>.</w:t>
      </w:r>
      <w:r w:rsidRPr="001B085F">
        <w:rPr>
          <w:rFonts w:ascii="Times New Roman" w:hAnsi="Times New Roman" w:cs="Times New Roman"/>
        </w:rPr>
        <w:t xml:space="preserve"> </w:t>
      </w:r>
    </w:p>
    <w:p w:rsidR="00A252E2" w:rsidRPr="00D50D44" w:rsidP="00D62C95">
      <w:pPr>
        <w:bidi w:val="0"/>
        <w:rPr>
          <w:rFonts w:ascii="Times New Roman" w:hAnsi="Times New Roman" w:cs="Times New Roman"/>
        </w:rPr>
      </w:pPr>
    </w:p>
    <w:p w:rsidR="00740A6C" w:rsidRPr="00D50D44" w:rsidP="00D62C95">
      <w:pPr>
        <w:pStyle w:val="Heading2"/>
        <w:numPr>
          <w:numId w:val="36"/>
        </w:numPr>
        <w:bidi w:val="0"/>
        <w:spacing w:after="120"/>
        <w:ind w:left="714" w:hanging="357"/>
        <w:rPr>
          <w:rFonts w:ascii="Times New Roman" w:hAnsi="Times New Roman" w:cs="Times New Roman"/>
        </w:rPr>
      </w:pPr>
      <w:bookmarkStart w:id="6" w:name="_Toc419481411"/>
      <w:r w:rsidRPr="00D50D44" w:rsidR="00AB3F1A">
        <w:rPr>
          <w:rFonts w:ascii="Times New Roman" w:hAnsi="Times New Roman" w:cs="Times New Roman"/>
        </w:rPr>
        <w:t>A</w:t>
      </w:r>
      <w:r w:rsidRPr="00D50D44" w:rsidR="00FB7C7C">
        <w:rPr>
          <w:rFonts w:ascii="Times New Roman" w:hAnsi="Times New Roman" w:cs="Times New Roman" w:hint="default"/>
        </w:rPr>
        <w:t>kč</w:t>
      </w:r>
      <w:r w:rsidRPr="00D50D44" w:rsidR="00FB7C7C">
        <w:rPr>
          <w:rFonts w:ascii="Times New Roman" w:hAnsi="Times New Roman" w:cs="Times New Roman" w:hint="default"/>
        </w:rPr>
        <w:t>ná</w:t>
      </w:r>
      <w:r w:rsidRPr="00D50D44" w:rsidR="00FB7C7C">
        <w:rPr>
          <w:rFonts w:ascii="Times New Roman" w:hAnsi="Times New Roman" w:cs="Times New Roman" w:hint="default"/>
        </w:rPr>
        <w:t xml:space="preserve"> skupina pre lepš</w:t>
      </w:r>
      <w:r w:rsidRPr="00D50D44" w:rsidR="00FB7C7C">
        <w:rPr>
          <w:rFonts w:ascii="Times New Roman" w:hAnsi="Times New Roman" w:cs="Times New Roman" w:hint="default"/>
        </w:rPr>
        <w:t>iu implementá</w:t>
      </w:r>
      <w:r w:rsidRPr="00D50D44" w:rsidR="00FB7C7C">
        <w:rPr>
          <w:rFonts w:ascii="Times New Roman" w:hAnsi="Times New Roman" w:cs="Times New Roman" w:hint="default"/>
        </w:rPr>
        <w:t xml:space="preserve">ciu </w:t>
      </w:r>
      <w:r w:rsidRPr="00D50D44" w:rsidR="00AB3F1A">
        <w:rPr>
          <w:rFonts w:ascii="Times New Roman" w:hAnsi="Times New Roman" w:cs="Times New Roman" w:hint="default"/>
        </w:rPr>
        <w:t>(„</w:t>
      </w:r>
      <w:r w:rsidRPr="00D50D44" w:rsidR="00AB3F1A">
        <w:rPr>
          <w:rFonts w:ascii="Times New Roman" w:hAnsi="Times New Roman" w:cs="Times New Roman" w:hint="default"/>
        </w:rPr>
        <w:t>TASK FORCE“</w:t>
      </w:r>
      <w:r w:rsidRPr="00D50D44" w:rsidR="00AB3F1A">
        <w:rPr>
          <w:rFonts w:ascii="Times New Roman" w:hAnsi="Times New Roman" w:cs="Times New Roman" w:hint="default"/>
        </w:rPr>
        <w:t>)</w:t>
      </w:r>
      <w:bookmarkEnd w:id="6"/>
    </w:p>
    <w:p w:rsidR="003E0DEE" w:rsidRPr="00D50D44" w:rsidP="00D62C95">
      <w:pPr>
        <w:pStyle w:val="ListParagraph"/>
        <w:bidi w:val="0"/>
        <w:spacing w:after="0"/>
        <w:jc w:val="center"/>
        <w:rPr>
          <w:rFonts w:ascii="Times New Roman" w:hAnsi="Times New Roman" w:cs="Times New Roman"/>
          <w:i/>
        </w:rPr>
      </w:pPr>
    </w:p>
    <w:p w:rsidR="00C57CD6" w:rsidRPr="00D50D44" w:rsidP="00D62C95">
      <w:pPr>
        <w:bidi w:val="0"/>
        <w:spacing w:after="0"/>
        <w:ind w:firstLine="708"/>
        <w:jc w:val="both"/>
        <w:rPr>
          <w:rFonts w:ascii="Times New Roman" w:hAnsi="Times New Roman" w:cs="Times New Roman"/>
        </w:rPr>
      </w:pPr>
      <w:r w:rsidRPr="00D50D44">
        <w:rPr>
          <w:rFonts w:ascii="Times New Roman" w:hAnsi="Times New Roman" w:cs="Times New Roman"/>
        </w:rPr>
        <w:t xml:space="preserve">V decembri 2014 prijala Európska rada nasledovný záver: </w:t>
      </w:r>
    </w:p>
    <w:p w:rsidR="00C57CD6" w:rsidRPr="00D50D44" w:rsidP="00D62C95">
      <w:pPr>
        <w:pStyle w:val="ListParagraph"/>
        <w:bidi w:val="0"/>
        <w:spacing w:after="0"/>
        <w:ind w:left="0"/>
        <w:jc w:val="both"/>
        <w:rPr>
          <w:rFonts w:ascii="Times New Roman" w:hAnsi="Times New Roman" w:cs="Times New Roman"/>
          <w:i/>
        </w:rPr>
      </w:pPr>
      <w:r w:rsidRPr="00D50D44">
        <w:rPr>
          <w:rFonts w:ascii="Times New Roman" w:hAnsi="Times New Roman" w:cs="Times New Roman"/>
          <w:i/>
        </w:rPr>
        <w:t xml:space="preserve">„Európska rada podčiarkuje, že Európsky fond pre strategické investície bude komplementárny a dodatočný k prebiehajúcim programom EÚ a tradičným činnostiam EIB. V tejto súvislosti je potrebné podnecovať úplné využitie existujúcich a pridelených zdrojov EÚ. Komisia bude úzko spolupracovať s dotknutými členskými štátmi, aby našla riešenia na maximalizovanie využitia rozpočtových prostriedkov z VFR na roky </w:t>
      </w:r>
      <w:r w:rsidR="00503FDB">
        <w:rPr>
          <w:rFonts w:ascii="Times New Roman" w:hAnsi="Times New Roman" w:cs="Times New Roman"/>
          <w:i/>
        </w:rPr>
        <w:t>2007 - 2013</w:t>
      </w:r>
      <w:r w:rsidR="008B515F">
        <w:rPr>
          <w:rFonts w:ascii="Times New Roman" w:hAnsi="Times New Roman" w:cs="Times New Roman"/>
          <w:i/>
        </w:rPr>
        <w:t xml:space="preserve"> </w:t>
      </w:r>
      <w:r w:rsidRPr="00D50D44">
        <w:rPr>
          <w:rFonts w:ascii="Times New Roman" w:hAnsi="Times New Roman" w:cs="Times New Roman"/>
          <w:i/>
        </w:rPr>
        <w:t>a uznáva, že v budúcich rokoch je žiaduce realizovať dlhodobé projekty, pričom sa využije flexibilita existujúcich pravidiel“.</w:t>
      </w:r>
    </w:p>
    <w:p w:rsidR="00C57CD6" w:rsidRPr="00D50D44" w:rsidP="00D62C95">
      <w:pPr>
        <w:bidi w:val="0"/>
        <w:spacing w:after="0"/>
        <w:jc w:val="both"/>
        <w:rPr>
          <w:rFonts w:ascii="Times New Roman" w:hAnsi="Times New Roman" w:cs="Times New Roman"/>
        </w:rPr>
      </w:pPr>
    </w:p>
    <w:p w:rsidR="001D028C" w:rsidRPr="00D50D44" w:rsidP="00D62C95">
      <w:pPr>
        <w:bidi w:val="0"/>
        <w:spacing w:after="0"/>
        <w:ind w:firstLine="708"/>
        <w:jc w:val="both"/>
        <w:rPr>
          <w:rFonts w:ascii="Times New Roman" w:hAnsi="Times New Roman" w:cs="Times New Roman"/>
        </w:rPr>
      </w:pPr>
      <w:r w:rsidRPr="00D50D44" w:rsidR="00C57CD6">
        <w:rPr>
          <w:rFonts w:ascii="Times New Roman" w:hAnsi="Times New Roman" w:cs="Times New Roman"/>
        </w:rPr>
        <w:t xml:space="preserve">V nadväznosti </w:t>
      </w:r>
      <w:r w:rsidRPr="00D50D44" w:rsidR="00AB3F1A">
        <w:rPr>
          <w:rFonts w:ascii="Times New Roman" w:hAnsi="Times New Roman" w:cs="Times New Roman"/>
        </w:rPr>
        <w:t>na</w:t>
      </w:r>
      <w:r w:rsidRPr="00D50D44">
        <w:rPr>
          <w:rFonts w:ascii="Times New Roman" w:hAnsi="Times New Roman" w:cs="Times New Roman"/>
        </w:rPr>
        <w:t xml:space="preserve"> citované</w:t>
      </w:r>
      <w:r w:rsidRPr="00D50D44" w:rsidR="00AB3F1A">
        <w:rPr>
          <w:rFonts w:ascii="Times New Roman" w:hAnsi="Times New Roman" w:cs="Times New Roman"/>
        </w:rPr>
        <w:t xml:space="preserve"> závery Európskej rady bola</w:t>
      </w:r>
      <w:r w:rsidRPr="00D50D44" w:rsidR="00C57CD6">
        <w:rPr>
          <w:rFonts w:ascii="Times New Roman" w:hAnsi="Times New Roman" w:cs="Times New Roman"/>
        </w:rPr>
        <w:t xml:space="preserve"> E</w:t>
      </w:r>
      <w:r w:rsidR="00BA0258">
        <w:rPr>
          <w:rFonts w:ascii="Times New Roman" w:hAnsi="Times New Roman" w:cs="Times New Roman"/>
        </w:rPr>
        <w:t>K</w:t>
      </w:r>
      <w:r w:rsidRPr="00D50D44" w:rsidR="00C57CD6">
        <w:rPr>
          <w:rFonts w:ascii="Times New Roman" w:hAnsi="Times New Roman" w:cs="Times New Roman"/>
        </w:rPr>
        <w:t xml:space="preserve"> </w:t>
      </w:r>
      <w:r w:rsidRPr="00D50D44" w:rsidR="00AB3F1A">
        <w:rPr>
          <w:rFonts w:ascii="Times New Roman" w:hAnsi="Times New Roman" w:cs="Times New Roman"/>
        </w:rPr>
        <w:t xml:space="preserve">vytvorená tzv. Akčná skupina pre lepšiu implementáciu (ďalej len „Task Force“), </w:t>
      </w:r>
      <w:r w:rsidRPr="00D50D44" w:rsidR="00EF0BEC">
        <w:rPr>
          <w:rFonts w:ascii="Times New Roman" w:hAnsi="Times New Roman" w:cs="Times New Roman"/>
        </w:rPr>
        <w:t xml:space="preserve">ktorej poslaním je navrhovať a zavádzať dodatočné opatrenia </w:t>
      </w:r>
      <w:r w:rsidRPr="00D50D44" w:rsidR="00AB3F1A">
        <w:rPr>
          <w:rFonts w:ascii="Times New Roman" w:hAnsi="Times New Roman" w:cs="Times New Roman"/>
        </w:rPr>
        <w:t xml:space="preserve">na urýchlenie čerpania, </w:t>
      </w:r>
      <w:r w:rsidRPr="00D50D44" w:rsidR="00EF0BEC">
        <w:rPr>
          <w:rFonts w:ascii="Times New Roman" w:hAnsi="Times New Roman" w:cs="Times New Roman"/>
        </w:rPr>
        <w:t>tzv. nástroje flexibility</w:t>
      </w:r>
      <w:r w:rsidRPr="00D50D44" w:rsidR="00AB3F1A">
        <w:rPr>
          <w:rFonts w:ascii="Times New Roman" w:hAnsi="Times New Roman" w:cs="Times New Roman"/>
        </w:rPr>
        <w:t xml:space="preserve">, </w:t>
      </w:r>
      <w:r w:rsidRPr="00D50D44" w:rsidR="00EF0BEC">
        <w:rPr>
          <w:rFonts w:ascii="Times New Roman" w:hAnsi="Times New Roman" w:cs="Times New Roman"/>
        </w:rPr>
        <w:t xml:space="preserve">s cieľom </w:t>
      </w:r>
      <w:r w:rsidRPr="00D50D44" w:rsidR="00FA21EC">
        <w:rPr>
          <w:rFonts w:ascii="Times New Roman" w:hAnsi="Times New Roman" w:cs="Times New Roman"/>
        </w:rPr>
        <w:t xml:space="preserve">využiť </w:t>
      </w:r>
      <w:r w:rsidRPr="00D50D44" w:rsidR="00AB3F1A">
        <w:rPr>
          <w:rFonts w:ascii="Times New Roman" w:hAnsi="Times New Roman" w:cs="Times New Roman"/>
        </w:rPr>
        <w:t>v</w:t>
      </w:r>
      <w:r w:rsidRPr="00D50D44" w:rsidR="00FA21EC">
        <w:rPr>
          <w:rFonts w:ascii="Times New Roman" w:hAnsi="Times New Roman" w:cs="Times New Roman"/>
        </w:rPr>
        <w:t xml:space="preserve"> maximálnej </w:t>
      </w:r>
      <w:r w:rsidRPr="00D50D44" w:rsidR="00AB3F1A">
        <w:rPr>
          <w:rFonts w:ascii="Times New Roman" w:hAnsi="Times New Roman" w:cs="Times New Roman"/>
        </w:rPr>
        <w:t xml:space="preserve">miere </w:t>
      </w:r>
      <w:r w:rsidRPr="00D50D44" w:rsidR="00EF0BEC">
        <w:rPr>
          <w:rFonts w:ascii="Times New Roman" w:hAnsi="Times New Roman" w:cs="Times New Roman"/>
        </w:rPr>
        <w:t>finančné prostriedky programového obdobia</w:t>
      </w:r>
      <w:r w:rsidRPr="00D50D44" w:rsidR="00AB3F1A">
        <w:rPr>
          <w:rFonts w:ascii="Times New Roman" w:hAnsi="Times New Roman" w:cs="Times New Roman"/>
        </w:rPr>
        <w:t xml:space="preserve"> </w:t>
      </w:r>
      <w:r w:rsidR="00503FDB">
        <w:rPr>
          <w:rFonts w:ascii="Times New Roman" w:hAnsi="Times New Roman" w:cs="Times New Roman"/>
        </w:rPr>
        <w:t>2007 - 2013</w:t>
      </w:r>
      <w:r w:rsidRPr="00D50D44" w:rsidR="00EF0BEC">
        <w:rPr>
          <w:rFonts w:ascii="Times New Roman" w:hAnsi="Times New Roman" w:cs="Times New Roman"/>
        </w:rPr>
        <w:t>.</w:t>
      </w:r>
      <w:r w:rsidRPr="00D50D44" w:rsidR="00AB3F1A">
        <w:rPr>
          <w:rFonts w:ascii="Times New Roman" w:hAnsi="Times New Roman" w:cs="Times New Roman"/>
        </w:rPr>
        <w:t xml:space="preserve"> </w:t>
      </w:r>
      <w:r w:rsidRPr="00D50D44" w:rsidR="00EF0BEC">
        <w:rPr>
          <w:rFonts w:ascii="Times New Roman" w:hAnsi="Times New Roman" w:cs="Times New Roman"/>
        </w:rPr>
        <w:t xml:space="preserve"> </w:t>
      </w:r>
      <w:r w:rsidRPr="00D50D44">
        <w:rPr>
          <w:rFonts w:ascii="Times New Roman" w:hAnsi="Times New Roman" w:cs="Times New Roman"/>
        </w:rPr>
        <w:t>Tot</w:t>
      </w:r>
      <w:r w:rsidRPr="00D50D44" w:rsidR="00F45B94">
        <w:rPr>
          <w:rFonts w:ascii="Times New Roman" w:hAnsi="Times New Roman" w:cs="Times New Roman"/>
        </w:rPr>
        <w:t xml:space="preserve">o rozhodnutie bolo motivované aj ambíciou naplniť ciele kohéznej politiky.  </w:t>
      </w:r>
    </w:p>
    <w:p w:rsidR="001D028C" w:rsidRPr="00D50D44" w:rsidP="00D62C95">
      <w:pPr>
        <w:bidi w:val="0"/>
        <w:spacing w:after="0"/>
        <w:jc w:val="both"/>
        <w:rPr>
          <w:rFonts w:ascii="Times New Roman" w:hAnsi="Times New Roman" w:cs="Times New Roman"/>
        </w:rPr>
      </w:pPr>
    </w:p>
    <w:p w:rsidR="00EF0BEC" w:rsidP="00D62C95">
      <w:pPr>
        <w:bidi w:val="0"/>
        <w:spacing w:after="0"/>
        <w:ind w:firstLine="708"/>
        <w:jc w:val="both"/>
        <w:rPr>
          <w:rFonts w:ascii="Times New Roman" w:hAnsi="Times New Roman" w:cs="Times New Roman"/>
        </w:rPr>
      </w:pPr>
      <w:r w:rsidRPr="00D50D44">
        <w:rPr>
          <w:rFonts w:ascii="Times New Roman" w:hAnsi="Times New Roman" w:cs="Times New Roman"/>
        </w:rPr>
        <w:t xml:space="preserve">Prvé  rokovanie </w:t>
      </w:r>
      <w:r w:rsidRPr="00D50D44" w:rsidR="00FA21EC">
        <w:rPr>
          <w:rFonts w:ascii="Times New Roman" w:hAnsi="Times New Roman" w:cs="Times New Roman"/>
        </w:rPr>
        <w:t xml:space="preserve">medzi zástupcami </w:t>
      </w:r>
      <w:r w:rsidRPr="00D50D44">
        <w:rPr>
          <w:rFonts w:ascii="Times New Roman" w:hAnsi="Times New Roman" w:cs="Times New Roman"/>
        </w:rPr>
        <w:t>S</w:t>
      </w:r>
      <w:r w:rsidR="00BA0258">
        <w:rPr>
          <w:rFonts w:ascii="Times New Roman" w:hAnsi="Times New Roman" w:cs="Times New Roman"/>
        </w:rPr>
        <w:t>R</w:t>
      </w:r>
      <w:r w:rsidRPr="00D50D44" w:rsidR="00FA21EC">
        <w:rPr>
          <w:rFonts w:ascii="Times New Roman" w:hAnsi="Times New Roman" w:cs="Times New Roman"/>
        </w:rPr>
        <w:t xml:space="preserve"> a</w:t>
      </w:r>
      <w:r w:rsidR="00BA0258">
        <w:rPr>
          <w:rFonts w:ascii="Times New Roman" w:hAnsi="Times New Roman" w:cs="Times New Roman"/>
        </w:rPr>
        <w:t> </w:t>
      </w:r>
      <w:r w:rsidRPr="00D50D44" w:rsidR="00FA21EC">
        <w:rPr>
          <w:rFonts w:ascii="Times New Roman" w:hAnsi="Times New Roman" w:cs="Times New Roman"/>
        </w:rPr>
        <w:t>E</w:t>
      </w:r>
      <w:r w:rsidR="00BA0258">
        <w:rPr>
          <w:rFonts w:ascii="Times New Roman" w:hAnsi="Times New Roman" w:cs="Times New Roman"/>
        </w:rPr>
        <w:t xml:space="preserve">K </w:t>
      </w:r>
      <w:r w:rsidRPr="00D50D44" w:rsidR="00FA21EC">
        <w:rPr>
          <w:rFonts w:ascii="Times New Roman" w:hAnsi="Times New Roman" w:cs="Times New Roman"/>
        </w:rPr>
        <w:t xml:space="preserve">v rámci Task Force sa </w:t>
      </w:r>
      <w:r w:rsidRPr="00D50D44">
        <w:rPr>
          <w:rFonts w:ascii="Times New Roman" w:hAnsi="Times New Roman" w:cs="Times New Roman"/>
        </w:rPr>
        <w:t xml:space="preserve">uskutočnilo </w:t>
      </w:r>
      <w:r w:rsidRPr="00D50D44" w:rsidR="00FA21EC">
        <w:rPr>
          <w:rFonts w:ascii="Times New Roman" w:hAnsi="Times New Roman" w:cs="Times New Roman"/>
        </w:rPr>
        <w:t xml:space="preserve">v januári 2015. Následne </w:t>
      </w:r>
      <w:r w:rsidRPr="00D50D44" w:rsidR="00C57CD6">
        <w:rPr>
          <w:rFonts w:ascii="Times New Roman" w:hAnsi="Times New Roman" w:cs="Times New Roman"/>
        </w:rPr>
        <w:t xml:space="preserve">boli uskutočnené </w:t>
      </w:r>
      <w:r w:rsidRPr="00D50D44" w:rsidR="00FA21EC">
        <w:rPr>
          <w:rFonts w:ascii="Times New Roman" w:hAnsi="Times New Roman" w:cs="Times New Roman"/>
        </w:rPr>
        <w:t xml:space="preserve">rokovania na úrovni </w:t>
      </w:r>
      <w:r w:rsidRPr="00D50D44" w:rsidR="009910CF">
        <w:rPr>
          <w:rFonts w:ascii="Times New Roman" w:hAnsi="Times New Roman" w:cs="Times New Roman"/>
        </w:rPr>
        <w:t xml:space="preserve">šiestich </w:t>
      </w:r>
      <w:r w:rsidRPr="00D50D44" w:rsidR="00FA21EC">
        <w:rPr>
          <w:rFonts w:ascii="Times New Roman" w:hAnsi="Times New Roman" w:cs="Times New Roman"/>
        </w:rPr>
        <w:t>operačných programov (OP</w:t>
      </w:r>
      <w:r w:rsidRPr="00D50D44" w:rsidR="003E0DEE">
        <w:rPr>
          <w:rFonts w:ascii="Times New Roman" w:hAnsi="Times New Roman" w:cs="Times New Roman"/>
        </w:rPr>
        <w:t> </w:t>
      </w:r>
      <w:r w:rsidR="003A3E54">
        <w:rPr>
          <w:rFonts w:ascii="Times New Roman" w:hAnsi="Times New Roman" w:cs="Times New Roman"/>
        </w:rPr>
        <w:t xml:space="preserve">Doprava, </w:t>
      </w:r>
      <w:r w:rsidR="00BA0258">
        <w:rPr>
          <w:rFonts w:ascii="Times New Roman" w:hAnsi="Times New Roman" w:cs="Times New Roman"/>
        </w:rPr>
        <w:br/>
      </w:r>
      <w:r w:rsidR="003A3E54">
        <w:rPr>
          <w:rFonts w:ascii="Times New Roman" w:hAnsi="Times New Roman" w:cs="Times New Roman"/>
        </w:rPr>
        <w:t>OP Výskum a vývoj</w:t>
      </w:r>
      <w:r w:rsidRPr="00D50D44" w:rsidR="00FA21EC">
        <w:rPr>
          <w:rFonts w:ascii="Times New Roman" w:hAnsi="Times New Roman" w:cs="Times New Roman"/>
        </w:rPr>
        <w:t>, OP Vzdelávanie, Regionálny operačný program, OP Životné prostredie, OP Konkurencieschopnosť a hospodársky rast), pri ktorých</w:t>
      </w:r>
      <w:r w:rsidRPr="00D50D44" w:rsidR="00CA10B3">
        <w:rPr>
          <w:rFonts w:ascii="Times New Roman" w:hAnsi="Times New Roman" w:cs="Times New Roman"/>
        </w:rPr>
        <w:t xml:space="preserve"> </w:t>
      </w:r>
      <w:r w:rsidRPr="00D50D44" w:rsidR="00FA21EC">
        <w:rPr>
          <w:rFonts w:ascii="Times New Roman" w:hAnsi="Times New Roman" w:cs="Times New Roman"/>
        </w:rPr>
        <w:t xml:space="preserve">existuje riziko nevyčerpania alokácie </w:t>
      </w:r>
      <w:r w:rsidRPr="00D50D44" w:rsidR="00CA10B3">
        <w:rPr>
          <w:rFonts w:ascii="Times New Roman" w:hAnsi="Times New Roman" w:cs="Times New Roman"/>
        </w:rPr>
        <w:t xml:space="preserve">príslušného </w:t>
      </w:r>
      <w:r w:rsidRPr="00D50D44" w:rsidR="00FA21EC">
        <w:rPr>
          <w:rFonts w:ascii="Times New Roman" w:hAnsi="Times New Roman" w:cs="Times New Roman"/>
        </w:rPr>
        <w:t>operačného programu. Výsledkom týchto rokovaní sú tzv. akčné plány, ktoré obsahujú celý rad nástrojov flexibil</w:t>
      </w:r>
      <w:r w:rsidRPr="00D50D44" w:rsidR="0031554D">
        <w:rPr>
          <w:rFonts w:ascii="Times New Roman" w:hAnsi="Times New Roman" w:cs="Times New Roman"/>
        </w:rPr>
        <w:t>i</w:t>
      </w:r>
      <w:r w:rsidRPr="00D50D44" w:rsidR="00FA21EC">
        <w:rPr>
          <w:rFonts w:ascii="Times New Roman" w:hAnsi="Times New Roman" w:cs="Times New Roman"/>
        </w:rPr>
        <w:t xml:space="preserve">ty umožňujúcich zrýchlenie procesu čerpania zdrojov. Obdobný proces </w:t>
      </w:r>
      <w:r w:rsidRPr="00D50D44" w:rsidR="00C57CD6">
        <w:rPr>
          <w:rFonts w:ascii="Times New Roman" w:hAnsi="Times New Roman" w:cs="Times New Roman"/>
        </w:rPr>
        <w:t xml:space="preserve">sa uskutočnil </w:t>
      </w:r>
      <w:r w:rsidRPr="00D50D44" w:rsidR="00FA21EC">
        <w:rPr>
          <w:rFonts w:ascii="Times New Roman" w:hAnsi="Times New Roman" w:cs="Times New Roman"/>
        </w:rPr>
        <w:t>aj v ďalších členských štátoch tejto iniciatívy, t.j. v Českej republike, Slovinsku, Taliansku, Rumunsku, Bulharsku a v</w:t>
      </w:r>
      <w:r w:rsidRPr="00D50D44" w:rsidR="003E0DEE">
        <w:rPr>
          <w:rFonts w:ascii="Times New Roman" w:hAnsi="Times New Roman" w:cs="Times New Roman"/>
        </w:rPr>
        <w:t> </w:t>
      </w:r>
      <w:r w:rsidRPr="00D50D44" w:rsidR="00FA21EC">
        <w:rPr>
          <w:rFonts w:ascii="Times New Roman" w:hAnsi="Times New Roman" w:cs="Times New Roman"/>
        </w:rPr>
        <w:t xml:space="preserve">Chorvátsku. </w:t>
      </w:r>
      <w:r w:rsidRPr="00D50D44" w:rsidR="001D028C">
        <w:rPr>
          <w:rFonts w:ascii="Times New Roman" w:hAnsi="Times New Roman" w:cs="Times New Roman"/>
        </w:rPr>
        <w:t xml:space="preserve"> </w:t>
      </w:r>
    </w:p>
    <w:p w:rsidR="001D246C" w:rsidRPr="00D50D44" w:rsidP="00D62C95">
      <w:pPr>
        <w:bidi w:val="0"/>
        <w:spacing w:after="0"/>
        <w:ind w:firstLine="708"/>
        <w:jc w:val="both"/>
        <w:rPr>
          <w:rFonts w:ascii="Times New Roman" w:hAnsi="Times New Roman" w:cs="Times New Roman"/>
        </w:rPr>
      </w:pPr>
    </w:p>
    <w:p w:rsidR="00EF0BEC" w:rsidRPr="00D50D44" w:rsidP="00D62C95">
      <w:pPr>
        <w:bidi w:val="0"/>
        <w:spacing w:after="0"/>
        <w:ind w:firstLine="708"/>
        <w:jc w:val="both"/>
        <w:rPr>
          <w:rFonts w:ascii="Times New Roman" w:hAnsi="Times New Roman" w:cs="Times New Roman"/>
        </w:rPr>
      </w:pPr>
      <w:r w:rsidRPr="00D50D44">
        <w:rPr>
          <w:rFonts w:ascii="Times New Roman" w:hAnsi="Times New Roman" w:cs="Times New Roman"/>
        </w:rPr>
        <w:t xml:space="preserve">Úsilie vlády SR zvýšiť absorpčnú kapacitu </w:t>
      </w:r>
      <w:r w:rsidR="003A3E54">
        <w:rPr>
          <w:rFonts w:ascii="Times New Roman" w:hAnsi="Times New Roman" w:cs="Times New Roman"/>
        </w:rPr>
        <w:t xml:space="preserve">ŠF a KF </w:t>
      </w:r>
      <w:r w:rsidRPr="00D50D44">
        <w:rPr>
          <w:rFonts w:ascii="Times New Roman" w:hAnsi="Times New Roman" w:cs="Times New Roman"/>
        </w:rPr>
        <w:t xml:space="preserve">vyzdvihla aj </w:t>
      </w:r>
      <w:r w:rsidRPr="00D50D44" w:rsidR="00AB7997">
        <w:rPr>
          <w:rFonts w:ascii="Times New Roman" w:hAnsi="Times New Roman" w:cs="Times New Roman"/>
        </w:rPr>
        <w:t>komisárka EK pre regionálnu politiku</w:t>
      </w:r>
      <w:r w:rsidRPr="00D50D44">
        <w:rPr>
          <w:rFonts w:ascii="Times New Roman" w:hAnsi="Times New Roman" w:cs="Times New Roman"/>
        </w:rPr>
        <w:t xml:space="preserve"> počas návštevy SR v marci 2015. Slovenská republika je v tejto oblasti vnímaná ako pozitívny príklad pre ostatné krajiny</w:t>
      </w:r>
      <w:r w:rsidRPr="00D50D44" w:rsidR="00CA10B3">
        <w:rPr>
          <w:rFonts w:ascii="Times New Roman" w:hAnsi="Times New Roman" w:cs="Times New Roman"/>
        </w:rPr>
        <w:t xml:space="preserve"> zaradené do </w:t>
      </w:r>
      <w:r w:rsidRPr="00D50D44">
        <w:rPr>
          <w:rFonts w:ascii="Times New Roman" w:hAnsi="Times New Roman" w:cs="Times New Roman"/>
        </w:rPr>
        <w:t xml:space="preserve">Task </w:t>
      </w:r>
      <w:r w:rsidR="008B515F">
        <w:rPr>
          <w:rFonts w:ascii="Times New Roman" w:hAnsi="Times New Roman" w:cs="Times New Roman"/>
        </w:rPr>
        <w:t>F</w:t>
      </w:r>
      <w:r w:rsidRPr="00D50D44">
        <w:rPr>
          <w:rFonts w:ascii="Times New Roman" w:hAnsi="Times New Roman" w:cs="Times New Roman"/>
        </w:rPr>
        <w:t xml:space="preserve">orce. </w:t>
      </w:r>
      <w:r w:rsidRPr="00D50D44" w:rsidR="00CA10B3">
        <w:rPr>
          <w:rFonts w:ascii="Times New Roman" w:hAnsi="Times New Roman" w:cs="Times New Roman"/>
        </w:rPr>
        <w:t xml:space="preserve"> Ďalšie spoločné </w:t>
      </w:r>
      <w:r w:rsidRPr="00D50D44">
        <w:rPr>
          <w:rFonts w:ascii="Times New Roman" w:hAnsi="Times New Roman" w:cs="Times New Roman"/>
        </w:rPr>
        <w:t>rokovanie</w:t>
      </w:r>
      <w:r w:rsidRPr="00D50D44" w:rsidR="00CA10B3">
        <w:rPr>
          <w:rFonts w:ascii="Times New Roman" w:hAnsi="Times New Roman" w:cs="Times New Roman"/>
        </w:rPr>
        <w:t xml:space="preserve"> SR a zástupcov E</w:t>
      </w:r>
      <w:r w:rsidR="00BA0258">
        <w:rPr>
          <w:rFonts w:ascii="Times New Roman" w:hAnsi="Times New Roman" w:cs="Times New Roman"/>
        </w:rPr>
        <w:t>K</w:t>
      </w:r>
      <w:r w:rsidRPr="00D50D44" w:rsidR="00CA10B3">
        <w:rPr>
          <w:rFonts w:ascii="Times New Roman" w:hAnsi="Times New Roman" w:cs="Times New Roman"/>
        </w:rPr>
        <w:t>, ktoré bude</w:t>
      </w:r>
      <w:r w:rsidR="009A5EC9">
        <w:rPr>
          <w:rFonts w:ascii="Times New Roman" w:hAnsi="Times New Roman" w:cs="Times New Roman"/>
        </w:rPr>
        <w:t xml:space="preserve"> </w:t>
      </w:r>
      <w:r w:rsidRPr="00D50D44" w:rsidR="00CA10B3">
        <w:rPr>
          <w:rFonts w:ascii="Times New Roman" w:hAnsi="Times New Roman" w:cs="Times New Roman"/>
        </w:rPr>
        <w:t>hodnotiť pokrok dosiahnutý od začiatku tohto roka</w:t>
      </w:r>
      <w:r w:rsidR="00BA0258">
        <w:rPr>
          <w:rFonts w:ascii="Times New Roman" w:hAnsi="Times New Roman" w:cs="Times New Roman"/>
        </w:rPr>
        <w:t>,</w:t>
      </w:r>
      <w:r w:rsidRPr="00D50D44" w:rsidR="00CA10B3">
        <w:rPr>
          <w:rFonts w:ascii="Times New Roman" w:hAnsi="Times New Roman" w:cs="Times New Roman"/>
        </w:rPr>
        <w:t xml:space="preserve"> sa uskutoční koncom júna v Bratislave. </w:t>
      </w:r>
    </w:p>
    <w:p w:rsidR="003E0DEE" w:rsidRPr="00D50D44" w:rsidP="00D62C95">
      <w:pPr>
        <w:bidi w:val="0"/>
        <w:spacing w:after="0"/>
        <w:ind w:firstLine="708"/>
        <w:jc w:val="both"/>
        <w:rPr>
          <w:rFonts w:ascii="Times New Roman" w:hAnsi="Times New Roman" w:cs="Times New Roman"/>
        </w:rPr>
      </w:pPr>
    </w:p>
    <w:p w:rsidR="003E0DEE" w:rsidRPr="00D50D44" w:rsidP="00D62C95">
      <w:pPr>
        <w:bidi w:val="0"/>
        <w:spacing w:after="0"/>
        <w:ind w:firstLine="708"/>
        <w:jc w:val="both"/>
        <w:rPr>
          <w:rFonts w:ascii="Times New Roman" w:hAnsi="Times New Roman" w:cs="Times New Roman"/>
        </w:rPr>
      </w:pPr>
      <w:r w:rsidRPr="00D50D44" w:rsidR="00CA10B3">
        <w:rPr>
          <w:rFonts w:ascii="Times New Roman" w:hAnsi="Times New Roman" w:cs="Times New Roman"/>
        </w:rPr>
        <w:t xml:space="preserve">Medzi najdôležitejšie opatrenia flexibility, od ktorých sa očakáva zníženie rizika nevyčerpania </w:t>
      </w:r>
      <w:r w:rsidRPr="00D50D44" w:rsidR="00EF0BEC">
        <w:rPr>
          <w:rFonts w:ascii="Times New Roman" w:hAnsi="Times New Roman" w:cs="Times New Roman"/>
        </w:rPr>
        <w:t xml:space="preserve">zdrojov </w:t>
      </w:r>
      <w:r w:rsidRPr="00D50D44" w:rsidR="00CA10B3">
        <w:rPr>
          <w:rFonts w:ascii="Times New Roman" w:hAnsi="Times New Roman" w:cs="Times New Roman"/>
        </w:rPr>
        <w:t xml:space="preserve">vo výške </w:t>
      </w:r>
      <w:r w:rsidRPr="00D50D44" w:rsidR="00A27A09">
        <w:rPr>
          <w:rFonts w:ascii="Times New Roman" w:hAnsi="Times New Roman" w:cs="Times New Roman"/>
        </w:rPr>
        <w:t>minimálne</w:t>
      </w:r>
      <w:r w:rsidRPr="00D50D44" w:rsidR="00CA10B3">
        <w:rPr>
          <w:rFonts w:ascii="Times New Roman" w:hAnsi="Times New Roman" w:cs="Times New Roman"/>
        </w:rPr>
        <w:t xml:space="preserve"> </w:t>
      </w:r>
      <w:r w:rsidRPr="00D50D44" w:rsidR="00C57CD6">
        <w:rPr>
          <w:rFonts w:ascii="Times New Roman" w:hAnsi="Times New Roman" w:cs="Times New Roman"/>
        </w:rPr>
        <w:t>400</w:t>
      </w:r>
      <w:r w:rsidRPr="00D50D44" w:rsidR="00EF0BEC">
        <w:rPr>
          <w:rFonts w:ascii="Times New Roman" w:hAnsi="Times New Roman" w:cs="Times New Roman"/>
        </w:rPr>
        <w:t xml:space="preserve"> mil. </w:t>
      </w:r>
      <w:r w:rsidRPr="00D50D44" w:rsidR="00CA10B3">
        <w:rPr>
          <w:rFonts w:ascii="Times New Roman" w:hAnsi="Times New Roman" w:cs="Times New Roman"/>
        </w:rPr>
        <w:t>EUR</w:t>
      </w:r>
      <w:r w:rsidRPr="00D50D44" w:rsidR="00C57CD6">
        <w:rPr>
          <w:rFonts w:ascii="Times New Roman" w:hAnsi="Times New Roman" w:cs="Times New Roman"/>
        </w:rPr>
        <w:t>,</w:t>
      </w:r>
      <w:r w:rsidRPr="00D50D44" w:rsidR="00CA10B3">
        <w:rPr>
          <w:rFonts w:ascii="Times New Roman" w:hAnsi="Times New Roman" w:cs="Times New Roman"/>
        </w:rPr>
        <w:t xml:space="preserve"> patria:</w:t>
      </w:r>
    </w:p>
    <w:p w:rsidR="00EF0BEC" w:rsidRPr="00D50D44" w:rsidP="00D62C95">
      <w:pPr>
        <w:bidi w:val="0"/>
        <w:spacing w:after="0"/>
        <w:ind w:firstLine="708"/>
        <w:jc w:val="both"/>
        <w:rPr>
          <w:rFonts w:ascii="Times New Roman" w:hAnsi="Times New Roman" w:cs="Times New Roman"/>
        </w:rPr>
      </w:pPr>
      <w:r w:rsidRPr="00D50D44" w:rsidR="00CA10B3">
        <w:rPr>
          <w:rFonts w:ascii="Times New Roman" w:hAnsi="Times New Roman" w:cs="Times New Roman"/>
        </w:rPr>
        <w:t xml:space="preserve"> </w:t>
      </w:r>
    </w:p>
    <w:p w:rsidR="00EF0BEC" w:rsidRPr="00D50D44" w:rsidP="00377016">
      <w:pPr>
        <w:pStyle w:val="ListParagraph"/>
        <w:numPr>
          <w:numId w:val="44"/>
        </w:numPr>
        <w:autoSpaceDE w:val="0"/>
        <w:autoSpaceDN w:val="0"/>
        <w:bidi w:val="0"/>
        <w:adjustRightInd w:val="0"/>
        <w:spacing w:after="480" w:afterLines="200"/>
        <w:jc w:val="both"/>
        <w:rPr>
          <w:rFonts w:ascii="Times New Roman" w:hAnsi="Times New Roman" w:cs="Times New Roman"/>
        </w:rPr>
      </w:pPr>
      <w:r w:rsidRPr="00D50D44">
        <w:rPr>
          <w:rFonts w:ascii="Times New Roman" w:hAnsi="Times New Roman" w:cs="Times New Roman"/>
          <w:u w:val="single"/>
        </w:rPr>
        <w:t>Fázovanie veľkých projektov (nad 25 resp. 50 mil. EUR) v priebehu dvoch programových období</w:t>
      </w:r>
      <w:r w:rsidRPr="00D50D44" w:rsidR="00CA10B3">
        <w:rPr>
          <w:rFonts w:ascii="Times New Roman" w:hAnsi="Times New Roman" w:cs="Times New Roman"/>
          <w:u w:val="single"/>
        </w:rPr>
        <w:t>:</w:t>
      </w:r>
      <w:r w:rsidRPr="00D50D44" w:rsidR="00CA10B3">
        <w:rPr>
          <w:rFonts w:ascii="Times New Roman" w:hAnsi="Times New Roman" w:cs="Times New Roman"/>
          <w:b/>
        </w:rPr>
        <w:t xml:space="preserve"> </w:t>
      </w:r>
      <w:r w:rsidRPr="00D50D44">
        <w:rPr>
          <w:rFonts w:ascii="Times New Roman" w:hAnsi="Times New Roman" w:cs="Times New Roman"/>
        </w:rPr>
        <w:t xml:space="preserve">Členské štáty </w:t>
      </w:r>
      <w:r w:rsidR="00983293">
        <w:rPr>
          <w:rFonts w:ascii="Times New Roman" w:hAnsi="Times New Roman" w:cs="Times New Roman"/>
        </w:rPr>
        <w:t>zašlú</w:t>
      </w:r>
      <w:r w:rsidRPr="00D50D44">
        <w:rPr>
          <w:rFonts w:ascii="Times New Roman" w:hAnsi="Times New Roman" w:cs="Times New Roman"/>
        </w:rPr>
        <w:t xml:space="preserve"> E</w:t>
      </w:r>
      <w:r w:rsidR="00BA0258">
        <w:rPr>
          <w:rFonts w:ascii="Times New Roman" w:hAnsi="Times New Roman" w:cs="Times New Roman"/>
        </w:rPr>
        <w:t>K</w:t>
      </w:r>
      <w:r w:rsidRPr="00D50D44">
        <w:rPr>
          <w:rFonts w:ascii="Times New Roman" w:hAnsi="Times New Roman" w:cs="Times New Roman"/>
        </w:rPr>
        <w:t xml:space="preserve"> do 30. júna 2015 zoznam veľkých projektov, ktoré navrhujú rozdeliť na fázy. Prvá fáza veľkého projektu </w:t>
      </w:r>
      <w:r w:rsidRPr="00D50D44" w:rsidR="00C57CD6">
        <w:rPr>
          <w:rFonts w:ascii="Times New Roman" w:hAnsi="Times New Roman" w:cs="Times New Roman"/>
        </w:rPr>
        <w:t>má byť</w:t>
      </w:r>
      <w:r w:rsidRPr="00D50D44">
        <w:rPr>
          <w:rFonts w:ascii="Times New Roman" w:hAnsi="Times New Roman" w:cs="Times New Roman"/>
        </w:rPr>
        <w:t xml:space="preserve"> dokončená do 31.12.2015. Druhá fáza bude financovaná </w:t>
      </w:r>
      <w:r w:rsidRPr="00D50D44" w:rsidR="00CA10B3">
        <w:rPr>
          <w:rFonts w:ascii="Times New Roman" w:hAnsi="Times New Roman" w:cs="Times New Roman"/>
        </w:rPr>
        <w:t>z európskych štrukturálnych a inv</w:t>
      </w:r>
      <w:r w:rsidRPr="00D50D44" w:rsidR="00D50BA3">
        <w:rPr>
          <w:rFonts w:ascii="Times New Roman" w:hAnsi="Times New Roman" w:cs="Times New Roman"/>
        </w:rPr>
        <w:t>estičných fondov (ďalej len „EŠI</w:t>
      </w:r>
      <w:r w:rsidRPr="00D50D44" w:rsidR="00CA10B3">
        <w:rPr>
          <w:rFonts w:ascii="Times New Roman" w:hAnsi="Times New Roman" w:cs="Times New Roman"/>
        </w:rPr>
        <w:t>F“)  v programovom období 2014</w:t>
      </w:r>
      <w:r w:rsidR="003A3E54">
        <w:rPr>
          <w:rFonts w:ascii="Times New Roman" w:hAnsi="Times New Roman" w:cs="Times New Roman"/>
        </w:rPr>
        <w:t xml:space="preserve"> </w:t>
      </w:r>
      <w:r w:rsidRPr="00D50D44" w:rsidR="00CA10B3">
        <w:rPr>
          <w:rFonts w:ascii="Times New Roman" w:hAnsi="Times New Roman" w:cs="Times New Roman"/>
        </w:rPr>
        <w:t>–</w:t>
      </w:r>
      <w:r w:rsidR="003A3E54">
        <w:rPr>
          <w:rFonts w:ascii="Times New Roman" w:hAnsi="Times New Roman" w:cs="Times New Roman"/>
        </w:rPr>
        <w:t xml:space="preserve"> </w:t>
      </w:r>
      <w:r w:rsidRPr="00D50D44" w:rsidR="00CA10B3">
        <w:rPr>
          <w:rFonts w:ascii="Times New Roman" w:hAnsi="Times New Roman" w:cs="Times New Roman"/>
        </w:rPr>
        <w:t>2020</w:t>
      </w:r>
      <w:r w:rsidRPr="00D50D44" w:rsidR="00C57CD6">
        <w:rPr>
          <w:rFonts w:ascii="Times New Roman" w:hAnsi="Times New Roman" w:cs="Times New Roman"/>
        </w:rPr>
        <w:t>,</w:t>
      </w:r>
      <w:r w:rsidRPr="00D50D44" w:rsidR="00CA10B3">
        <w:rPr>
          <w:rFonts w:ascii="Times New Roman" w:hAnsi="Times New Roman" w:cs="Times New Roman"/>
        </w:rPr>
        <w:t xml:space="preserve"> a to </w:t>
      </w:r>
      <w:r w:rsidRPr="00D50D44">
        <w:rPr>
          <w:rFonts w:ascii="Times New Roman" w:hAnsi="Times New Roman" w:cs="Times New Roman"/>
        </w:rPr>
        <w:t>za predpokladu s</w:t>
      </w:r>
      <w:r w:rsidRPr="00D50D44" w:rsidR="00CA10B3">
        <w:rPr>
          <w:rFonts w:ascii="Times New Roman" w:hAnsi="Times New Roman" w:cs="Times New Roman"/>
        </w:rPr>
        <w:t>plnenia podmienok oprávnenosti p</w:t>
      </w:r>
      <w:r w:rsidR="00014BB1">
        <w:rPr>
          <w:rFonts w:ascii="Times New Roman" w:hAnsi="Times New Roman" w:cs="Times New Roman"/>
        </w:rPr>
        <w:t>re programové obdobie 2014</w:t>
      </w:r>
      <w:r w:rsidR="003A3E54">
        <w:rPr>
          <w:rFonts w:ascii="Times New Roman" w:hAnsi="Times New Roman" w:cs="Times New Roman"/>
        </w:rPr>
        <w:t xml:space="preserve"> </w:t>
      </w:r>
      <w:r w:rsidR="00014BB1">
        <w:rPr>
          <w:rFonts w:ascii="Times New Roman" w:hAnsi="Times New Roman" w:cs="Times New Roman"/>
        </w:rPr>
        <w:t>-</w:t>
      </w:r>
      <w:r w:rsidR="003A3E54">
        <w:rPr>
          <w:rFonts w:ascii="Times New Roman" w:hAnsi="Times New Roman" w:cs="Times New Roman"/>
        </w:rPr>
        <w:t xml:space="preserve"> </w:t>
      </w:r>
      <w:r w:rsidR="00014BB1">
        <w:rPr>
          <w:rFonts w:ascii="Times New Roman" w:hAnsi="Times New Roman" w:cs="Times New Roman"/>
        </w:rPr>
        <w:t>2020</w:t>
      </w:r>
      <w:r w:rsidR="008B515F">
        <w:rPr>
          <w:rFonts w:ascii="Times New Roman" w:hAnsi="Times New Roman" w:cs="Times New Roman"/>
        </w:rPr>
        <w:t>;</w:t>
      </w:r>
      <w:r w:rsidRPr="00D50D44" w:rsidR="00CA10B3">
        <w:rPr>
          <w:rFonts w:ascii="Times New Roman" w:hAnsi="Times New Roman" w:cs="Times New Roman"/>
        </w:rPr>
        <w:t xml:space="preserve"> </w:t>
      </w:r>
    </w:p>
    <w:p w:rsidR="00377016" w:rsidRPr="00D50D44" w:rsidP="00377016">
      <w:pPr>
        <w:pStyle w:val="ListParagraph"/>
        <w:autoSpaceDE w:val="0"/>
        <w:autoSpaceDN w:val="0"/>
        <w:bidi w:val="0"/>
        <w:adjustRightInd w:val="0"/>
        <w:spacing w:after="480" w:afterLines="200"/>
        <w:jc w:val="both"/>
        <w:rPr>
          <w:rFonts w:ascii="Times New Roman" w:hAnsi="Times New Roman" w:cs="Times New Roman"/>
        </w:rPr>
      </w:pPr>
    </w:p>
    <w:p w:rsidR="00377016" w:rsidRPr="00D50D44" w:rsidP="00377016">
      <w:pPr>
        <w:pStyle w:val="ListParagraph"/>
        <w:numPr>
          <w:numId w:val="44"/>
        </w:numPr>
        <w:autoSpaceDE w:val="0"/>
        <w:autoSpaceDN w:val="0"/>
        <w:bidi w:val="0"/>
        <w:adjustRightInd w:val="0"/>
        <w:spacing w:after="480" w:afterLines="200"/>
        <w:jc w:val="both"/>
        <w:rPr>
          <w:rFonts w:ascii="Times New Roman" w:hAnsi="Times New Roman" w:cs="Times New Roman"/>
        </w:rPr>
      </w:pPr>
      <w:r w:rsidRPr="00D50D44" w:rsidR="00C57CD6">
        <w:rPr>
          <w:rFonts w:ascii="Times New Roman" w:hAnsi="Times New Roman" w:cs="Times New Roman"/>
          <w:u w:val="single"/>
        </w:rPr>
        <w:t>Fázovanie projektov nad 5 mil</w:t>
      </w:r>
      <w:r w:rsidRPr="00D50D44" w:rsidR="00EF0BEC">
        <w:rPr>
          <w:rFonts w:ascii="Times New Roman" w:hAnsi="Times New Roman" w:cs="Times New Roman"/>
          <w:u w:val="single"/>
        </w:rPr>
        <w:t>. EUR v priebehu dvoch programových období</w:t>
      </w:r>
      <w:r w:rsidRPr="00D50D44" w:rsidR="00CA10B3">
        <w:rPr>
          <w:rFonts w:ascii="Times New Roman" w:hAnsi="Times New Roman" w:cs="Times New Roman"/>
          <w:u w:val="single"/>
        </w:rPr>
        <w:t>:</w:t>
      </w:r>
      <w:r w:rsidRPr="00D50D44" w:rsidR="00CA10B3">
        <w:rPr>
          <w:rFonts w:ascii="Times New Roman" w:hAnsi="Times New Roman" w:cs="Times New Roman"/>
          <w:b/>
        </w:rPr>
        <w:t xml:space="preserve"> </w:t>
      </w:r>
      <w:r w:rsidRPr="00D50D44" w:rsidR="00CA10B3">
        <w:rPr>
          <w:rFonts w:ascii="Times New Roman" w:hAnsi="Times New Roman" w:cs="Times New Roman"/>
        </w:rPr>
        <w:t>T</w:t>
      </w:r>
      <w:r w:rsidRPr="00D50D44" w:rsidR="00EF0BEC">
        <w:rPr>
          <w:rFonts w:ascii="Times New Roman" w:hAnsi="Times New Roman" w:cs="Times New Roman"/>
        </w:rPr>
        <w:t xml:space="preserve">ento prístup sa uplatňuje vo vzťahu k menším projektom. Prvá fáza projektu </w:t>
      </w:r>
      <w:r w:rsidRPr="00D50D44" w:rsidR="00413BA1">
        <w:rPr>
          <w:rFonts w:ascii="Times New Roman" w:hAnsi="Times New Roman" w:cs="Times New Roman"/>
        </w:rPr>
        <w:t xml:space="preserve">má byť </w:t>
      </w:r>
      <w:r w:rsidRPr="00D50D44" w:rsidR="00EF0BEC">
        <w:rPr>
          <w:rFonts w:ascii="Times New Roman" w:hAnsi="Times New Roman" w:cs="Times New Roman"/>
        </w:rPr>
        <w:t>dokončená do 31.12.2015</w:t>
      </w:r>
      <w:r w:rsidRPr="00D50D44" w:rsidR="00CA10B3">
        <w:rPr>
          <w:rFonts w:ascii="Times New Roman" w:hAnsi="Times New Roman" w:cs="Times New Roman"/>
        </w:rPr>
        <w:t xml:space="preserve">. </w:t>
      </w:r>
      <w:r w:rsidRPr="00D50D44" w:rsidR="00EF0BEC">
        <w:rPr>
          <w:rFonts w:ascii="Times New Roman" w:hAnsi="Times New Roman" w:cs="Times New Roman"/>
        </w:rPr>
        <w:t>Druhá fáza bude financovaná z</w:t>
      </w:r>
      <w:r w:rsidRPr="00D50D44" w:rsidR="00CA10B3">
        <w:rPr>
          <w:rFonts w:ascii="Times New Roman" w:hAnsi="Times New Roman" w:cs="Times New Roman"/>
        </w:rPr>
        <w:t> EŠIF v programovom období 2014</w:t>
      </w:r>
      <w:r w:rsidR="003A3E54">
        <w:rPr>
          <w:rFonts w:ascii="Times New Roman" w:hAnsi="Times New Roman" w:cs="Times New Roman"/>
        </w:rPr>
        <w:t xml:space="preserve"> </w:t>
      </w:r>
      <w:r w:rsidRPr="00D50D44" w:rsidR="00CA10B3">
        <w:rPr>
          <w:rFonts w:ascii="Times New Roman" w:hAnsi="Times New Roman" w:cs="Times New Roman"/>
        </w:rPr>
        <w:t>–</w:t>
      </w:r>
      <w:r w:rsidR="003A3E54">
        <w:rPr>
          <w:rFonts w:ascii="Times New Roman" w:hAnsi="Times New Roman" w:cs="Times New Roman"/>
        </w:rPr>
        <w:t xml:space="preserve"> </w:t>
      </w:r>
      <w:r w:rsidRPr="00D50D44" w:rsidR="00CA10B3">
        <w:rPr>
          <w:rFonts w:ascii="Times New Roman" w:hAnsi="Times New Roman" w:cs="Times New Roman"/>
        </w:rPr>
        <w:t>2020</w:t>
      </w:r>
      <w:r w:rsidRPr="00D50D44" w:rsidR="00413BA1">
        <w:rPr>
          <w:rFonts w:ascii="Times New Roman" w:hAnsi="Times New Roman" w:cs="Times New Roman"/>
        </w:rPr>
        <w:t>,</w:t>
      </w:r>
      <w:r w:rsidRPr="00D50D44" w:rsidR="00CA10B3">
        <w:rPr>
          <w:rFonts w:ascii="Times New Roman" w:hAnsi="Times New Roman" w:cs="Times New Roman"/>
        </w:rPr>
        <w:t xml:space="preserve">  a to za</w:t>
      </w:r>
      <w:r w:rsidRPr="00D50D44" w:rsidR="00F40A3C">
        <w:rPr>
          <w:rFonts w:ascii="Times New Roman" w:hAnsi="Times New Roman" w:cs="Times New Roman"/>
        </w:rPr>
        <w:t> </w:t>
      </w:r>
      <w:r w:rsidRPr="00D50D44" w:rsidR="00CA10B3">
        <w:rPr>
          <w:rFonts w:ascii="Times New Roman" w:hAnsi="Times New Roman" w:cs="Times New Roman"/>
        </w:rPr>
        <w:t>predpokladu splnenia podmienok oprávnenosti pre programové obdobie 2014</w:t>
      </w:r>
      <w:r w:rsidR="003A3E54">
        <w:rPr>
          <w:rFonts w:ascii="Times New Roman" w:hAnsi="Times New Roman" w:cs="Times New Roman"/>
        </w:rPr>
        <w:t xml:space="preserve"> </w:t>
      </w:r>
      <w:r w:rsidRPr="00D50D44" w:rsidR="00CA10B3">
        <w:rPr>
          <w:rFonts w:ascii="Times New Roman" w:hAnsi="Times New Roman" w:cs="Times New Roman"/>
        </w:rPr>
        <w:t>-2020</w:t>
      </w:r>
      <w:r w:rsidR="008B515F">
        <w:rPr>
          <w:rFonts w:ascii="Times New Roman" w:hAnsi="Times New Roman" w:cs="Times New Roman"/>
        </w:rPr>
        <w:t>;</w:t>
      </w:r>
    </w:p>
    <w:p w:rsidR="00EF0BEC" w:rsidRPr="00D50D44" w:rsidP="00377016">
      <w:pPr>
        <w:pStyle w:val="ListParagraph"/>
        <w:autoSpaceDE w:val="0"/>
        <w:autoSpaceDN w:val="0"/>
        <w:bidi w:val="0"/>
        <w:adjustRightInd w:val="0"/>
        <w:spacing w:after="480" w:afterLines="200"/>
        <w:ind w:firstLine="45"/>
        <w:jc w:val="both"/>
        <w:rPr>
          <w:rFonts w:ascii="Times New Roman" w:hAnsi="Times New Roman" w:cs="Times New Roman"/>
        </w:rPr>
      </w:pPr>
    </w:p>
    <w:p w:rsidR="00EF0BEC" w:rsidRPr="00D50D44" w:rsidP="00377016">
      <w:pPr>
        <w:pStyle w:val="ListParagraph"/>
        <w:numPr>
          <w:numId w:val="44"/>
        </w:numPr>
        <w:autoSpaceDE w:val="0"/>
        <w:autoSpaceDN w:val="0"/>
        <w:bidi w:val="0"/>
        <w:adjustRightInd w:val="0"/>
        <w:spacing w:after="480" w:afterLines="200"/>
        <w:jc w:val="both"/>
        <w:rPr>
          <w:rFonts w:ascii="Times New Roman" w:hAnsi="Times New Roman" w:cs="Times New Roman"/>
        </w:rPr>
      </w:pPr>
      <w:r w:rsidRPr="00D50D44">
        <w:rPr>
          <w:rFonts w:ascii="Times New Roman" w:hAnsi="Times New Roman" w:cs="Times New Roman"/>
          <w:u w:val="single"/>
        </w:rPr>
        <w:t>Reverzné fázovanie</w:t>
      </w:r>
      <w:r w:rsidRPr="00D50D44" w:rsidR="00CA10B3">
        <w:rPr>
          <w:rFonts w:ascii="Times New Roman" w:hAnsi="Times New Roman" w:cs="Times New Roman"/>
          <w:u w:val="single"/>
        </w:rPr>
        <w:t>:</w:t>
      </w:r>
      <w:r w:rsidRPr="00D50D44" w:rsidR="00CA10B3">
        <w:rPr>
          <w:rFonts w:ascii="Times New Roman" w:hAnsi="Times New Roman" w:cs="Times New Roman"/>
          <w:b/>
        </w:rPr>
        <w:t xml:space="preserve"> </w:t>
      </w:r>
      <w:r w:rsidRPr="00D50D44" w:rsidR="00413BA1">
        <w:rPr>
          <w:rFonts w:ascii="Times New Roman" w:hAnsi="Times New Roman" w:cs="Times New Roman"/>
        </w:rPr>
        <w:t>Toto opatrenie</w:t>
      </w:r>
      <w:r w:rsidRPr="00D50D44" w:rsidR="00CA10B3">
        <w:rPr>
          <w:rFonts w:ascii="Times New Roman" w:hAnsi="Times New Roman" w:cs="Times New Roman"/>
        </w:rPr>
        <w:t xml:space="preserve"> umožňuje </w:t>
      </w:r>
      <w:r w:rsidRPr="00D50D44">
        <w:rPr>
          <w:rFonts w:ascii="Times New Roman" w:hAnsi="Times New Roman" w:cs="Times New Roman"/>
        </w:rPr>
        <w:t xml:space="preserve">začatie implementácie projektov pripravených pre </w:t>
      </w:r>
      <w:r w:rsidRPr="00D50D44" w:rsidR="00CA10B3">
        <w:rPr>
          <w:rFonts w:ascii="Times New Roman" w:hAnsi="Times New Roman" w:cs="Times New Roman"/>
        </w:rPr>
        <w:t xml:space="preserve">programové obdobie </w:t>
      </w:r>
      <w:r w:rsidRPr="00D50D44">
        <w:rPr>
          <w:rFonts w:ascii="Times New Roman" w:hAnsi="Times New Roman" w:cs="Times New Roman"/>
        </w:rPr>
        <w:t>2014</w:t>
      </w:r>
      <w:r w:rsidR="003A3E54">
        <w:rPr>
          <w:rFonts w:ascii="Times New Roman" w:hAnsi="Times New Roman" w:cs="Times New Roman"/>
        </w:rPr>
        <w:t xml:space="preserve"> </w:t>
      </w:r>
      <w:r w:rsidRPr="00D50D44">
        <w:rPr>
          <w:rFonts w:ascii="Times New Roman" w:hAnsi="Times New Roman" w:cs="Times New Roman"/>
        </w:rPr>
        <w:t xml:space="preserve">-2020 s tým, že ich prvá fáza bude financovaná z prostriedkov programového obdobia </w:t>
      </w:r>
      <w:r w:rsidR="00503FDB">
        <w:rPr>
          <w:rFonts w:ascii="Times New Roman" w:hAnsi="Times New Roman" w:cs="Times New Roman"/>
        </w:rPr>
        <w:t>2007 - 2013</w:t>
      </w:r>
      <w:r w:rsidRPr="00D50D44">
        <w:rPr>
          <w:rFonts w:ascii="Times New Roman" w:hAnsi="Times New Roman" w:cs="Times New Roman"/>
        </w:rPr>
        <w:t>. Tento prístup sa môže realiz</w:t>
      </w:r>
      <w:r w:rsidRPr="00D50D44" w:rsidR="00CA10B3">
        <w:rPr>
          <w:rFonts w:ascii="Times New Roman" w:hAnsi="Times New Roman" w:cs="Times New Roman"/>
        </w:rPr>
        <w:t>ovať v kombinácii</w:t>
      </w:r>
      <w:r w:rsidR="00014BB1">
        <w:rPr>
          <w:rFonts w:ascii="Times New Roman" w:hAnsi="Times New Roman" w:cs="Times New Roman"/>
        </w:rPr>
        <w:t xml:space="preserve"> s revíziou operačného programu</w:t>
      </w:r>
      <w:r w:rsidR="008B515F">
        <w:rPr>
          <w:rFonts w:ascii="Times New Roman" w:hAnsi="Times New Roman" w:cs="Times New Roman"/>
        </w:rPr>
        <w:t>;</w:t>
      </w:r>
      <w:r w:rsidRPr="00D50D44" w:rsidR="00CA10B3">
        <w:rPr>
          <w:rFonts w:ascii="Times New Roman" w:hAnsi="Times New Roman" w:cs="Times New Roman"/>
        </w:rPr>
        <w:t xml:space="preserve"> </w:t>
      </w:r>
    </w:p>
    <w:p w:rsidR="00377016" w:rsidRPr="00D50D44" w:rsidP="00377016">
      <w:pPr>
        <w:pStyle w:val="ListParagraph"/>
        <w:autoSpaceDE w:val="0"/>
        <w:autoSpaceDN w:val="0"/>
        <w:bidi w:val="0"/>
        <w:adjustRightInd w:val="0"/>
        <w:spacing w:after="480" w:afterLines="200"/>
        <w:jc w:val="both"/>
        <w:rPr>
          <w:rFonts w:ascii="Times New Roman" w:hAnsi="Times New Roman" w:cs="Times New Roman"/>
        </w:rPr>
      </w:pPr>
    </w:p>
    <w:p w:rsidR="00EF0BEC" w:rsidRPr="00D50D44" w:rsidP="00377016">
      <w:pPr>
        <w:pStyle w:val="ListParagraph"/>
        <w:numPr>
          <w:numId w:val="44"/>
        </w:numPr>
        <w:autoSpaceDE w:val="0"/>
        <w:autoSpaceDN w:val="0"/>
        <w:bidi w:val="0"/>
        <w:adjustRightInd w:val="0"/>
        <w:spacing w:after="480" w:afterLines="200"/>
        <w:jc w:val="both"/>
        <w:rPr>
          <w:rFonts w:ascii="Times New Roman" w:hAnsi="Times New Roman" w:cs="Times New Roman"/>
        </w:rPr>
      </w:pPr>
      <w:r w:rsidRPr="00D50D44" w:rsidR="00CA10B3">
        <w:rPr>
          <w:rFonts w:ascii="Times New Roman" w:hAnsi="Times New Roman" w:cs="Times New Roman"/>
          <w:u w:val="single"/>
        </w:rPr>
        <w:t xml:space="preserve">Flexibilita vo vzťahu k </w:t>
      </w:r>
      <w:r w:rsidRPr="00D50D44">
        <w:rPr>
          <w:rFonts w:ascii="Times New Roman" w:hAnsi="Times New Roman" w:cs="Times New Roman"/>
          <w:u w:val="single"/>
        </w:rPr>
        <w:t>finančný</w:t>
      </w:r>
      <w:r w:rsidRPr="00D50D44" w:rsidR="00CA10B3">
        <w:rPr>
          <w:rFonts w:ascii="Times New Roman" w:hAnsi="Times New Roman" w:cs="Times New Roman"/>
          <w:u w:val="single"/>
        </w:rPr>
        <w:t>m</w:t>
      </w:r>
      <w:r w:rsidRPr="00D50D44">
        <w:rPr>
          <w:rFonts w:ascii="Times New Roman" w:hAnsi="Times New Roman" w:cs="Times New Roman"/>
          <w:u w:val="single"/>
        </w:rPr>
        <w:t xml:space="preserve"> nástrojo</w:t>
      </w:r>
      <w:r w:rsidRPr="00D50D44" w:rsidR="00CA10B3">
        <w:rPr>
          <w:rFonts w:ascii="Times New Roman" w:hAnsi="Times New Roman" w:cs="Times New Roman"/>
          <w:u w:val="single"/>
        </w:rPr>
        <w:t xml:space="preserve">m (návratná forma pomoci) </w:t>
      </w:r>
      <w:r w:rsidRPr="00D50D44">
        <w:rPr>
          <w:rFonts w:ascii="Times New Roman" w:hAnsi="Times New Roman" w:cs="Times New Roman"/>
          <w:u w:val="single"/>
        </w:rPr>
        <w:t>v podmienkach SR</w:t>
      </w:r>
      <w:r w:rsidRPr="00D50D44" w:rsidR="00CA10B3">
        <w:rPr>
          <w:rFonts w:ascii="Times New Roman" w:hAnsi="Times New Roman" w:cs="Times New Roman"/>
          <w:u w:val="single"/>
        </w:rPr>
        <w:t xml:space="preserve">, t.j. vo vzťahu k </w:t>
      </w:r>
      <w:r w:rsidRPr="00D50D44">
        <w:rPr>
          <w:rFonts w:ascii="Times New Roman" w:hAnsi="Times New Roman" w:cs="Times New Roman"/>
          <w:u w:val="single"/>
        </w:rPr>
        <w:t>JESSICA, JEREMIE</w:t>
      </w:r>
      <w:r w:rsidRPr="00D50D44" w:rsidR="00CA10B3">
        <w:rPr>
          <w:rFonts w:ascii="Times New Roman" w:hAnsi="Times New Roman" w:cs="Times New Roman"/>
          <w:u w:val="single"/>
        </w:rPr>
        <w:t>:</w:t>
      </w:r>
      <w:r w:rsidRPr="00D50D44" w:rsidR="00CA10B3">
        <w:rPr>
          <w:rFonts w:ascii="Times New Roman" w:hAnsi="Times New Roman" w:cs="Times New Roman"/>
        </w:rPr>
        <w:t xml:space="preserve"> </w:t>
      </w:r>
      <w:r w:rsidRPr="00D50D44" w:rsidR="00413BA1">
        <w:rPr>
          <w:rFonts w:ascii="Times New Roman" w:hAnsi="Times New Roman" w:cs="Times New Roman"/>
        </w:rPr>
        <w:t xml:space="preserve">Na základe </w:t>
      </w:r>
      <w:r w:rsidRPr="00D50D44">
        <w:rPr>
          <w:rFonts w:ascii="Times New Roman" w:hAnsi="Times New Roman" w:cs="Times New Roman"/>
        </w:rPr>
        <w:t>zmeny usmernenia k ukončovaniu po</w:t>
      </w:r>
      <w:r w:rsidRPr="00D50D44" w:rsidR="00BB6593">
        <w:rPr>
          <w:rFonts w:ascii="Times New Roman" w:hAnsi="Times New Roman" w:cs="Times New Roman"/>
        </w:rPr>
        <w:t xml:space="preserve">moci </w:t>
      </w:r>
      <w:r w:rsidR="002F0F07">
        <w:rPr>
          <w:rFonts w:ascii="Times New Roman" w:hAnsi="Times New Roman" w:cs="Times New Roman"/>
        </w:rPr>
        <w:br/>
      </w:r>
      <w:r w:rsidR="00503FDB">
        <w:rPr>
          <w:rFonts w:ascii="Times New Roman" w:hAnsi="Times New Roman" w:cs="Times New Roman"/>
        </w:rPr>
        <w:t>2007 - 2013</w:t>
      </w:r>
      <w:r w:rsidRPr="00D50D44" w:rsidR="00BB6593">
        <w:rPr>
          <w:rFonts w:ascii="Times New Roman" w:hAnsi="Times New Roman" w:cs="Times New Roman"/>
        </w:rPr>
        <w:t xml:space="preserve"> bol zo strany E</w:t>
      </w:r>
      <w:r w:rsidR="00BA0258">
        <w:rPr>
          <w:rFonts w:ascii="Times New Roman" w:hAnsi="Times New Roman" w:cs="Times New Roman"/>
        </w:rPr>
        <w:t>K</w:t>
      </w:r>
      <w:r w:rsidRPr="00D50D44" w:rsidR="00BB6593">
        <w:rPr>
          <w:rFonts w:ascii="Times New Roman" w:hAnsi="Times New Roman" w:cs="Times New Roman"/>
        </w:rPr>
        <w:t xml:space="preserve"> </w:t>
      </w:r>
      <w:r w:rsidRPr="00D50D44">
        <w:rPr>
          <w:rFonts w:ascii="Times New Roman" w:hAnsi="Times New Roman" w:cs="Times New Roman"/>
        </w:rPr>
        <w:t xml:space="preserve">predĺžený termín na </w:t>
      </w:r>
      <w:r w:rsidRPr="00D50D44" w:rsidR="00413BA1">
        <w:rPr>
          <w:rFonts w:ascii="Times New Roman" w:hAnsi="Times New Roman" w:cs="Times New Roman"/>
        </w:rPr>
        <w:t xml:space="preserve">poskytnutie návratnej formy pomoci </w:t>
      </w:r>
      <w:r w:rsidRPr="00D50D44">
        <w:rPr>
          <w:rFonts w:ascii="Times New Roman" w:hAnsi="Times New Roman" w:cs="Times New Roman"/>
        </w:rPr>
        <w:t>prijímateľom z 31.</w:t>
      </w:r>
      <w:r w:rsidR="003A3E54">
        <w:rPr>
          <w:rFonts w:ascii="Times New Roman" w:hAnsi="Times New Roman" w:cs="Times New Roman"/>
        </w:rPr>
        <w:t xml:space="preserve"> </w:t>
      </w:r>
      <w:r w:rsidRPr="00D50D44">
        <w:rPr>
          <w:rFonts w:ascii="Times New Roman" w:hAnsi="Times New Roman" w:cs="Times New Roman"/>
        </w:rPr>
        <w:t>12.</w:t>
      </w:r>
      <w:r w:rsidR="003A3E54">
        <w:rPr>
          <w:rFonts w:ascii="Times New Roman" w:hAnsi="Times New Roman" w:cs="Times New Roman"/>
        </w:rPr>
        <w:t xml:space="preserve"> </w:t>
      </w:r>
      <w:r w:rsidRPr="00D50D44">
        <w:rPr>
          <w:rFonts w:ascii="Times New Roman" w:hAnsi="Times New Roman" w:cs="Times New Roman"/>
        </w:rPr>
        <w:t>2015 na</w:t>
      </w:r>
      <w:r w:rsidRPr="00D50D44" w:rsidR="003E0DEE">
        <w:rPr>
          <w:rFonts w:ascii="Times New Roman" w:hAnsi="Times New Roman" w:cs="Times New Roman"/>
        </w:rPr>
        <w:t> </w:t>
      </w:r>
      <w:r w:rsidRPr="00D50D44">
        <w:rPr>
          <w:rFonts w:ascii="Times New Roman" w:hAnsi="Times New Roman" w:cs="Times New Roman"/>
        </w:rPr>
        <w:t>30.</w:t>
      </w:r>
      <w:r w:rsidR="00BA0258">
        <w:rPr>
          <w:rFonts w:ascii="Times New Roman" w:hAnsi="Times New Roman" w:cs="Times New Roman"/>
        </w:rPr>
        <w:t xml:space="preserve"> </w:t>
      </w:r>
      <w:r w:rsidRPr="00D50D44">
        <w:rPr>
          <w:rFonts w:ascii="Times New Roman" w:hAnsi="Times New Roman" w:cs="Times New Roman"/>
        </w:rPr>
        <w:t>3.</w:t>
      </w:r>
      <w:r w:rsidR="00BA0258">
        <w:rPr>
          <w:rFonts w:ascii="Times New Roman" w:hAnsi="Times New Roman" w:cs="Times New Roman"/>
        </w:rPr>
        <w:t xml:space="preserve"> </w:t>
      </w:r>
      <w:r w:rsidRPr="00D50D44">
        <w:rPr>
          <w:rFonts w:ascii="Times New Roman" w:hAnsi="Times New Roman" w:cs="Times New Roman"/>
        </w:rPr>
        <w:t xml:space="preserve">2017. </w:t>
      </w:r>
      <w:r w:rsidRPr="00D50D44" w:rsidR="00BB6593">
        <w:rPr>
          <w:rFonts w:ascii="Times New Roman" w:hAnsi="Times New Roman" w:cs="Times New Roman"/>
        </w:rPr>
        <w:t xml:space="preserve">V tejto súvislosti SR uvažuje o presune </w:t>
      </w:r>
      <w:r w:rsidRPr="00D50D44" w:rsidR="00413BA1">
        <w:rPr>
          <w:rFonts w:ascii="Times New Roman" w:hAnsi="Times New Roman" w:cs="Times New Roman"/>
        </w:rPr>
        <w:t xml:space="preserve">ďalšej </w:t>
      </w:r>
      <w:r w:rsidRPr="00D50D44" w:rsidR="00BB6593">
        <w:rPr>
          <w:rFonts w:ascii="Times New Roman" w:hAnsi="Times New Roman" w:cs="Times New Roman"/>
        </w:rPr>
        <w:t xml:space="preserve">časti </w:t>
      </w:r>
      <w:r w:rsidRPr="00D50D44">
        <w:rPr>
          <w:rFonts w:ascii="Times New Roman" w:hAnsi="Times New Roman" w:cs="Times New Roman"/>
        </w:rPr>
        <w:t>finančných prostriedkov z</w:t>
      </w:r>
      <w:r w:rsidRPr="00D50D44" w:rsidR="003E0DEE">
        <w:rPr>
          <w:rFonts w:ascii="Times New Roman" w:hAnsi="Times New Roman" w:cs="Times New Roman"/>
        </w:rPr>
        <w:t> </w:t>
      </w:r>
      <w:r w:rsidRPr="00D50D44">
        <w:rPr>
          <w:rFonts w:ascii="Times New Roman" w:hAnsi="Times New Roman" w:cs="Times New Roman"/>
        </w:rPr>
        <w:t>R</w:t>
      </w:r>
      <w:r w:rsidRPr="00D50D44" w:rsidR="00BB6593">
        <w:rPr>
          <w:rFonts w:ascii="Times New Roman" w:hAnsi="Times New Roman" w:cs="Times New Roman"/>
        </w:rPr>
        <w:t>egionálneho operačného programu a</w:t>
      </w:r>
      <w:r w:rsidRPr="00D50D44" w:rsidR="001E04A9">
        <w:rPr>
          <w:rFonts w:ascii="Times New Roman" w:hAnsi="Times New Roman" w:cs="Times New Roman"/>
        </w:rPr>
        <w:t> </w:t>
      </w:r>
      <w:r w:rsidRPr="00D50D44">
        <w:rPr>
          <w:rFonts w:ascii="Times New Roman" w:hAnsi="Times New Roman" w:cs="Times New Roman"/>
        </w:rPr>
        <w:t>OP</w:t>
      </w:r>
      <w:r w:rsidRPr="00D50D44" w:rsidR="001E04A9">
        <w:rPr>
          <w:rFonts w:ascii="Times New Roman" w:hAnsi="Times New Roman" w:cs="Times New Roman"/>
        </w:rPr>
        <w:t> </w:t>
      </w:r>
      <w:r w:rsidRPr="00D50D44">
        <w:rPr>
          <w:rFonts w:ascii="Times New Roman" w:hAnsi="Times New Roman" w:cs="Times New Roman"/>
        </w:rPr>
        <w:t>Bratislavský kraj do Štátneho fondu rozvoja bývania</w:t>
      </w:r>
      <w:r w:rsidRPr="00D50D44" w:rsidR="001E04A9">
        <w:rPr>
          <w:rFonts w:ascii="Times New Roman" w:hAnsi="Times New Roman" w:cs="Times New Roman"/>
        </w:rPr>
        <w:t xml:space="preserve">, kde </w:t>
      </w:r>
      <w:r w:rsidRPr="00D50D44" w:rsidR="00413BA1">
        <w:rPr>
          <w:rFonts w:ascii="Times New Roman" w:hAnsi="Times New Roman" w:cs="Times New Roman"/>
        </w:rPr>
        <w:t xml:space="preserve">sa </w:t>
      </w:r>
      <w:r w:rsidRPr="00D50D44" w:rsidR="001E04A9">
        <w:rPr>
          <w:rFonts w:ascii="Times New Roman" w:hAnsi="Times New Roman" w:cs="Times New Roman"/>
        </w:rPr>
        <w:t xml:space="preserve">prostredníctvom finančného nástroja JESSICA bude podporovať </w:t>
      </w:r>
      <w:r w:rsidRPr="00D50D44">
        <w:rPr>
          <w:rFonts w:ascii="Times New Roman" w:hAnsi="Times New Roman" w:cs="Times New Roman"/>
        </w:rPr>
        <w:t>obnov</w:t>
      </w:r>
      <w:r w:rsidRPr="00D50D44" w:rsidR="001E04A9">
        <w:rPr>
          <w:rFonts w:ascii="Times New Roman" w:hAnsi="Times New Roman" w:cs="Times New Roman"/>
        </w:rPr>
        <w:t>a</w:t>
      </w:r>
      <w:r w:rsidRPr="00D50D44">
        <w:rPr>
          <w:rFonts w:ascii="Times New Roman" w:hAnsi="Times New Roman" w:cs="Times New Roman"/>
        </w:rPr>
        <w:t xml:space="preserve"> a zatepľovani</w:t>
      </w:r>
      <w:r w:rsidRPr="00D50D44" w:rsidR="001E04A9">
        <w:rPr>
          <w:rFonts w:ascii="Times New Roman" w:hAnsi="Times New Roman" w:cs="Times New Roman"/>
        </w:rPr>
        <w:t>e</w:t>
      </w:r>
      <w:r w:rsidRPr="00D50D44">
        <w:rPr>
          <w:rFonts w:ascii="Times New Roman" w:hAnsi="Times New Roman" w:cs="Times New Roman"/>
        </w:rPr>
        <w:t xml:space="preserve"> bytových domov</w:t>
      </w:r>
      <w:r w:rsidRPr="00D50D44" w:rsidR="00413BA1">
        <w:rPr>
          <w:rFonts w:ascii="Times New Roman" w:hAnsi="Times New Roman" w:cs="Times New Roman"/>
        </w:rPr>
        <w:t xml:space="preserve">. </w:t>
      </w:r>
      <w:r w:rsidRPr="00D50D44" w:rsidR="00BB6593">
        <w:rPr>
          <w:rFonts w:ascii="Times New Roman" w:hAnsi="Times New Roman" w:cs="Times New Roman"/>
        </w:rPr>
        <w:t>Obdobne sa uvažuje o presune časti zdrojov z OP Konkuren</w:t>
      </w:r>
      <w:r w:rsidRPr="00D50D44" w:rsidR="00413BA1">
        <w:rPr>
          <w:rFonts w:ascii="Times New Roman" w:hAnsi="Times New Roman" w:cs="Times New Roman"/>
        </w:rPr>
        <w:t>cieschopnosť a hospodársky rast</w:t>
      </w:r>
      <w:r w:rsidRPr="00D50D44" w:rsidR="00BB6593">
        <w:rPr>
          <w:rFonts w:ascii="Times New Roman" w:hAnsi="Times New Roman" w:cs="Times New Roman"/>
        </w:rPr>
        <w:t xml:space="preserve"> do JEREMIE.</w:t>
      </w:r>
      <w:r w:rsidRPr="00D50D44" w:rsidR="00413BA1">
        <w:rPr>
          <w:rFonts w:ascii="Times New Roman" w:hAnsi="Times New Roman" w:cs="Times New Roman"/>
        </w:rPr>
        <w:t xml:space="preserve"> Presná čiastka dodatočnej alokácie bude </w:t>
      </w:r>
      <w:r w:rsidRPr="00D50D44" w:rsidR="00363E95">
        <w:rPr>
          <w:rFonts w:ascii="Times New Roman" w:hAnsi="Times New Roman" w:cs="Times New Roman"/>
        </w:rPr>
        <w:t xml:space="preserve">závisieť od miery čerpania v ostatných prioritných osiach </w:t>
      </w:r>
      <w:r w:rsidR="00014BB1">
        <w:rPr>
          <w:rFonts w:ascii="Times New Roman" w:hAnsi="Times New Roman" w:cs="Times New Roman"/>
        </w:rPr>
        <w:t>dotknutých oper</w:t>
      </w:r>
      <w:r w:rsidR="003A3E54">
        <w:rPr>
          <w:rFonts w:ascii="Times New Roman" w:hAnsi="Times New Roman" w:cs="Times New Roman"/>
        </w:rPr>
        <w:t>ačných programov</w:t>
      </w:r>
      <w:r w:rsidR="008B515F">
        <w:rPr>
          <w:rFonts w:ascii="Times New Roman" w:hAnsi="Times New Roman" w:cs="Times New Roman"/>
        </w:rPr>
        <w:t>;</w:t>
      </w:r>
      <w:r w:rsidRPr="00D50D44" w:rsidR="00363E95">
        <w:rPr>
          <w:rFonts w:ascii="Times New Roman" w:hAnsi="Times New Roman" w:cs="Times New Roman"/>
        </w:rPr>
        <w:t xml:space="preserve"> </w:t>
      </w:r>
      <w:r w:rsidRPr="00D50D44" w:rsidR="00BB6593">
        <w:rPr>
          <w:rFonts w:ascii="Times New Roman" w:hAnsi="Times New Roman" w:cs="Times New Roman"/>
        </w:rPr>
        <w:t xml:space="preserve"> </w:t>
      </w:r>
    </w:p>
    <w:p w:rsidR="00377016" w:rsidRPr="00D50D44" w:rsidP="00377016">
      <w:pPr>
        <w:pStyle w:val="ListParagraph"/>
        <w:autoSpaceDE w:val="0"/>
        <w:autoSpaceDN w:val="0"/>
        <w:bidi w:val="0"/>
        <w:adjustRightInd w:val="0"/>
        <w:spacing w:after="480" w:afterLines="200"/>
        <w:jc w:val="both"/>
        <w:rPr>
          <w:rFonts w:ascii="Times New Roman" w:hAnsi="Times New Roman" w:cs="Times New Roman"/>
        </w:rPr>
      </w:pPr>
    </w:p>
    <w:p w:rsidR="00EF0BEC" w:rsidRPr="00D50D44" w:rsidP="00377016">
      <w:pPr>
        <w:pStyle w:val="ListParagraph"/>
        <w:numPr>
          <w:numId w:val="44"/>
        </w:numPr>
        <w:autoSpaceDE w:val="0"/>
        <w:autoSpaceDN w:val="0"/>
        <w:bidi w:val="0"/>
        <w:adjustRightInd w:val="0"/>
        <w:spacing w:after="480" w:afterLines="200"/>
        <w:jc w:val="both"/>
        <w:rPr>
          <w:rFonts w:ascii="Times New Roman" w:hAnsi="Times New Roman" w:cs="Times New Roman"/>
        </w:rPr>
      </w:pPr>
      <w:r w:rsidRPr="00D50D44">
        <w:rPr>
          <w:rFonts w:ascii="Times New Roman" w:hAnsi="Times New Roman" w:cs="Times New Roman"/>
          <w:u w:val="single"/>
        </w:rPr>
        <w:t>Revízia operačných programov</w:t>
      </w:r>
      <w:r w:rsidRPr="00D50D44" w:rsidR="00BB6593">
        <w:rPr>
          <w:rFonts w:ascii="Times New Roman" w:hAnsi="Times New Roman" w:cs="Times New Roman"/>
          <w:u w:val="single"/>
        </w:rPr>
        <w:t>:</w:t>
      </w:r>
      <w:r w:rsidRPr="00D50D44" w:rsidR="00BB6593">
        <w:rPr>
          <w:rFonts w:ascii="Times New Roman" w:hAnsi="Times New Roman" w:cs="Times New Roman"/>
          <w:b/>
        </w:rPr>
        <w:t xml:space="preserve"> </w:t>
      </w:r>
      <w:r w:rsidRPr="00D50D44" w:rsidR="00BB6593">
        <w:rPr>
          <w:rFonts w:ascii="Times New Roman" w:hAnsi="Times New Roman" w:cs="Times New Roman"/>
        </w:rPr>
        <w:t>E</w:t>
      </w:r>
      <w:r w:rsidR="00BA0258">
        <w:rPr>
          <w:rFonts w:ascii="Times New Roman" w:hAnsi="Times New Roman" w:cs="Times New Roman"/>
        </w:rPr>
        <w:t>K</w:t>
      </w:r>
      <w:r w:rsidRPr="00D50D44" w:rsidR="00BB6593">
        <w:rPr>
          <w:rFonts w:ascii="Times New Roman" w:hAnsi="Times New Roman" w:cs="Times New Roman"/>
        </w:rPr>
        <w:t xml:space="preserve"> </w:t>
      </w:r>
      <w:r w:rsidRPr="00D50D44">
        <w:rPr>
          <w:rFonts w:ascii="Times New Roman" w:hAnsi="Times New Roman" w:cs="Times New Roman"/>
        </w:rPr>
        <w:t>bude pristupovať veľmi flexibilne k schvaľovaniu návrhov na úpravy/</w:t>
      </w:r>
      <w:r w:rsidR="008B515F">
        <w:rPr>
          <w:rFonts w:ascii="Times New Roman" w:hAnsi="Times New Roman" w:cs="Times New Roman"/>
        </w:rPr>
        <w:t>p</w:t>
      </w:r>
      <w:r w:rsidRPr="00D50D44">
        <w:rPr>
          <w:rFonts w:ascii="Times New Roman" w:hAnsi="Times New Roman" w:cs="Times New Roman"/>
        </w:rPr>
        <w:t>reprogramovanie operačných programov, vrátane finančných realokácií pri zachovaní politickej korektnosti cieľov stanovených NSRR, za účelom zvýšenia absorpčnej kapacity operačného programu.</w:t>
      </w:r>
      <w:r>
        <w:rPr>
          <w:rStyle w:val="FootnoteReference"/>
          <w:rFonts w:ascii="Times New Roman" w:hAnsi="Times New Roman"/>
          <w:rtl w:val="0"/>
        </w:rPr>
        <w:footnoteReference w:id="6"/>
      </w:r>
      <w:r w:rsidRPr="00D50D44">
        <w:rPr>
          <w:rFonts w:ascii="Times New Roman" w:hAnsi="Times New Roman" w:cs="Times New Roman"/>
        </w:rPr>
        <w:t xml:space="preserve"> Uvedené opatrenie umožňuje flexibilnú aktiváciu a prefinancovanie  nových projektov</w:t>
      </w:r>
      <w:r w:rsidR="008B515F">
        <w:rPr>
          <w:rFonts w:ascii="Times New Roman" w:hAnsi="Times New Roman" w:cs="Times New Roman"/>
        </w:rPr>
        <w:t>;</w:t>
      </w:r>
      <w:r w:rsidRPr="00D50D44">
        <w:rPr>
          <w:rFonts w:ascii="Times New Roman" w:hAnsi="Times New Roman" w:cs="Times New Roman"/>
        </w:rPr>
        <w:t xml:space="preserve">  </w:t>
      </w:r>
    </w:p>
    <w:p w:rsidR="006F07B9" w:rsidRPr="006F07B9" w:rsidP="001D246C">
      <w:pPr>
        <w:pStyle w:val="ListParagraph"/>
        <w:numPr>
          <w:numId w:val="44"/>
        </w:numPr>
        <w:autoSpaceDE w:val="0"/>
        <w:autoSpaceDN w:val="0"/>
        <w:bidi w:val="0"/>
        <w:adjustRightInd w:val="0"/>
        <w:spacing w:after="480" w:afterLines="200"/>
        <w:jc w:val="both"/>
        <w:rPr>
          <w:rFonts w:ascii="Times New Roman" w:hAnsi="Times New Roman" w:cs="Times New Roman"/>
        </w:rPr>
      </w:pPr>
      <w:r w:rsidRPr="00D50D44" w:rsidR="00EF0BEC">
        <w:rPr>
          <w:rFonts w:ascii="Times New Roman" w:hAnsi="Times New Roman" w:cs="Times New Roman"/>
          <w:u w:val="single"/>
        </w:rPr>
        <w:t>Flexibilita vo výške 10</w:t>
      </w:r>
      <w:r w:rsidR="003A3E54">
        <w:rPr>
          <w:rFonts w:ascii="Times New Roman" w:hAnsi="Times New Roman" w:cs="Times New Roman"/>
          <w:u w:val="single"/>
        </w:rPr>
        <w:t xml:space="preserve"> </w:t>
      </w:r>
      <w:r w:rsidRPr="00D50D44" w:rsidR="00EF0BEC">
        <w:rPr>
          <w:rFonts w:ascii="Times New Roman" w:hAnsi="Times New Roman" w:cs="Times New Roman"/>
          <w:u w:val="single"/>
        </w:rPr>
        <w:t>%:</w:t>
      </w:r>
      <w:r w:rsidRPr="00D50D44" w:rsidR="00EF0BEC">
        <w:rPr>
          <w:rFonts w:ascii="Times New Roman" w:hAnsi="Times New Roman" w:cs="Times New Roman"/>
        </w:rPr>
        <w:t xml:space="preserve"> </w:t>
      </w:r>
      <w:r w:rsidRPr="00D50D44" w:rsidR="00BB6593">
        <w:rPr>
          <w:rFonts w:ascii="Times New Roman" w:hAnsi="Times New Roman" w:cs="Times New Roman"/>
        </w:rPr>
        <w:t>Toto opatrenie znamená úpravu</w:t>
      </w:r>
      <w:r w:rsidRPr="00D50D44" w:rsidR="00EF0BEC">
        <w:rPr>
          <w:rFonts w:ascii="Times New Roman" w:hAnsi="Times New Roman" w:cs="Times New Roman"/>
        </w:rPr>
        <w:t xml:space="preserve"> finančného plánu vo výške do </w:t>
      </w:r>
      <w:r w:rsidR="003A3E54">
        <w:rPr>
          <w:rFonts w:ascii="Times New Roman" w:hAnsi="Times New Roman" w:cs="Times New Roman"/>
        </w:rPr>
        <w:br/>
      </w:r>
      <w:r w:rsidRPr="00D50D44" w:rsidR="00EF0BEC">
        <w:rPr>
          <w:rFonts w:ascii="Times New Roman" w:hAnsi="Times New Roman" w:cs="Times New Roman"/>
        </w:rPr>
        <w:t xml:space="preserve"> +</w:t>
      </w:r>
      <w:r w:rsidRPr="00D50D44" w:rsidR="00BB6593">
        <w:rPr>
          <w:rFonts w:ascii="Times New Roman" w:hAnsi="Times New Roman" w:cs="Times New Roman"/>
        </w:rPr>
        <w:t>/-10</w:t>
      </w:r>
      <w:r w:rsidR="003A3E54">
        <w:rPr>
          <w:rFonts w:ascii="Times New Roman" w:hAnsi="Times New Roman" w:cs="Times New Roman"/>
        </w:rPr>
        <w:t xml:space="preserve"> </w:t>
      </w:r>
      <w:r w:rsidRPr="00D50D44" w:rsidR="00BB6593">
        <w:rPr>
          <w:rFonts w:ascii="Times New Roman" w:hAnsi="Times New Roman" w:cs="Times New Roman"/>
        </w:rPr>
        <w:t>% na úrovni prioritných osí</w:t>
      </w:r>
      <w:r w:rsidR="003A3E54">
        <w:rPr>
          <w:rFonts w:ascii="Times New Roman" w:hAnsi="Times New Roman" w:cs="Times New Roman"/>
        </w:rPr>
        <w:t>,</w:t>
      </w:r>
      <w:r w:rsidRPr="00D50D44" w:rsidR="00BB6593">
        <w:rPr>
          <w:rFonts w:ascii="Times New Roman" w:hAnsi="Times New Roman" w:cs="Times New Roman"/>
        </w:rPr>
        <w:t xml:space="preserve"> a to bez potreby </w:t>
      </w:r>
      <w:r w:rsidRPr="00D50D44" w:rsidR="00EF0BEC">
        <w:rPr>
          <w:rFonts w:ascii="Times New Roman" w:hAnsi="Times New Roman" w:cs="Times New Roman"/>
        </w:rPr>
        <w:t>revízie operačného programu.</w:t>
      </w:r>
    </w:p>
    <w:p w:rsidR="00413BA1" w:rsidRPr="00D50D44" w:rsidP="001D246C">
      <w:pPr>
        <w:autoSpaceDE w:val="0"/>
        <w:autoSpaceDN w:val="0"/>
        <w:bidi w:val="0"/>
        <w:adjustRightInd w:val="0"/>
        <w:spacing w:after="480" w:afterLines="200"/>
        <w:ind w:firstLine="708"/>
        <w:jc w:val="both"/>
        <w:rPr>
          <w:rFonts w:ascii="Times New Roman" w:hAnsi="Times New Roman" w:cs="Times New Roman"/>
        </w:rPr>
      </w:pPr>
      <w:r w:rsidRPr="00D50D44">
        <w:rPr>
          <w:rFonts w:ascii="Times New Roman" w:hAnsi="Times New Roman" w:cs="Times New Roman"/>
        </w:rPr>
        <w:t>Popri vyššie uvedených nástrojoch flexibility sú predme</w:t>
      </w:r>
      <w:r w:rsidR="006F07B9">
        <w:rPr>
          <w:rFonts w:ascii="Times New Roman" w:hAnsi="Times New Roman" w:cs="Times New Roman"/>
        </w:rPr>
        <w:t>tom rokovaní s E</w:t>
      </w:r>
      <w:r w:rsidR="00BA0258">
        <w:rPr>
          <w:rFonts w:ascii="Times New Roman" w:hAnsi="Times New Roman" w:cs="Times New Roman"/>
        </w:rPr>
        <w:t>K</w:t>
      </w:r>
      <w:r w:rsidRPr="00D50D44">
        <w:rPr>
          <w:rFonts w:ascii="Times New Roman" w:hAnsi="Times New Roman" w:cs="Times New Roman"/>
        </w:rPr>
        <w:t xml:space="preserve"> aj ďalšie opatrenia, napríklad možnosť využitia zálohových faktúr v rámci financovania projektov</w:t>
      </w:r>
      <w:r w:rsidR="00183DA5">
        <w:rPr>
          <w:rFonts w:ascii="Times New Roman" w:hAnsi="Times New Roman" w:cs="Times New Roman"/>
        </w:rPr>
        <w:t xml:space="preserve"> a možnosť využitia ex </w:t>
      </w:r>
      <w:r w:rsidR="006F07B9">
        <w:rPr>
          <w:rFonts w:ascii="Times New Roman" w:hAnsi="Times New Roman" w:cs="Times New Roman"/>
        </w:rPr>
        <w:t>ante korekcií v procese kontroly verejného obstarávania</w:t>
      </w:r>
      <w:r w:rsidRPr="00D50D44">
        <w:rPr>
          <w:rFonts w:ascii="Times New Roman" w:hAnsi="Times New Roman" w:cs="Times New Roman"/>
        </w:rPr>
        <w:t xml:space="preserve">.  </w:t>
      </w:r>
    </w:p>
    <w:p w:rsidR="00740A6C" w:rsidRPr="00D50D44" w:rsidP="00D62C95">
      <w:pPr>
        <w:pStyle w:val="Heading2"/>
        <w:numPr>
          <w:numId w:val="36"/>
        </w:numPr>
        <w:bidi w:val="0"/>
        <w:spacing w:after="120"/>
        <w:ind w:left="714" w:hanging="357"/>
        <w:rPr>
          <w:rFonts w:ascii="Times New Roman" w:hAnsi="Times New Roman" w:cs="Times New Roman"/>
        </w:rPr>
      </w:pPr>
      <w:bookmarkStart w:id="7" w:name="_Toc419481412"/>
      <w:r w:rsidRPr="00D50D44" w:rsidR="00C87924">
        <w:rPr>
          <w:rFonts w:ascii="Times New Roman" w:hAnsi="Times New Roman" w:cs="Times New Roman"/>
        </w:rPr>
        <w:t>P</w:t>
      </w:r>
      <w:r w:rsidRPr="00D50D44" w:rsidR="00FE1661">
        <w:rPr>
          <w:rFonts w:ascii="Times New Roman" w:hAnsi="Times New Roman" w:cs="Times New Roman" w:hint="default"/>
        </w:rPr>
        <w:t>ozastavené</w:t>
      </w:r>
      <w:r w:rsidRPr="00D50D44" w:rsidR="00FE1661">
        <w:rPr>
          <w:rFonts w:ascii="Times New Roman" w:hAnsi="Times New Roman" w:cs="Times New Roman" w:hint="default"/>
        </w:rPr>
        <w:t xml:space="preserve"> platby </w:t>
      </w:r>
      <w:r w:rsidRPr="00D50D44" w:rsidR="00C87924">
        <w:rPr>
          <w:rFonts w:ascii="Times New Roman" w:hAnsi="Times New Roman" w:cs="Times New Roman"/>
        </w:rPr>
        <w:t>a korekcie</w:t>
      </w:r>
      <w:bookmarkEnd w:id="7"/>
    </w:p>
    <w:p w:rsidR="00FE1661" w:rsidRPr="00D50D44" w:rsidP="00D62C95">
      <w:pPr>
        <w:pStyle w:val="Heading3"/>
        <w:bidi w:val="0"/>
        <w:spacing w:after="120"/>
        <w:ind w:left="357"/>
        <w:rPr>
          <w:rFonts w:ascii="Times New Roman" w:hAnsi="Times New Roman" w:cs="Times New Roman" w:hint="default"/>
        </w:rPr>
      </w:pPr>
      <w:bookmarkStart w:id="8" w:name="_Toc419481413"/>
      <w:r w:rsidRPr="00D50D44" w:rsidR="0083342E">
        <w:rPr>
          <w:rFonts w:ascii="Times New Roman" w:hAnsi="Times New Roman" w:cs="Times New Roman"/>
        </w:rPr>
        <w:t>6</w:t>
      </w:r>
      <w:r w:rsidRPr="00D50D44">
        <w:rPr>
          <w:rFonts w:ascii="Times New Roman" w:hAnsi="Times New Roman" w:cs="Times New Roman" w:hint="default"/>
        </w:rPr>
        <w:t>.1 Pozastavené</w:t>
      </w:r>
      <w:r w:rsidRPr="00D50D44">
        <w:rPr>
          <w:rFonts w:ascii="Times New Roman" w:hAnsi="Times New Roman" w:cs="Times New Roman" w:hint="default"/>
        </w:rPr>
        <w:t xml:space="preserve"> platby</w:t>
      </w:r>
      <w:bookmarkEnd w:id="8"/>
    </w:p>
    <w:p w:rsidR="00192C33" w:rsidRPr="00D50D44" w:rsidP="00D62C95">
      <w:pPr>
        <w:bidi w:val="0"/>
        <w:ind w:firstLine="708"/>
        <w:contextualSpacing/>
        <w:jc w:val="both"/>
        <w:rPr>
          <w:rFonts w:ascii="Times New Roman" w:hAnsi="Times New Roman" w:cs="Times New Roman"/>
        </w:rPr>
      </w:pPr>
      <w:r w:rsidRPr="00D50D44" w:rsidR="0031554D">
        <w:rPr>
          <w:rFonts w:ascii="Times New Roman" w:hAnsi="Times New Roman" w:cs="Times New Roman"/>
        </w:rPr>
        <w:t xml:space="preserve">Z jedenástich operačných programov NSRR je v súčasnosti v procese uhrádzania platieb zo strany EK </w:t>
      </w:r>
      <w:r w:rsidRPr="00D50D44" w:rsidR="00363E95">
        <w:rPr>
          <w:rFonts w:ascii="Times New Roman" w:hAnsi="Times New Roman" w:cs="Times New Roman"/>
        </w:rPr>
        <w:t>šesť</w:t>
      </w:r>
      <w:r w:rsidRPr="00D50D44">
        <w:rPr>
          <w:rFonts w:ascii="Times New Roman" w:hAnsi="Times New Roman" w:cs="Times New Roman"/>
        </w:rPr>
        <w:t xml:space="preserve"> operačných programov</w:t>
      </w:r>
      <w:r w:rsidRPr="00D50D44" w:rsidR="00BB6593">
        <w:rPr>
          <w:rFonts w:ascii="Times New Roman" w:hAnsi="Times New Roman" w:cs="Times New Roman"/>
        </w:rPr>
        <w:t xml:space="preserve"> - OP</w:t>
      </w:r>
      <w:r w:rsidRPr="00D50D44">
        <w:rPr>
          <w:rFonts w:ascii="Times New Roman" w:hAnsi="Times New Roman" w:cs="Times New Roman"/>
        </w:rPr>
        <w:t xml:space="preserve"> </w:t>
      </w:r>
      <w:r w:rsidRPr="00D50D44" w:rsidR="00BB6593">
        <w:rPr>
          <w:rFonts w:ascii="Times New Roman" w:hAnsi="Times New Roman" w:cs="Times New Roman"/>
        </w:rPr>
        <w:t>Ž</w:t>
      </w:r>
      <w:r w:rsidRPr="00D50D44">
        <w:rPr>
          <w:rFonts w:ascii="Times New Roman" w:hAnsi="Times New Roman" w:cs="Times New Roman"/>
        </w:rPr>
        <w:t>ivotné prostredie, O</w:t>
      </w:r>
      <w:r w:rsidRPr="00D50D44" w:rsidR="00BB6593">
        <w:rPr>
          <w:rFonts w:ascii="Times New Roman" w:hAnsi="Times New Roman" w:cs="Times New Roman"/>
        </w:rPr>
        <w:t>P</w:t>
      </w:r>
      <w:r w:rsidRPr="00D50D44">
        <w:rPr>
          <w:rFonts w:ascii="Times New Roman" w:hAnsi="Times New Roman" w:cs="Times New Roman"/>
        </w:rPr>
        <w:t xml:space="preserve"> B</w:t>
      </w:r>
      <w:r w:rsidRPr="00D50D44" w:rsidR="00D50BA3">
        <w:rPr>
          <w:rFonts w:ascii="Times New Roman" w:hAnsi="Times New Roman" w:cs="Times New Roman"/>
        </w:rPr>
        <w:t>ratislavský kraj</w:t>
      </w:r>
      <w:r w:rsidRPr="00D50D44">
        <w:rPr>
          <w:rFonts w:ascii="Times New Roman" w:hAnsi="Times New Roman" w:cs="Times New Roman"/>
        </w:rPr>
        <w:t>, O</w:t>
      </w:r>
      <w:r w:rsidRPr="00D50D44" w:rsidR="00BB6593">
        <w:rPr>
          <w:rFonts w:ascii="Times New Roman" w:hAnsi="Times New Roman" w:cs="Times New Roman"/>
        </w:rPr>
        <w:t>P</w:t>
      </w:r>
      <w:r w:rsidRPr="00D50D44" w:rsidR="00F40E59">
        <w:rPr>
          <w:rFonts w:ascii="Times New Roman" w:hAnsi="Times New Roman" w:cs="Times New Roman"/>
        </w:rPr>
        <w:t> </w:t>
      </w:r>
      <w:r w:rsidRPr="00D50D44">
        <w:rPr>
          <w:rFonts w:ascii="Times New Roman" w:hAnsi="Times New Roman" w:cs="Times New Roman"/>
        </w:rPr>
        <w:t>Zdravotníctvo a O</w:t>
      </w:r>
      <w:r w:rsidRPr="00D50D44" w:rsidR="009910CF">
        <w:rPr>
          <w:rFonts w:ascii="Times New Roman" w:hAnsi="Times New Roman" w:cs="Times New Roman"/>
        </w:rPr>
        <w:t xml:space="preserve">P Technická pomoc, </w:t>
      </w:r>
      <w:r w:rsidRPr="00D50D44">
        <w:rPr>
          <w:rFonts w:ascii="Times New Roman" w:hAnsi="Times New Roman" w:cs="Times New Roman"/>
        </w:rPr>
        <w:t>O</w:t>
      </w:r>
      <w:r w:rsidRPr="00D50D44" w:rsidR="00BB6593">
        <w:rPr>
          <w:rFonts w:ascii="Times New Roman" w:hAnsi="Times New Roman" w:cs="Times New Roman"/>
        </w:rPr>
        <w:t>P</w:t>
      </w:r>
      <w:r w:rsidRPr="00D50D44">
        <w:rPr>
          <w:rFonts w:ascii="Times New Roman" w:hAnsi="Times New Roman" w:cs="Times New Roman"/>
        </w:rPr>
        <w:t xml:space="preserve"> Doprava a</w:t>
      </w:r>
      <w:r w:rsidRPr="00D50D44" w:rsidR="00BB6593">
        <w:rPr>
          <w:rFonts w:ascii="Times New Roman" w:hAnsi="Times New Roman" w:cs="Times New Roman"/>
        </w:rPr>
        <w:t> </w:t>
      </w:r>
      <w:r w:rsidRPr="00D50D44">
        <w:rPr>
          <w:rFonts w:ascii="Times New Roman" w:hAnsi="Times New Roman" w:cs="Times New Roman"/>
        </w:rPr>
        <w:t>O</w:t>
      </w:r>
      <w:r w:rsidRPr="00D50D44" w:rsidR="00BB6593">
        <w:rPr>
          <w:rFonts w:ascii="Times New Roman" w:hAnsi="Times New Roman" w:cs="Times New Roman"/>
        </w:rPr>
        <w:t xml:space="preserve">P </w:t>
      </w:r>
      <w:r w:rsidRPr="00D50D44">
        <w:rPr>
          <w:rFonts w:ascii="Times New Roman" w:hAnsi="Times New Roman" w:cs="Times New Roman"/>
        </w:rPr>
        <w:t> Zamestnanosť a sociálna inklúzia</w:t>
      </w:r>
      <w:r w:rsidRPr="00D50D44" w:rsidR="009910CF">
        <w:rPr>
          <w:rFonts w:ascii="Times New Roman" w:hAnsi="Times New Roman" w:cs="Times New Roman"/>
        </w:rPr>
        <w:t>.</w:t>
      </w:r>
      <w:r>
        <w:rPr>
          <w:rFonts w:ascii="Times New Roman" w:hAnsi="Times New Roman" w:cs="Times New Roman"/>
          <w:vertAlign w:val="superscript"/>
          <w:rtl w:val="0"/>
        </w:rPr>
        <w:footnoteReference w:id="7"/>
      </w:r>
    </w:p>
    <w:p w:rsidR="00192C33" w:rsidRPr="00D50D44" w:rsidP="00D62C95">
      <w:pPr>
        <w:bidi w:val="0"/>
        <w:contextualSpacing/>
        <w:jc w:val="both"/>
        <w:rPr>
          <w:rFonts w:ascii="Times New Roman" w:hAnsi="Times New Roman" w:cs="Times New Roman"/>
        </w:rPr>
      </w:pPr>
    </w:p>
    <w:p w:rsidR="00192C33" w:rsidRPr="00D50D44" w:rsidP="00D62C95">
      <w:pPr>
        <w:bidi w:val="0"/>
        <w:ind w:firstLine="708"/>
        <w:contextualSpacing/>
        <w:jc w:val="both"/>
        <w:rPr>
          <w:rFonts w:ascii="Times New Roman" w:hAnsi="Times New Roman" w:cs="Times New Roman"/>
        </w:rPr>
      </w:pPr>
      <w:r w:rsidRPr="00D50D44">
        <w:rPr>
          <w:rFonts w:ascii="Times New Roman" w:hAnsi="Times New Roman" w:cs="Times New Roman"/>
        </w:rPr>
        <w:t>K  30.</w:t>
      </w:r>
      <w:r w:rsidR="003A3E54">
        <w:rPr>
          <w:rFonts w:ascii="Times New Roman" w:hAnsi="Times New Roman" w:cs="Times New Roman"/>
        </w:rPr>
        <w:t xml:space="preserve"> </w:t>
      </w:r>
      <w:r w:rsidRPr="00D50D44" w:rsidR="00BB6593">
        <w:rPr>
          <w:rFonts w:ascii="Times New Roman" w:hAnsi="Times New Roman" w:cs="Times New Roman"/>
        </w:rPr>
        <w:t>04.</w:t>
      </w:r>
      <w:r w:rsidR="003A3E54">
        <w:rPr>
          <w:rFonts w:ascii="Times New Roman" w:hAnsi="Times New Roman" w:cs="Times New Roman"/>
        </w:rPr>
        <w:t xml:space="preserve"> </w:t>
      </w:r>
      <w:r w:rsidRPr="00D50D44">
        <w:rPr>
          <w:rFonts w:ascii="Times New Roman" w:hAnsi="Times New Roman" w:cs="Times New Roman"/>
        </w:rPr>
        <w:t xml:space="preserve">2015 sú pozastavené platby pri ostávajúcich </w:t>
      </w:r>
      <w:r w:rsidRPr="00D50D44" w:rsidR="00363E95">
        <w:rPr>
          <w:rFonts w:ascii="Times New Roman" w:hAnsi="Times New Roman" w:cs="Times New Roman"/>
        </w:rPr>
        <w:t>piatich</w:t>
      </w:r>
      <w:r w:rsidRPr="00D50D44">
        <w:rPr>
          <w:rFonts w:ascii="Times New Roman" w:hAnsi="Times New Roman" w:cs="Times New Roman"/>
        </w:rPr>
        <w:t xml:space="preserve"> operačných programoch </w:t>
      </w:r>
      <w:r w:rsidRPr="00D50D44" w:rsidR="00F40A3C">
        <w:rPr>
          <w:rFonts w:ascii="Times New Roman" w:hAnsi="Times New Roman" w:cs="Times New Roman"/>
        </w:rPr>
        <w:t>–</w:t>
      </w:r>
      <w:r w:rsidRPr="00D50D44" w:rsidR="00BB6593">
        <w:rPr>
          <w:rFonts w:ascii="Times New Roman" w:hAnsi="Times New Roman" w:cs="Times New Roman"/>
        </w:rPr>
        <w:t xml:space="preserve"> </w:t>
      </w:r>
      <w:r w:rsidRPr="00D50D44">
        <w:rPr>
          <w:rFonts w:ascii="Times New Roman" w:hAnsi="Times New Roman" w:cs="Times New Roman"/>
        </w:rPr>
        <w:t>O</w:t>
      </w:r>
      <w:r w:rsidRPr="00D50D44" w:rsidR="00BB6593">
        <w:rPr>
          <w:rFonts w:ascii="Times New Roman" w:hAnsi="Times New Roman" w:cs="Times New Roman"/>
        </w:rPr>
        <w:t>P</w:t>
      </w:r>
      <w:r w:rsidRPr="00D50D44" w:rsidR="00F40A3C">
        <w:rPr>
          <w:rFonts w:ascii="Times New Roman" w:hAnsi="Times New Roman" w:cs="Times New Roman"/>
        </w:rPr>
        <w:t> </w:t>
      </w:r>
      <w:r w:rsidRPr="00D50D44">
        <w:rPr>
          <w:rFonts w:ascii="Times New Roman" w:hAnsi="Times New Roman" w:cs="Times New Roman"/>
        </w:rPr>
        <w:t>Konkurencieschopnosť a hospodársky rast, O</w:t>
      </w:r>
      <w:r w:rsidRPr="00D50D44" w:rsidR="00BB6593">
        <w:rPr>
          <w:rFonts w:ascii="Times New Roman" w:hAnsi="Times New Roman" w:cs="Times New Roman"/>
        </w:rPr>
        <w:t>P</w:t>
      </w:r>
      <w:r w:rsidRPr="00D50D44">
        <w:rPr>
          <w:rFonts w:ascii="Times New Roman" w:hAnsi="Times New Roman" w:cs="Times New Roman"/>
        </w:rPr>
        <w:t xml:space="preserve"> Výskum a Vývoj, O</w:t>
      </w:r>
      <w:r w:rsidRPr="00D50D44" w:rsidR="00BB6593">
        <w:rPr>
          <w:rFonts w:ascii="Times New Roman" w:hAnsi="Times New Roman" w:cs="Times New Roman"/>
        </w:rPr>
        <w:t>P</w:t>
      </w:r>
      <w:r w:rsidRPr="00D50D44">
        <w:rPr>
          <w:rFonts w:ascii="Times New Roman" w:hAnsi="Times New Roman" w:cs="Times New Roman"/>
        </w:rPr>
        <w:t xml:space="preserve"> Informatizácia spoločnosti, </w:t>
      </w:r>
      <w:r w:rsidRPr="00D50D44" w:rsidR="009910CF">
        <w:rPr>
          <w:rFonts w:ascii="Times New Roman" w:hAnsi="Times New Roman" w:cs="Times New Roman"/>
        </w:rPr>
        <w:t>Regionálny operačný program</w:t>
      </w:r>
      <w:r w:rsidRPr="00D50D44">
        <w:rPr>
          <w:rFonts w:ascii="Times New Roman" w:hAnsi="Times New Roman" w:cs="Times New Roman"/>
        </w:rPr>
        <w:t xml:space="preserve"> a O</w:t>
      </w:r>
      <w:r w:rsidRPr="00D50D44" w:rsidR="00BB6593">
        <w:rPr>
          <w:rFonts w:ascii="Times New Roman" w:hAnsi="Times New Roman" w:cs="Times New Roman"/>
        </w:rPr>
        <w:t>P</w:t>
      </w:r>
      <w:r w:rsidRPr="00D50D44">
        <w:rPr>
          <w:rFonts w:ascii="Times New Roman" w:hAnsi="Times New Roman" w:cs="Times New Roman"/>
        </w:rPr>
        <w:t xml:space="preserve"> Vzdelávanie. </w:t>
      </w:r>
    </w:p>
    <w:p w:rsidR="00192C33" w:rsidRPr="00D50D44" w:rsidP="00D62C95">
      <w:pPr>
        <w:bidi w:val="0"/>
        <w:contextualSpacing/>
        <w:jc w:val="both"/>
        <w:rPr>
          <w:rFonts w:ascii="Times New Roman" w:hAnsi="Times New Roman" w:cs="Times New Roman"/>
        </w:rPr>
      </w:pPr>
    </w:p>
    <w:p w:rsidR="003E0DEE" w:rsidRPr="00D50D44" w:rsidP="00D62C95">
      <w:pPr>
        <w:bidi w:val="0"/>
        <w:spacing w:after="0"/>
        <w:ind w:firstLine="709"/>
        <w:jc w:val="both"/>
        <w:rPr>
          <w:rFonts w:ascii="Times New Roman" w:hAnsi="Times New Roman" w:cs="Times New Roman"/>
        </w:rPr>
      </w:pPr>
      <w:r w:rsidRPr="00D50D44" w:rsidR="0031554D">
        <w:rPr>
          <w:rFonts w:ascii="Times New Roman" w:hAnsi="Times New Roman" w:cs="Times New Roman"/>
        </w:rPr>
        <w:t xml:space="preserve">Pozastavenie financovania </w:t>
      </w:r>
      <w:r w:rsidRPr="00D50D44" w:rsidR="00192C33">
        <w:rPr>
          <w:rFonts w:ascii="Times New Roman" w:hAnsi="Times New Roman" w:cs="Times New Roman"/>
        </w:rPr>
        <w:t xml:space="preserve">operačných programov je </w:t>
      </w:r>
      <w:r w:rsidRPr="00D50D44" w:rsidR="00BB6593">
        <w:rPr>
          <w:rFonts w:ascii="Times New Roman" w:hAnsi="Times New Roman" w:cs="Times New Roman"/>
        </w:rPr>
        <w:t xml:space="preserve">štandardný </w:t>
      </w:r>
      <w:r w:rsidRPr="00D50D44" w:rsidR="00192C33">
        <w:rPr>
          <w:rFonts w:ascii="Times New Roman" w:hAnsi="Times New Roman" w:cs="Times New Roman"/>
        </w:rPr>
        <w:t>nástroj, ktorý využíva E</w:t>
      </w:r>
      <w:r w:rsidR="00BA0258">
        <w:rPr>
          <w:rFonts w:ascii="Times New Roman" w:hAnsi="Times New Roman" w:cs="Times New Roman"/>
        </w:rPr>
        <w:t>K</w:t>
      </w:r>
      <w:r w:rsidRPr="00D50D44" w:rsidR="00192C33">
        <w:rPr>
          <w:rFonts w:ascii="Times New Roman" w:hAnsi="Times New Roman" w:cs="Times New Roman"/>
        </w:rPr>
        <w:t xml:space="preserve"> voči členským štátom v prípade, že sú identifikované podozrenia z porušení pri implementác</w:t>
      </w:r>
      <w:r w:rsidR="00BA0258">
        <w:rPr>
          <w:rFonts w:ascii="Times New Roman" w:hAnsi="Times New Roman" w:cs="Times New Roman"/>
        </w:rPr>
        <w:t>ii fondov EÚ. V tomto prípade EK</w:t>
      </w:r>
      <w:r w:rsidRPr="00D50D44" w:rsidR="00192C33">
        <w:rPr>
          <w:rFonts w:ascii="Times New Roman" w:hAnsi="Times New Roman" w:cs="Times New Roman"/>
        </w:rPr>
        <w:t xml:space="preserve"> postupuje podľa čl. 91 a 92  </w:t>
      </w:r>
      <w:r w:rsidRPr="00D50D44" w:rsidR="00C47763">
        <w:rPr>
          <w:rFonts w:ascii="Times New Roman" w:hAnsi="Times New Roman" w:cs="Times New Roman"/>
        </w:rPr>
        <w:t>N</w:t>
      </w:r>
      <w:r w:rsidRPr="00D50D44" w:rsidR="00192C33">
        <w:rPr>
          <w:rFonts w:ascii="Times New Roman" w:hAnsi="Times New Roman" w:cs="Times New Roman"/>
        </w:rPr>
        <w:t xml:space="preserve">ariadenia Rady (ES)  č. 1083/2006, ktoré upravujú postupy prerušenia lehoty pre platbu a pozastavenie platieb. </w:t>
      </w:r>
    </w:p>
    <w:p w:rsidR="003E0DEE" w:rsidRPr="00D50D44" w:rsidP="00AB7997">
      <w:pPr>
        <w:bidi w:val="0"/>
        <w:spacing w:after="0"/>
        <w:ind w:firstLine="709"/>
        <w:jc w:val="both"/>
        <w:rPr>
          <w:rFonts w:ascii="Times New Roman" w:hAnsi="Times New Roman" w:cs="Times New Roman"/>
        </w:rPr>
      </w:pPr>
      <w:r w:rsidRPr="00D50D44" w:rsidR="00192C33">
        <w:rPr>
          <w:rFonts w:ascii="Times New Roman" w:hAnsi="Times New Roman" w:cs="Times New Roman"/>
        </w:rPr>
        <w:t xml:space="preserve"> </w:t>
      </w:r>
    </w:p>
    <w:p w:rsidR="00192C33" w:rsidRPr="00D50D44" w:rsidP="00D62C95">
      <w:pPr>
        <w:bidi w:val="0"/>
        <w:spacing w:after="0"/>
        <w:ind w:firstLine="709"/>
        <w:jc w:val="both"/>
        <w:rPr>
          <w:rFonts w:ascii="Times New Roman" w:hAnsi="Times New Roman" w:cs="Times New Roman"/>
        </w:rPr>
      </w:pPr>
      <w:r w:rsidRPr="00D50D44">
        <w:rPr>
          <w:rFonts w:ascii="Times New Roman" w:hAnsi="Times New Roman" w:cs="Times New Roman"/>
        </w:rPr>
        <w:t>V</w:t>
      </w:r>
      <w:r w:rsidRPr="00D50D44" w:rsidR="00C47763">
        <w:rPr>
          <w:rFonts w:ascii="Times New Roman" w:hAnsi="Times New Roman" w:cs="Times New Roman"/>
        </w:rPr>
        <w:t> </w:t>
      </w:r>
      <w:r w:rsidRPr="00D50D44">
        <w:rPr>
          <w:rFonts w:ascii="Times New Roman" w:hAnsi="Times New Roman" w:cs="Times New Roman"/>
        </w:rPr>
        <w:t>súvislosti</w:t>
      </w:r>
      <w:r w:rsidRPr="00D50D44" w:rsidR="00C47763">
        <w:rPr>
          <w:rFonts w:ascii="Times New Roman" w:hAnsi="Times New Roman" w:cs="Times New Roman"/>
        </w:rPr>
        <w:t xml:space="preserve"> s pozastavením niektorých operačných programov dotknuté RO </w:t>
      </w:r>
      <w:r w:rsidRPr="00D50D44">
        <w:rPr>
          <w:rFonts w:ascii="Times New Roman" w:hAnsi="Times New Roman" w:cs="Times New Roman"/>
        </w:rPr>
        <w:t xml:space="preserve">v úzkej súčinnosti s Orgánom auditu a Certifikačným orgánom aktívne spracovávajú podpornú argumentáciu týkajúcu sa identifikovaných zistení kontrolnými orgánmi, vykonávajú spätné overovania na </w:t>
      </w:r>
      <w:r w:rsidRPr="00D50D44" w:rsidR="00C47763">
        <w:rPr>
          <w:rFonts w:ascii="Times New Roman" w:hAnsi="Times New Roman" w:cs="Times New Roman"/>
        </w:rPr>
        <w:t xml:space="preserve">veľkom počte </w:t>
      </w:r>
      <w:r w:rsidRPr="00D50D44">
        <w:rPr>
          <w:rFonts w:ascii="Times New Roman" w:hAnsi="Times New Roman" w:cs="Times New Roman"/>
        </w:rPr>
        <w:t xml:space="preserve">projektov, kontrolujú ich, spracovávajú metodiku výpočtu korekcie a aktívne komunikujú s EK. V súčasnosti pri väčšine </w:t>
      </w:r>
      <w:r w:rsidRPr="00D50D44" w:rsidR="00C47763">
        <w:rPr>
          <w:rFonts w:ascii="Times New Roman" w:hAnsi="Times New Roman" w:cs="Times New Roman"/>
        </w:rPr>
        <w:t>RO</w:t>
      </w:r>
      <w:r w:rsidRPr="00D50D44">
        <w:rPr>
          <w:rFonts w:ascii="Times New Roman" w:hAnsi="Times New Roman" w:cs="Times New Roman"/>
        </w:rPr>
        <w:t xml:space="preserve"> vykonáva </w:t>
      </w:r>
      <w:r w:rsidRPr="00D50D44" w:rsidR="00C47763">
        <w:rPr>
          <w:rFonts w:ascii="Times New Roman" w:hAnsi="Times New Roman" w:cs="Times New Roman"/>
        </w:rPr>
        <w:t xml:space="preserve">Orgán auditu </w:t>
      </w:r>
      <w:r w:rsidRPr="00D50D44">
        <w:rPr>
          <w:rFonts w:ascii="Times New Roman" w:hAnsi="Times New Roman" w:cs="Times New Roman"/>
        </w:rPr>
        <w:t xml:space="preserve">proces validácie prijatých opatrení a vydáva k nim stanovisko.  </w:t>
      </w:r>
      <w:r w:rsidR="00652BDA">
        <w:rPr>
          <w:rFonts w:ascii="Times New Roman" w:hAnsi="Times New Roman" w:cs="Times New Roman"/>
        </w:rPr>
        <w:t>S</w:t>
      </w:r>
      <w:r w:rsidRPr="00652BDA" w:rsidR="00652BDA">
        <w:rPr>
          <w:rFonts w:ascii="Times New Roman" w:hAnsi="Times New Roman" w:cs="Times New Roman"/>
        </w:rPr>
        <w:t xml:space="preserve">umy korekcií budú </w:t>
      </w:r>
      <w:r w:rsidRPr="00652BDA" w:rsidR="00BA0258">
        <w:rPr>
          <w:rFonts w:ascii="Times New Roman" w:hAnsi="Times New Roman" w:cs="Times New Roman"/>
        </w:rPr>
        <w:t>spresnené</w:t>
      </w:r>
      <w:r w:rsidRPr="00652BDA" w:rsidR="00652BDA">
        <w:rPr>
          <w:rFonts w:ascii="Times New Roman" w:hAnsi="Times New Roman" w:cs="Times New Roman"/>
        </w:rPr>
        <w:t xml:space="preserve"> až v čase prípravy žiadosti o platbu na </w:t>
      </w:r>
      <w:r w:rsidR="00BA0258">
        <w:rPr>
          <w:rFonts w:ascii="Times New Roman" w:hAnsi="Times New Roman" w:cs="Times New Roman"/>
        </w:rPr>
        <w:t>EK</w:t>
      </w:r>
      <w:r w:rsidRPr="00652BDA" w:rsidR="00652BDA">
        <w:rPr>
          <w:rFonts w:ascii="Times New Roman" w:hAnsi="Times New Roman" w:cs="Times New Roman"/>
        </w:rPr>
        <w:t>, ktorými budú očistené neoprávnené výdavky z výdavkov zahrnutých do žiadosti</w:t>
      </w:r>
      <w:r w:rsidR="00652BDA">
        <w:rPr>
          <w:rFonts w:ascii="Times New Roman" w:hAnsi="Times New Roman" w:cs="Times New Roman"/>
        </w:rPr>
        <w:t>.</w:t>
      </w:r>
    </w:p>
    <w:p w:rsidR="003E0DEE" w:rsidRPr="00D50D44" w:rsidP="00D62C95">
      <w:pPr>
        <w:bidi w:val="0"/>
        <w:spacing w:after="0"/>
        <w:ind w:firstLine="709"/>
        <w:jc w:val="both"/>
        <w:rPr>
          <w:rFonts w:ascii="Times New Roman" w:hAnsi="Times New Roman" w:cs="Times New Roman"/>
        </w:rPr>
      </w:pPr>
    </w:p>
    <w:p w:rsidR="00192C33" w:rsidRPr="00D50D44" w:rsidP="00D62C95">
      <w:pPr>
        <w:bidi w:val="0"/>
        <w:spacing w:after="0"/>
        <w:ind w:firstLine="709"/>
        <w:jc w:val="both"/>
        <w:rPr>
          <w:rFonts w:ascii="Times New Roman" w:hAnsi="Times New Roman" w:cs="Times New Roman"/>
        </w:rPr>
      </w:pPr>
      <w:r w:rsidRPr="00D50D44">
        <w:rPr>
          <w:rFonts w:ascii="Times New Roman" w:hAnsi="Times New Roman" w:cs="Times New Roman"/>
        </w:rPr>
        <w:t xml:space="preserve">Stanovený termín </w:t>
      </w:r>
      <w:r w:rsidRPr="00D50D44" w:rsidR="00AB7997">
        <w:rPr>
          <w:rFonts w:ascii="Times New Roman" w:hAnsi="Times New Roman" w:cs="Times New Roman"/>
        </w:rPr>
        <w:t>uvoľnenia pozastavených platieb</w:t>
      </w:r>
      <w:r w:rsidRPr="00D50D44">
        <w:rPr>
          <w:rFonts w:ascii="Times New Roman" w:hAnsi="Times New Roman" w:cs="Times New Roman"/>
        </w:rPr>
        <w:t xml:space="preserve"> vyššie uvedených OP je jún 2015 s výnimkou ROP a </w:t>
      </w:r>
      <w:r w:rsidRPr="00D50D44" w:rsidR="00363E95">
        <w:rPr>
          <w:rFonts w:ascii="Times New Roman" w:hAnsi="Times New Roman" w:cs="Times New Roman"/>
        </w:rPr>
        <w:t xml:space="preserve"> </w:t>
      </w:r>
      <w:r w:rsidRPr="00D50D44">
        <w:rPr>
          <w:rFonts w:ascii="Times New Roman" w:hAnsi="Times New Roman" w:cs="Times New Roman"/>
        </w:rPr>
        <w:t>OP</w:t>
      </w:r>
      <w:r w:rsidRPr="00D50D44" w:rsidR="003E0DEE">
        <w:rPr>
          <w:rFonts w:ascii="Times New Roman" w:hAnsi="Times New Roman" w:cs="Times New Roman"/>
        </w:rPr>
        <w:t> </w:t>
      </w:r>
      <w:r w:rsidRPr="00D50D44">
        <w:rPr>
          <w:rFonts w:ascii="Times New Roman" w:hAnsi="Times New Roman" w:cs="Times New Roman"/>
        </w:rPr>
        <w:t xml:space="preserve">V, </w:t>
      </w:r>
      <w:r w:rsidRPr="00D50D44" w:rsidR="00363E95">
        <w:rPr>
          <w:rFonts w:ascii="Times New Roman" w:hAnsi="Times New Roman" w:cs="Times New Roman"/>
        </w:rPr>
        <w:t xml:space="preserve">pri ktorých sa očakáva </w:t>
      </w:r>
      <w:r w:rsidRPr="00D50D44" w:rsidR="00AB7997">
        <w:rPr>
          <w:rFonts w:ascii="Times New Roman" w:hAnsi="Times New Roman" w:cs="Times New Roman"/>
        </w:rPr>
        <w:t>uvoľnenie pozastavených platieb</w:t>
      </w:r>
      <w:r w:rsidRPr="00D50D44" w:rsidR="00702010">
        <w:rPr>
          <w:rFonts w:ascii="Times New Roman" w:hAnsi="Times New Roman" w:cs="Times New Roman"/>
        </w:rPr>
        <w:t xml:space="preserve"> </w:t>
      </w:r>
      <w:r w:rsidR="007833B0">
        <w:rPr>
          <w:rFonts w:ascii="Times New Roman" w:hAnsi="Times New Roman" w:cs="Times New Roman"/>
        </w:rPr>
        <w:t xml:space="preserve">najneskôr </w:t>
      </w:r>
      <w:r w:rsidRPr="00D50D44" w:rsidR="00702010">
        <w:rPr>
          <w:rFonts w:ascii="Times New Roman" w:hAnsi="Times New Roman" w:cs="Times New Roman"/>
        </w:rPr>
        <w:t xml:space="preserve">v septembri </w:t>
      </w:r>
      <w:r w:rsidRPr="00D50D44">
        <w:rPr>
          <w:rFonts w:ascii="Times New Roman" w:hAnsi="Times New Roman" w:cs="Times New Roman"/>
        </w:rPr>
        <w:t>2015. Predpokladaná výška korekcií súvisiaca s</w:t>
      </w:r>
      <w:r w:rsidRPr="00D50D44" w:rsidR="00AB7997">
        <w:rPr>
          <w:rFonts w:ascii="Times New Roman" w:hAnsi="Times New Roman" w:cs="Times New Roman"/>
        </w:rPr>
        <w:t> uvoľnením pozastavených platieb</w:t>
      </w:r>
      <w:r w:rsidRPr="00D50D44">
        <w:rPr>
          <w:rFonts w:ascii="Times New Roman" w:hAnsi="Times New Roman" w:cs="Times New Roman"/>
        </w:rPr>
        <w:t xml:space="preserve"> týchto programov je cca 3</w:t>
      </w:r>
      <w:r w:rsidRPr="00D50D44" w:rsidR="00363E95">
        <w:rPr>
          <w:rFonts w:ascii="Times New Roman" w:hAnsi="Times New Roman" w:cs="Times New Roman"/>
        </w:rPr>
        <w:t>00</w:t>
      </w:r>
      <w:r w:rsidRPr="00D50D44">
        <w:rPr>
          <w:rFonts w:ascii="Times New Roman" w:hAnsi="Times New Roman" w:cs="Times New Roman"/>
        </w:rPr>
        <w:t xml:space="preserve"> mil. E</w:t>
      </w:r>
      <w:r w:rsidRPr="00D50D44" w:rsidR="00702010">
        <w:rPr>
          <w:rFonts w:ascii="Times New Roman" w:hAnsi="Times New Roman" w:cs="Times New Roman"/>
        </w:rPr>
        <w:t>UR</w:t>
      </w:r>
      <w:r w:rsidRPr="00D50D44" w:rsidR="003E0DEE">
        <w:rPr>
          <w:rFonts w:ascii="Times New Roman" w:hAnsi="Times New Roman" w:cs="Times New Roman"/>
        </w:rPr>
        <w:t>.  Je potrebné zdôrazniť, že </w:t>
      </w:r>
      <w:r w:rsidRPr="00D50D44">
        <w:rPr>
          <w:rFonts w:ascii="Times New Roman" w:hAnsi="Times New Roman" w:cs="Times New Roman"/>
        </w:rPr>
        <w:t>spomenutá výška korekcií nie je definitívna a môže byť upravená</w:t>
      </w:r>
      <w:r w:rsidR="00983293">
        <w:rPr>
          <w:rFonts w:ascii="Times New Roman" w:hAnsi="Times New Roman" w:cs="Times New Roman"/>
        </w:rPr>
        <w:t xml:space="preserve"> (znížená, alebo zvýšená)</w:t>
      </w:r>
      <w:r w:rsidRPr="00D50D44">
        <w:rPr>
          <w:rFonts w:ascii="Times New Roman" w:hAnsi="Times New Roman" w:cs="Times New Roman"/>
        </w:rPr>
        <w:t xml:space="preserve">, nakoľko príslušné </w:t>
      </w:r>
      <w:r w:rsidRPr="00D50D44" w:rsidR="00702010">
        <w:rPr>
          <w:rFonts w:ascii="Times New Roman" w:hAnsi="Times New Roman" w:cs="Times New Roman"/>
        </w:rPr>
        <w:t>RO</w:t>
      </w:r>
      <w:r w:rsidRPr="00D50D44">
        <w:rPr>
          <w:rFonts w:ascii="Times New Roman" w:hAnsi="Times New Roman" w:cs="Times New Roman"/>
        </w:rPr>
        <w:t xml:space="preserve">, tak ako je uvedené vyššie, v súčasnosti aktívne spracovávajú </w:t>
      </w:r>
      <w:r w:rsidRPr="00D50D44" w:rsidR="00702010">
        <w:rPr>
          <w:rFonts w:ascii="Times New Roman" w:hAnsi="Times New Roman" w:cs="Times New Roman"/>
        </w:rPr>
        <w:t>zdôvodňujúcu argumentáciu pre E</w:t>
      </w:r>
      <w:r w:rsidR="00BA0258">
        <w:rPr>
          <w:rFonts w:ascii="Times New Roman" w:hAnsi="Times New Roman" w:cs="Times New Roman"/>
        </w:rPr>
        <w:t>K</w:t>
      </w:r>
      <w:r w:rsidRPr="00D50D44" w:rsidR="00702010">
        <w:rPr>
          <w:rFonts w:ascii="Times New Roman" w:hAnsi="Times New Roman" w:cs="Times New Roman"/>
        </w:rPr>
        <w:t xml:space="preserve">  </w:t>
      </w:r>
      <w:r w:rsidRPr="00D50D44">
        <w:rPr>
          <w:rFonts w:ascii="Times New Roman" w:hAnsi="Times New Roman" w:cs="Times New Roman"/>
        </w:rPr>
        <w:t>a</w:t>
      </w:r>
      <w:r w:rsidRPr="00D50D44" w:rsidR="00702010">
        <w:rPr>
          <w:rFonts w:ascii="Times New Roman" w:hAnsi="Times New Roman" w:cs="Times New Roman"/>
        </w:rPr>
        <w:t xml:space="preserve">  </w:t>
      </w:r>
      <w:r w:rsidRPr="00D50D44">
        <w:rPr>
          <w:rFonts w:ascii="Times New Roman" w:hAnsi="Times New Roman" w:cs="Times New Roman"/>
        </w:rPr>
        <w:t xml:space="preserve">komunikujú svoju navrhovanú metodiku týkajúcu sa výpočtu a stanovenia percenta finančnej korekcie. </w:t>
      </w:r>
    </w:p>
    <w:p w:rsidR="00F40A3C" w:rsidRPr="00D50D44" w:rsidP="00D62C95">
      <w:pPr>
        <w:pStyle w:val="Heading3"/>
        <w:bidi w:val="0"/>
        <w:spacing w:before="0"/>
        <w:ind w:left="360"/>
        <w:rPr>
          <w:rFonts w:ascii="Times New Roman" w:hAnsi="Times New Roman" w:cs="Times New Roman"/>
        </w:rPr>
      </w:pPr>
    </w:p>
    <w:p w:rsidR="00E43AD4" w:rsidRPr="00D50D44" w:rsidP="00E43AD4">
      <w:pPr>
        <w:bidi w:val="0"/>
        <w:rPr>
          <w:rFonts w:ascii="Times New Roman" w:hAnsi="Times New Roman" w:cs="Times New Roman"/>
        </w:rPr>
      </w:pPr>
    </w:p>
    <w:p w:rsidR="00740A6C" w:rsidRPr="00D50D44" w:rsidP="00D62C95">
      <w:pPr>
        <w:pStyle w:val="Heading3"/>
        <w:bidi w:val="0"/>
        <w:spacing w:before="0"/>
        <w:ind w:left="360"/>
        <w:rPr>
          <w:rFonts w:ascii="Times New Roman" w:hAnsi="Times New Roman" w:cs="Times New Roman"/>
        </w:rPr>
      </w:pPr>
      <w:bookmarkStart w:id="9" w:name="_Toc419481414"/>
      <w:r w:rsidRPr="00D50D44" w:rsidR="0083342E">
        <w:rPr>
          <w:rFonts w:ascii="Times New Roman" w:hAnsi="Times New Roman" w:cs="Times New Roman"/>
        </w:rPr>
        <w:t>6</w:t>
      </w:r>
      <w:r w:rsidRPr="00D50D44" w:rsidR="00FE1661">
        <w:rPr>
          <w:rFonts w:ascii="Times New Roman" w:hAnsi="Times New Roman" w:cs="Times New Roman"/>
        </w:rPr>
        <w:t>.2. Korekcie</w:t>
      </w:r>
      <w:bookmarkEnd w:id="9"/>
    </w:p>
    <w:p w:rsidR="00192C33" w:rsidRPr="00D50D44" w:rsidP="00D62C95">
      <w:pPr>
        <w:bidi w:val="0"/>
        <w:spacing w:after="0"/>
        <w:jc w:val="both"/>
        <w:rPr>
          <w:rFonts w:ascii="Times New Roman" w:hAnsi="Times New Roman" w:cs="Times New Roman"/>
          <w:szCs w:val="24"/>
        </w:rPr>
      </w:pPr>
    </w:p>
    <w:p w:rsidR="00652BDA" w:rsidP="00D62C95">
      <w:pPr>
        <w:bidi w:val="0"/>
        <w:spacing w:after="0"/>
        <w:ind w:firstLine="709"/>
        <w:jc w:val="both"/>
        <w:rPr>
          <w:rFonts w:ascii="Times New Roman" w:hAnsi="Times New Roman" w:cs="Times New Roman"/>
        </w:rPr>
      </w:pPr>
      <w:r w:rsidRPr="00D50D44" w:rsidR="00333566">
        <w:rPr>
          <w:rFonts w:ascii="Times New Roman" w:hAnsi="Times New Roman" w:cs="Times New Roman"/>
        </w:rPr>
        <w:t>V prípade nedodržiavania podmienok prideľovania podpory zo štrukturálnych fondov č</w:t>
      </w:r>
      <w:r w:rsidRPr="00D50D44" w:rsidR="00FE1661">
        <w:rPr>
          <w:rFonts w:ascii="Times New Roman" w:hAnsi="Times New Roman" w:cs="Times New Roman"/>
        </w:rPr>
        <w:t xml:space="preserve">lenské štáty musia </w:t>
      </w:r>
      <w:r w:rsidRPr="00D50D44" w:rsidR="007971C1">
        <w:rPr>
          <w:rFonts w:ascii="Times New Roman" w:hAnsi="Times New Roman" w:cs="Times New Roman"/>
        </w:rPr>
        <w:t xml:space="preserve">uplatňovať finančné korekcie voči </w:t>
      </w:r>
      <w:r w:rsidR="00983293">
        <w:rPr>
          <w:rFonts w:ascii="Times New Roman" w:hAnsi="Times New Roman" w:cs="Times New Roman"/>
        </w:rPr>
        <w:t>prijímateľom</w:t>
      </w:r>
      <w:r w:rsidRPr="00D50D44" w:rsidR="00FE1661">
        <w:rPr>
          <w:rFonts w:ascii="Times New Roman" w:hAnsi="Times New Roman" w:cs="Times New Roman"/>
        </w:rPr>
        <w:t xml:space="preserve"> fondov. Tieto korekcie vykonané členským štátom </w:t>
      </w:r>
      <w:r w:rsidRPr="00D50D44" w:rsidR="00E43AD4">
        <w:rPr>
          <w:rFonts w:ascii="Times New Roman" w:hAnsi="Times New Roman" w:cs="Times New Roman"/>
        </w:rPr>
        <w:t>a schválené E</w:t>
      </w:r>
      <w:r w:rsidR="00BA0258">
        <w:rPr>
          <w:rFonts w:ascii="Times New Roman" w:hAnsi="Times New Roman" w:cs="Times New Roman"/>
        </w:rPr>
        <w:t>K</w:t>
      </w:r>
      <w:r w:rsidRPr="00D50D44" w:rsidR="00E43AD4">
        <w:rPr>
          <w:rFonts w:ascii="Times New Roman" w:hAnsi="Times New Roman" w:cs="Times New Roman"/>
        </w:rPr>
        <w:t xml:space="preserve"> </w:t>
      </w:r>
      <w:r w:rsidRPr="00D50D44" w:rsidR="00FE1661">
        <w:rPr>
          <w:rFonts w:ascii="Times New Roman" w:hAnsi="Times New Roman" w:cs="Times New Roman"/>
        </w:rPr>
        <w:t>spočívajú v zrušení celého príspevku alebo jeho časti. Príspevok, ktorý sa týmto spôsobom uvoľnil, môže byť členským štátom opätovne použitý na dotknutú pomoc a podporu. Korekcie sú</w:t>
      </w:r>
      <w:r w:rsidRPr="00D50D44" w:rsidR="00F40A3C">
        <w:rPr>
          <w:rFonts w:ascii="Times New Roman" w:hAnsi="Times New Roman" w:cs="Times New Roman"/>
        </w:rPr>
        <w:t> </w:t>
      </w:r>
      <w:r w:rsidRPr="00D50D44" w:rsidR="00FE1661">
        <w:rPr>
          <w:rFonts w:ascii="Times New Roman" w:hAnsi="Times New Roman" w:cs="Times New Roman"/>
        </w:rPr>
        <w:t>uplatňované s c</w:t>
      </w:r>
      <w:r w:rsidRPr="00D50D44" w:rsidR="007971C1">
        <w:rPr>
          <w:rFonts w:ascii="Times New Roman" w:hAnsi="Times New Roman" w:cs="Times New Roman"/>
        </w:rPr>
        <w:t xml:space="preserve">ieľom nápravy nežiaduceho stavu a pôsobia aj preventívne. </w:t>
      </w:r>
      <w:r w:rsidRPr="00D50D44" w:rsidR="00702010">
        <w:rPr>
          <w:rFonts w:ascii="Times New Roman" w:hAnsi="Times New Roman" w:cs="Times New Roman"/>
        </w:rPr>
        <w:t>Je potrebné zdôrazniť, že udelená korekcia na</w:t>
      </w:r>
      <w:r w:rsidRPr="00D50D44" w:rsidR="00F40E59">
        <w:rPr>
          <w:rFonts w:ascii="Times New Roman" w:hAnsi="Times New Roman" w:cs="Times New Roman"/>
        </w:rPr>
        <w:t> </w:t>
      </w:r>
      <w:r w:rsidRPr="00D50D44" w:rsidR="00702010">
        <w:rPr>
          <w:rFonts w:ascii="Times New Roman" w:hAnsi="Times New Roman" w:cs="Times New Roman"/>
        </w:rPr>
        <w:t>realizovaný projekt neznamená automatické „korupčné správanie“ alebo iné protiprávne konanie. Pre ilustráciu tohto tvrdenia slúži skutočnosť, že</w:t>
      </w:r>
      <w:r w:rsidRPr="00D50D44" w:rsidR="00F40A3C">
        <w:rPr>
          <w:rFonts w:ascii="Times New Roman" w:hAnsi="Times New Roman" w:cs="Times New Roman"/>
        </w:rPr>
        <w:t> </w:t>
      </w:r>
      <w:r w:rsidRPr="00D50D44" w:rsidR="00702010">
        <w:rPr>
          <w:rFonts w:ascii="Times New Roman" w:hAnsi="Times New Roman" w:cs="Times New Roman"/>
        </w:rPr>
        <w:t>n</w:t>
      </w:r>
      <w:r w:rsidRPr="00D50D44" w:rsidR="00C87924">
        <w:rPr>
          <w:rFonts w:ascii="Times New Roman" w:hAnsi="Times New Roman" w:cs="Times New Roman"/>
        </w:rPr>
        <w:t>ajväčšia doteraz udelená systémová korekcia bola za tzv. skrátené</w:t>
      </w:r>
      <w:r w:rsidRPr="00D50D44" w:rsidR="00702010">
        <w:rPr>
          <w:rFonts w:ascii="Times New Roman" w:hAnsi="Times New Roman" w:cs="Times New Roman"/>
        </w:rPr>
        <w:t xml:space="preserve"> lehoty vo verejnom obstarávaní, </w:t>
      </w:r>
      <w:r w:rsidRPr="00D50D44" w:rsidR="00C87924">
        <w:rPr>
          <w:rFonts w:ascii="Times New Roman" w:hAnsi="Times New Roman" w:cs="Times New Roman"/>
        </w:rPr>
        <w:t>čo bolo v súlade s vnútroštátnym predpisom</w:t>
      </w:r>
      <w:r w:rsidRPr="00D50D44" w:rsidR="00702010">
        <w:rPr>
          <w:rFonts w:ascii="Times New Roman" w:hAnsi="Times New Roman" w:cs="Times New Roman"/>
        </w:rPr>
        <w:t xml:space="preserve"> SR, ale podľa auditu E</w:t>
      </w:r>
      <w:r w:rsidR="00BA0258">
        <w:rPr>
          <w:rFonts w:ascii="Times New Roman" w:hAnsi="Times New Roman" w:cs="Times New Roman"/>
        </w:rPr>
        <w:t>K</w:t>
      </w:r>
      <w:r w:rsidRPr="00D50D44" w:rsidR="00702010">
        <w:rPr>
          <w:rFonts w:ascii="Times New Roman" w:hAnsi="Times New Roman" w:cs="Times New Roman"/>
        </w:rPr>
        <w:t xml:space="preserve"> v rozpore z pravidlami EÚ.</w:t>
      </w:r>
    </w:p>
    <w:p w:rsidR="00FE1661" w:rsidRPr="00D50D44" w:rsidP="00D62C95">
      <w:pPr>
        <w:bidi w:val="0"/>
        <w:spacing w:after="0"/>
        <w:ind w:firstLine="709"/>
        <w:jc w:val="both"/>
        <w:rPr>
          <w:rFonts w:ascii="Times New Roman" w:hAnsi="Times New Roman" w:cs="Times New Roman"/>
        </w:rPr>
      </w:pPr>
      <w:r w:rsidRPr="00D50D44" w:rsidR="00C87924">
        <w:rPr>
          <w:rFonts w:ascii="Times New Roman" w:hAnsi="Times New Roman" w:cs="Times New Roman"/>
        </w:rPr>
        <w:t xml:space="preserve">  </w:t>
      </w:r>
    </w:p>
    <w:p w:rsidR="003E0DEE" w:rsidRPr="00D50D44" w:rsidP="00D62C95">
      <w:pPr>
        <w:bidi w:val="0"/>
        <w:spacing w:after="0"/>
        <w:ind w:firstLine="709"/>
        <w:jc w:val="both"/>
        <w:rPr>
          <w:rFonts w:ascii="Times New Roman" w:hAnsi="Times New Roman" w:cs="Times New Roman"/>
        </w:rPr>
      </w:pPr>
      <w:r w:rsidRPr="00D50D44" w:rsidR="00FE1661">
        <w:rPr>
          <w:rFonts w:ascii="Times New Roman" w:hAnsi="Times New Roman" w:cs="Times New Roman"/>
        </w:rPr>
        <w:t>Finančné korekcie sú v podmienkach SR prostredníctvom R</w:t>
      </w:r>
      <w:r w:rsidRPr="00D50D44" w:rsidR="00702010">
        <w:rPr>
          <w:rFonts w:ascii="Times New Roman" w:hAnsi="Times New Roman" w:cs="Times New Roman"/>
        </w:rPr>
        <w:t>O</w:t>
      </w:r>
      <w:r w:rsidRPr="00D50D44" w:rsidR="00FE1661">
        <w:rPr>
          <w:rFonts w:ascii="Times New Roman" w:hAnsi="Times New Roman" w:cs="Times New Roman"/>
        </w:rPr>
        <w:t xml:space="preserve"> štandardne vymáhané od</w:t>
      </w:r>
      <w:r w:rsidRPr="00D50D44" w:rsidR="00F40E59">
        <w:rPr>
          <w:rFonts w:ascii="Times New Roman" w:hAnsi="Times New Roman" w:cs="Times New Roman"/>
        </w:rPr>
        <w:t> </w:t>
      </w:r>
      <w:r w:rsidRPr="00D50D44" w:rsidR="00FE1661">
        <w:rPr>
          <w:rFonts w:ascii="Times New Roman" w:hAnsi="Times New Roman" w:cs="Times New Roman"/>
        </w:rPr>
        <w:t>prijímateľov pomoci. V prípade, že už bol projekt kompletne prefinancovaný z fondov EÚ, znamená to, že síce v </w:t>
      </w:r>
      <w:r w:rsidR="00BA0258">
        <w:rPr>
          <w:rFonts w:ascii="Times New Roman" w:hAnsi="Times New Roman" w:cs="Times New Roman"/>
        </w:rPr>
        <w:t xml:space="preserve">prvej fáze „platí štát“ (vo vzťahu k </w:t>
      </w:r>
      <w:r w:rsidRPr="00D50D44" w:rsidR="00702010">
        <w:rPr>
          <w:rFonts w:ascii="Times New Roman" w:hAnsi="Times New Roman" w:cs="Times New Roman"/>
        </w:rPr>
        <w:t>E</w:t>
      </w:r>
      <w:r w:rsidR="00BA0258">
        <w:rPr>
          <w:rFonts w:ascii="Times New Roman" w:hAnsi="Times New Roman" w:cs="Times New Roman"/>
        </w:rPr>
        <w:t>K</w:t>
      </w:r>
      <w:r w:rsidRPr="00D50D44" w:rsidR="00702010">
        <w:rPr>
          <w:rFonts w:ascii="Times New Roman" w:hAnsi="Times New Roman" w:cs="Times New Roman"/>
        </w:rPr>
        <w:t xml:space="preserve"> </w:t>
      </w:r>
      <w:r w:rsidRPr="00D50D44" w:rsidR="00FE1661">
        <w:rPr>
          <w:rFonts w:ascii="Times New Roman" w:hAnsi="Times New Roman" w:cs="Times New Roman"/>
        </w:rPr>
        <w:t>koná MF SR)</w:t>
      </w:r>
      <w:r w:rsidRPr="00D50D44" w:rsidR="00702010">
        <w:rPr>
          <w:rFonts w:ascii="Times New Roman" w:hAnsi="Times New Roman" w:cs="Times New Roman"/>
        </w:rPr>
        <w:t>, ale</w:t>
      </w:r>
      <w:r w:rsidRPr="00D50D44" w:rsidR="00FE1661">
        <w:rPr>
          <w:rFonts w:ascii="Times New Roman" w:hAnsi="Times New Roman" w:cs="Times New Roman"/>
        </w:rPr>
        <w:t> v druhej fáze</w:t>
      </w:r>
      <w:r w:rsidRPr="00D50D44" w:rsidR="00702010">
        <w:rPr>
          <w:rFonts w:ascii="Times New Roman" w:hAnsi="Times New Roman" w:cs="Times New Roman"/>
        </w:rPr>
        <w:t xml:space="preserve"> sa tieto prostriedky vymáhajú  od prijímateľov a v prípade ich vymoženia </w:t>
      </w:r>
      <w:r w:rsidRPr="00D50D44" w:rsidR="00FE1661">
        <w:rPr>
          <w:rFonts w:ascii="Times New Roman" w:hAnsi="Times New Roman" w:cs="Times New Roman"/>
        </w:rPr>
        <w:t>sa vrátia</w:t>
      </w:r>
      <w:r w:rsidRPr="00D50D44" w:rsidR="00702010">
        <w:rPr>
          <w:rFonts w:ascii="Times New Roman" w:hAnsi="Times New Roman" w:cs="Times New Roman"/>
        </w:rPr>
        <w:t xml:space="preserve"> </w:t>
      </w:r>
      <w:r w:rsidRPr="00D50D44" w:rsidR="00FE1661">
        <w:rPr>
          <w:rFonts w:ascii="Times New Roman" w:hAnsi="Times New Roman" w:cs="Times New Roman"/>
        </w:rPr>
        <w:t>do</w:t>
      </w:r>
      <w:r w:rsidRPr="00D50D44" w:rsidR="00F40E59">
        <w:rPr>
          <w:rFonts w:ascii="Times New Roman" w:hAnsi="Times New Roman" w:cs="Times New Roman"/>
        </w:rPr>
        <w:t> </w:t>
      </w:r>
      <w:r w:rsidRPr="00D50D44" w:rsidR="00FE1661">
        <w:rPr>
          <w:rFonts w:ascii="Times New Roman" w:hAnsi="Times New Roman" w:cs="Times New Roman"/>
        </w:rPr>
        <w:t xml:space="preserve">štátneho rozpočtu. V prípade, že projekt ešte nebol kompletne prefinancovaný z fondov EÚ, </w:t>
      </w:r>
      <w:r w:rsidRPr="00D50D44" w:rsidR="00702010">
        <w:rPr>
          <w:rFonts w:ascii="Times New Roman" w:hAnsi="Times New Roman" w:cs="Times New Roman"/>
        </w:rPr>
        <w:t>RO</w:t>
      </w:r>
      <w:r w:rsidRPr="00D50D44" w:rsidR="00FE1661">
        <w:rPr>
          <w:rFonts w:ascii="Times New Roman" w:hAnsi="Times New Roman" w:cs="Times New Roman"/>
        </w:rPr>
        <w:t xml:space="preserve"> pristupuje ku kráteniu žiadosti o platbu o príslušnú výšku korekcie. V takomto prípade to</w:t>
      </w:r>
      <w:r w:rsidRPr="00D50D44" w:rsidR="00F40E59">
        <w:rPr>
          <w:rFonts w:ascii="Times New Roman" w:hAnsi="Times New Roman" w:cs="Times New Roman"/>
        </w:rPr>
        <w:t> </w:t>
      </w:r>
      <w:r w:rsidRPr="00D50D44" w:rsidR="00FE1661">
        <w:rPr>
          <w:rFonts w:ascii="Times New Roman" w:hAnsi="Times New Roman" w:cs="Times New Roman"/>
        </w:rPr>
        <w:t xml:space="preserve">nemá žiadny vplyv na štátny rozpočet. Problematickejší sú prijímatelia z verejného sektora, </w:t>
      </w:r>
      <w:r w:rsidR="000F7639">
        <w:rPr>
          <w:rFonts w:ascii="Times New Roman" w:hAnsi="Times New Roman" w:cs="Times New Roman"/>
        </w:rPr>
        <w:t xml:space="preserve">keďže </w:t>
      </w:r>
      <w:r w:rsidRPr="00D50D44" w:rsidR="00FE1661">
        <w:rPr>
          <w:rFonts w:ascii="Times New Roman" w:hAnsi="Times New Roman" w:cs="Times New Roman"/>
        </w:rPr>
        <w:t xml:space="preserve">títo sú napojení na štátny rozpočet SR. </w:t>
      </w:r>
      <w:r w:rsidRPr="00D50D44" w:rsidR="00702010">
        <w:rPr>
          <w:rFonts w:ascii="Times New Roman" w:hAnsi="Times New Roman" w:cs="Times New Roman"/>
        </w:rPr>
        <w:t xml:space="preserve">Je však potrebné poznamenať, že </w:t>
      </w:r>
      <w:r w:rsidRPr="00D50D44" w:rsidR="00FE1661">
        <w:rPr>
          <w:rFonts w:ascii="Times New Roman" w:hAnsi="Times New Roman" w:cs="Times New Roman"/>
        </w:rPr>
        <w:t xml:space="preserve">za porušenia musí v zmysle podmienok stanovených </w:t>
      </w:r>
      <w:r w:rsidRPr="00D50D44" w:rsidR="00702010">
        <w:rPr>
          <w:rFonts w:ascii="Times New Roman" w:hAnsi="Times New Roman" w:cs="Times New Roman"/>
        </w:rPr>
        <w:t>z</w:t>
      </w:r>
      <w:r w:rsidRPr="00D50D44" w:rsidR="00FE1661">
        <w:rPr>
          <w:rFonts w:ascii="Times New Roman" w:hAnsi="Times New Roman" w:cs="Times New Roman"/>
        </w:rPr>
        <w:t xml:space="preserve">mluvou o nenávratnom finančnom príspevku niesť plnú zodpovednosť konkrétny prijímateľ vrátane sankcií. </w:t>
      </w:r>
    </w:p>
    <w:p w:rsidR="00FE1661" w:rsidRPr="00D50D44" w:rsidP="00D62C95">
      <w:pPr>
        <w:bidi w:val="0"/>
        <w:spacing w:after="0"/>
        <w:ind w:firstLine="709"/>
        <w:jc w:val="both"/>
        <w:rPr>
          <w:rFonts w:ascii="Times New Roman" w:hAnsi="Times New Roman" w:cs="Times New Roman"/>
        </w:rPr>
      </w:pPr>
      <w:r w:rsidRPr="00D50D44">
        <w:rPr>
          <w:rFonts w:ascii="Times New Roman" w:hAnsi="Times New Roman" w:cs="Times New Roman"/>
        </w:rPr>
        <w:t xml:space="preserve"> </w:t>
      </w:r>
    </w:p>
    <w:p w:rsidR="00FE1661" w:rsidRPr="00D50D44" w:rsidP="00D62C95">
      <w:pPr>
        <w:bidi w:val="0"/>
        <w:spacing w:after="0"/>
        <w:ind w:firstLine="709"/>
        <w:jc w:val="both"/>
        <w:rPr>
          <w:rFonts w:ascii="Times New Roman" w:hAnsi="Times New Roman" w:cs="Times New Roman"/>
        </w:rPr>
      </w:pPr>
      <w:r w:rsidRPr="00D50D44">
        <w:rPr>
          <w:rFonts w:ascii="Times New Roman" w:hAnsi="Times New Roman" w:cs="Times New Roman"/>
        </w:rPr>
        <w:t>Finančné prostriedky získané z  korekcií dokáže štát ešte následne využiť</w:t>
      </w:r>
      <w:r w:rsidR="003A3E54">
        <w:rPr>
          <w:rFonts w:ascii="Times New Roman" w:hAnsi="Times New Roman" w:cs="Times New Roman"/>
        </w:rPr>
        <w:t>,</w:t>
      </w:r>
      <w:r w:rsidRPr="00D50D44">
        <w:rPr>
          <w:rFonts w:ascii="Times New Roman" w:hAnsi="Times New Roman" w:cs="Times New Roman"/>
        </w:rPr>
        <w:t xml:space="preserve"> a to napr. na už hotové projekty, resp. už zrealizované projekty, na fázovanie veľkých a malých projektov, v rámci iniciatívy  JESSICA na  zateplenie </w:t>
      </w:r>
      <w:r w:rsidR="007833B0">
        <w:rPr>
          <w:rFonts w:ascii="Times New Roman" w:hAnsi="Times New Roman" w:cs="Times New Roman"/>
        </w:rPr>
        <w:t>bytových domov v</w:t>
      </w:r>
      <w:r w:rsidR="000F7639">
        <w:rPr>
          <w:rFonts w:ascii="Times New Roman" w:hAnsi="Times New Roman" w:cs="Times New Roman"/>
        </w:rPr>
        <w:t> </w:t>
      </w:r>
      <w:r w:rsidR="007833B0">
        <w:rPr>
          <w:rFonts w:ascii="Times New Roman" w:hAnsi="Times New Roman" w:cs="Times New Roman"/>
        </w:rPr>
        <w:t>mestách</w:t>
      </w:r>
      <w:r w:rsidR="000F7639">
        <w:rPr>
          <w:rFonts w:ascii="Times New Roman" w:hAnsi="Times New Roman" w:cs="Times New Roman"/>
        </w:rPr>
        <w:t xml:space="preserve"> </w:t>
      </w:r>
      <w:r w:rsidRPr="00D50D44" w:rsidR="00702010">
        <w:rPr>
          <w:rFonts w:ascii="Times New Roman" w:hAnsi="Times New Roman" w:cs="Times New Roman"/>
        </w:rPr>
        <w:t>a</w:t>
      </w:r>
      <w:r w:rsidRPr="00D50D44" w:rsidR="003E0DEE">
        <w:rPr>
          <w:rFonts w:ascii="Times New Roman" w:hAnsi="Times New Roman" w:cs="Times New Roman"/>
        </w:rPr>
        <w:t xml:space="preserve"> </w:t>
      </w:r>
      <w:r w:rsidRPr="00D50D44" w:rsidR="00702010">
        <w:rPr>
          <w:rFonts w:ascii="Times New Roman" w:hAnsi="Times New Roman" w:cs="Times New Roman"/>
        </w:rPr>
        <w:t xml:space="preserve">pod.  </w:t>
      </w:r>
    </w:p>
    <w:p w:rsidR="00FE1661" w:rsidRPr="00D50D44" w:rsidP="00D62C95">
      <w:pPr>
        <w:bidi w:val="0"/>
        <w:spacing w:after="0"/>
        <w:rPr>
          <w:rFonts w:ascii="Times New Roman" w:hAnsi="Times New Roman" w:cs="Times New Roman"/>
          <w:sz w:val="20"/>
        </w:rPr>
      </w:pPr>
    </w:p>
    <w:p w:rsidR="00E43AD4" w:rsidRPr="00D50D44" w:rsidP="00E43AD4">
      <w:pPr>
        <w:bidi w:val="0"/>
        <w:spacing w:after="0"/>
        <w:ind w:firstLine="708"/>
        <w:jc w:val="both"/>
        <w:rPr>
          <w:rFonts w:ascii="Times New Roman" w:hAnsi="Times New Roman" w:cs="Times New Roman"/>
        </w:rPr>
      </w:pPr>
      <w:r w:rsidRPr="00D50D44">
        <w:rPr>
          <w:rFonts w:ascii="Times New Roman" w:hAnsi="Times New Roman" w:cs="Times New Roman"/>
        </w:rPr>
        <w:t xml:space="preserve">Vo vzťahu ku korekciám platí, že žiadny členský štát implementujúci ŠF a KF, nie je schopný implementovať tieto fondy bez korekcií. Je tiež evidentné a preukázateľné, že k pochybeniam, ktorých dôsledkom sú korekcie, dochádza </w:t>
      </w:r>
      <w:r w:rsidR="00983293">
        <w:rPr>
          <w:rFonts w:ascii="Times New Roman" w:hAnsi="Times New Roman" w:cs="Times New Roman"/>
        </w:rPr>
        <w:t>rovnomerne</w:t>
      </w:r>
      <w:r w:rsidRPr="00D50D44">
        <w:rPr>
          <w:rFonts w:ascii="Times New Roman" w:hAnsi="Times New Roman" w:cs="Times New Roman"/>
        </w:rPr>
        <w:t xml:space="preserve"> počas celej dĺžky programového obdobia, pričom ich výška závisí najmä od objemu čerpania alokovaných zdrojov a je </w:t>
      </w:r>
      <w:r w:rsidR="00983293">
        <w:rPr>
          <w:rFonts w:ascii="Times New Roman" w:hAnsi="Times New Roman" w:cs="Times New Roman"/>
        </w:rPr>
        <w:t>„</w:t>
      </w:r>
      <w:r w:rsidRPr="00D50D44">
        <w:rPr>
          <w:rFonts w:ascii="Times New Roman" w:hAnsi="Times New Roman" w:cs="Times New Roman"/>
        </w:rPr>
        <w:t>nezávislá</w:t>
      </w:r>
      <w:r w:rsidR="00983293">
        <w:rPr>
          <w:rFonts w:ascii="Times New Roman" w:hAnsi="Times New Roman" w:cs="Times New Roman"/>
        </w:rPr>
        <w:t>“</w:t>
      </w:r>
      <w:r w:rsidRPr="00D50D44">
        <w:rPr>
          <w:rFonts w:ascii="Times New Roman" w:hAnsi="Times New Roman" w:cs="Times New Roman"/>
        </w:rPr>
        <w:t xml:space="preserve"> od politického cyklu. </w:t>
      </w:r>
    </w:p>
    <w:p w:rsidR="00E43AD4" w:rsidRPr="00D50D44" w:rsidP="00D62C95">
      <w:pPr>
        <w:bidi w:val="0"/>
        <w:spacing w:after="0"/>
        <w:rPr>
          <w:rFonts w:ascii="Times New Roman" w:hAnsi="Times New Roman" w:cs="Times New Roman"/>
          <w:sz w:val="20"/>
        </w:rPr>
      </w:pPr>
    </w:p>
    <w:p w:rsidR="00740A6C" w:rsidRPr="00D50D44" w:rsidP="00D62C95">
      <w:pPr>
        <w:pStyle w:val="Heading2"/>
        <w:numPr>
          <w:numId w:val="36"/>
        </w:numPr>
        <w:bidi w:val="0"/>
        <w:spacing w:before="0"/>
        <w:rPr>
          <w:rFonts w:ascii="Times New Roman" w:hAnsi="Times New Roman" w:cs="Times New Roman"/>
        </w:rPr>
      </w:pPr>
      <w:bookmarkStart w:id="10" w:name="_Toc419481415"/>
      <w:r w:rsidRPr="00D50D44" w:rsidR="00FE1661">
        <w:rPr>
          <w:rFonts w:ascii="Times New Roman" w:hAnsi="Times New Roman" w:cs="Times New Roman" w:hint="default"/>
        </w:rPr>
        <w:t>Zá</w:t>
      </w:r>
      <w:r w:rsidRPr="00D50D44" w:rsidR="00FE1661">
        <w:rPr>
          <w:rFonts w:ascii="Times New Roman" w:hAnsi="Times New Roman" w:cs="Times New Roman" w:hint="default"/>
        </w:rPr>
        <w:t>ver</w:t>
      </w:r>
      <w:bookmarkEnd w:id="10"/>
    </w:p>
    <w:p w:rsidR="00D84102" w:rsidRPr="00D50D44" w:rsidP="00D62C95">
      <w:pPr>
        <w:bidi w:val="0"/>
        <w:spacing w:after="0"/>
        <w:ind w:left="360"/>
        <w:jc w:val="both"/>
        <w:rPr>
          <w:rFonts w:ascii="Times New Roman" w:hAnsi="Times New Roman" w:cs="Times New Roman"/>
          <w:b/>
          <w:bCs/>
          <w:i/>
        </w:rPr>
      </w:pPr>
    </w:p>
    <w:p w:rsidR="00810EED" w:rsidRPr="00D50D44" w:rsidP="00D62C95">
      <w:pPr>
        <w:bidi w:val="0"/>
        <w:spacing w:after="0"/>
        <w:ind w:firstLine="708"/>
        <w:jc w:val="both"/>
        <w:rPr>
          <w:rFonts w:ascii="Times New Roman" w:hAnsi="Times New Roman" w:cs="Times New Roman"/>
        </w:rPr>
      </w:pPr>
      <w:r w:rsidRPr="00D50D44">
        <w:rPr>
          <w:rFonts w:ascii="Times New Roman" w:hAnsi="Times New Roman" w:cs="Times New Roman"/>
        </w:rPr>
        <w:t xml:space="preserve">V programovom období 2007–2013 vláda SR vytvorila všetky predpoklady na úspešnú implementáciu  programového obdobia, čoho výsledkom je miera kontrahovania na úrovni 107,12 %.  Keďže programové obdobie </w:t>
      </w:r>
      <w:r w:rsidR="00503FDB">
        <w:rPr>
          <w:rFonts w:ascii="Times New Roman" w:hAnsi="Times New Roman" w:cs="Times New Roman"/>
        </w:rPr>
        <w:t>2007</w:t>
      </w:r>
      <w:r w:rsidR="003A3E54">
        <w:rPr>
          <w:rFonts w:ascii="Times New Roman" w:hAnsi="Times New Roman" w:cs="Times New Roman"/>
        </w:rPr>
        <w:t xml:space="preserve"> </w:t>
      </w:r>
      <w:r w:rsidR="00503FDB">
        <w:rPr>
          <w:rFonts w:ascii="Times New Roman" w:hAnsi="Times New Roman" w:cs="Times New Roman"/>
        </w:rPr>
        <w:t>-</w:t>
      </w:r>
      <w:r w:rsidR="003A3E54">
        <w:rPr>
          <w:rFonts w:ascii="Times New Roman" w:hAnsi="Times New Roman" w:cs="Times New Roman"/>
        </w:rPr>
        <w:t xml:space="preserve"> </w:t>
      </w:r>
      <w:r w:rsidR="00503FDB">
        <w:rPr>
          <w:rFonts w:ascii="Times New Roman" w:hAnsi="Times New Roman" w:cs="Times New Roman"/>
        </w:rPr>
        <w:t>2013</w:t>
      </w:r>
      <w:r w:rsidRPr="00D50D44">
        <w:rPr>
          <w:rFonts w:ascii="Times New Roman" w:hAnsi="Times New Roman" w:cs="Times New Roman"/>
        </w:rPr>
        <w:t xml:space="preserve"> je historicky prvým sedemročným implementačným obdobím, samotné čerpanie </w:t>
      </w:r>
      <w:r w:rsidRPr="00D50D44" w:rsidR="00A27A09">
        <w:rPr>
          <w:rFonts w:ascii="Times New Roman" w:hAnsi="Times New Roman" w:cs="Times New Roman"/>
        </w:rPr>
        <w:t xml:space="preserve">fondov EÚ </w:t>
      </w:r>
      <w:r w:rsidRPr="00D50D44">
        <w:rPr>
          <w:rFonts w:ascii="Times New Roman" w:hAnsi="Times New Roman" w:cs="Times New Roman"/>
        </w:rPr>
        <w:t>bolo poznačené aj určitými problém</w:t>
      </w:r>
      <w:r w:rsidR="003A3E54">
        <w:rPr>
          <w:rFonts w:ascii="Times New Roman" w:hAnsi="Times New Roman" w:cs="Times New Roman"/>
        </w:rPr>
        <w:t>ami, ktoré sú popísané v tejto s</w:t>
      </w:r>
      <w:r w:rsidRPr="00D50D44">
        <w:rPr>
          <w:rFonts w:ascii="Times New Roman" w:hAnsi="Times New Roman" w:cs="Times New Roman"/>
        </w:rPr>
        <w:t>práve. S cieľom zvýšiť mieru čerpania a tým znížiť disponibilný záväzok NSRR, vláda SR v úzkej súčinnosti s E</w:t>
      </w:r>
      <w:r w:rsidR="00BA0258">
        <w:rPr>
          <w:rFonts w:ascii="Times New Roman" w:hAnsi="Times New Roman" w:cs="Times New Roman"/>
        </w:rPr>
        <w:t>K</w:t>
      </w:r>
      <w:r w:rsidRPr="00D50D44">
        <w:rPr>
          <w:rFonts w:ascii="Times New Roman" w:hAnsi="Times New Roman" w:cs="Times New Roman"/>
        </w:rPr>
        <w:t xml:space="preserve"> prijala celý rad dodatočných opatrení s</w:t>
      </w:r>
      <w:r w:rsidR="003A3E54">
        <w:rPr>
          <w:rFonts w:ascii="Times New Roman" w:hAnsi="Times New Roman" w:cs="Times New Roman"/>
        </w:rPr>
        <w:t> </w:t>
      </w:r>
      <w:r w:rsidRPr="00D50D44">
        <w:rPr>
          <w:rFonts w:ascii="Times New Roman" w:hAnsi="Times New Roman" w:cs="Times New Roman"/>
        </w:rPr>
        <w:t>európskou</w:t>
      </w:r>
      <w:r w:rsidR="003A3E54">
        <w:rPr>
          <w:rFonts w:ascii="Times New Roman" w:hAnsi="Times New Roman" w:cs="Times New Roman"/>
        </w:rPr>
        <w:t>,</w:t>
      </w:r>
      <w:r w:rsidRPr="00D50D44">
        <w:rPr>
          <w:rFonts w:ascii="Times New Roman" w:hAnsi="Times New Roman" w:cs="Times New Roman"/>
        </w:rPr>
        <w:t xml:space="preserve"> ako aj národnou dimenziou, vrátane  tzv. nástrojov  flexibility</w:t>
      </w:r>
      <w:r w:rsidRPr="00D50D44" w:rsidR="0031554D">
        <w:rPr>
          <w:rFonts w:ascii="Times New Roman" w:hAnsi="Times New Roman" w:cs="Times New Roman"/>
        </w:rPr>
        <w:t xml:space="preserve"> v rámci platnej európskej legislatívy</w:t>
      </w:r>
      <w:r w:rsidRPr="00D50D44">
        <w:rPr>
          <w:rFonts w:ascii="Times New Roman" w:hAnsi="Times New Roman" w:cs="Times New Roman"/>
        </w:rPr>
        <w:t xml:space="preserve">. </w:t>
      </w:r>
    </w:p>
    <w:p w:rsidR="00810EED" w:rsidRPr="00D50D44" w:rsidP="00D62C95">
      <w:pPr>
        <w:bidi w:val="0"/>
        <w:spacing w:after="0"/>
        <w:ind w:firstLine="360"/>
        <w:jc w:val="both"/>
        <w:rPr>
          <w:rFonts w:ascii="Times New Roman" w:hAnsi="Times New Roman" w:cs="Times New Roman"/>
        </w:rPr>
      </w:pPr>
    </w:p>
    <w:p w:rsidR="00810EED" w:rsidRPr="00D50D44" w:rsidP="001B4A28">
      <w:pPr>
        <w:bidi w:val="0"/>
        <w:spacing w:after="0"/>
        <w:ind w:firstLine="708"/>
        <w:jc w:val="both"/>
        <w:rPr>
          <w:rFonts w:ascii="Times New Roman" w:hAnsi="Times New Roman" w:cs="Times New Roman"/>
        </w:rPr>
      </w:pPr>
      <w:r w:rsidRPr="00D50D44">
        <w:rPr>
          <w:rFonts w:ascii="Times New Roman" w:hAnsi="Times New Roman" w:cs="Times New Roman"/>
        </w:rPr>
        <w:t xml:space="preserve">Slovenská republika ako člen Task Force identifikovala </w:t>
      </w:r>
      <w:r w:rsidR="00983293">
        <w:rPr>
          <w:rFonts w:ascii="Times New Roman" w:hAnsi="Times New Roman" w:cs="Times New Roman"/>
        </w:rPr>
        <w:t>6</w:t>
      </w:r>
      <w:r w:rsidRPr="00D50D44">
        <w:rPr>
          <w:rFonts w:ascii="Times New Roman" w:hAnsi="Times New Roman" w:cs="Times New Roman"/>
        </w:rPr>
        <w:t xml:space="preserve"> operačných programov, pri ktorých existuje riziko nevyčerpania ich alokácie. Riadiace orgány, v ktorých pôsobnosti sú tieto operačné programy, vypracovali a E</w:t>
      </w:r>
      <w:r w:rsidR="00BA0258">
        <w:rPr>
          <w:rFonts w:ascii="Times New Roman" w:hAnsi="Times New Roman" w:cs="Times New Roman"/>
        </w:rPr>
        <w:t>K</w:t>
      </w:r>
      <w:r w:rsidRPr="00D50D44">
        <w:rPr>
          <w:rFonts w:ascii="Times New Roman" w:hAnsi="Times New Roman" w:cs="Times New Roman"/>
        </w:rPr>
        <w:t xml:space="preserve"> predložili tzv. akčné plány</w:t>
      </w:r>
      <w:r w:rsidR="001F664A">
        <w:rPr>
          <w:rFonts w:ascii="Times New Roman" w:hAnsi="Times New Roman" w:cs="Times New Roman"/>
        </w:rPr>
        <w:t xml:space="preserve"> </w:t>
      </w:r>
      <w:r w:rsidRPr="00D50D44">
        <w:rPr>
          <w:rFonts w:ascii="Times New Roman" w:hAnsi="Times New Roman" w:cs="Times New Roman"/>
        </w:rPr>
        <w:t>obsahujú</w:t>
      </w:r>
      <w:r w:rsidR="001F664A">
        <w:rPr>
          <w:rFonts w:ascii="Times New Roman" w:hAnsi="Times New Roman" w:cs="Times New Roman"/>
        </w:rPr>
        <w:t>ce</w:t>
      </w:r>
      <w:r w:rsidRPr="00D50D44">
        <w:rPr>
          <w:rFonts w:ascii="Times New Roman" w:hAnsi="Times New Roman" w:cs="Times New Roman"/>
        </w:rPr>
        <w:t xml:space="preserve"> aj prognózu dočerpania alokácií v súlade s podmienkami oprávnenosti.  Na</w:t>
      </w:r>
      <w:r w:rsidRPr="00D50D44" w:rsidR="00391B1E">
        <w:rPr>
          <w:rFonts w:ascii="Times New Roman" w:hAnsi="Times New Roman" w:cs="Times New Roman"/>
        </w:rPr>
        <w:t> </w:t>
      </w:r>
      <w:r w:rsidRPr="00D50D44">
        <w:rPr>
          <w:rFonts w:ascii="Times New Roman" w:hAnsi="Times New Roman" w:cs="Times New Roman"/>
        </w:rPr>
        <w:t>základe uvedených akčných plánov</w:t>
      </w:r>
      <w:r w:rsidRPr="00D50D44" w:rsidR="00E43AD4">
        <w:rPr>
          <w:rFonts w:ascii="Times New Roman" w:hAnsi="Times New Roman" w:cs="Times New Roman"/>
        </w:rPr>
        <w:t xml:space="preserve">, ktoré zohľadňujú všetky opatrenia prijaté na európskej </w:t>
      </w:r>
      <w:r w:rsidR="001F664A">
        <w:rPr>
          <w:rFonts w:ascii="Times New Roman" w:hAnsi="Times New Roman" w:cs="Times New Roman"/>
        </w:rPr>
        <w:t xml:space="preserve">a </w:t>
      </w:r>
      <w:r w:rsidRPr="00D50D44" w:rsidR="00E43AD4">
        <w:rPr>
          <w:rFonts w:ascii="Times New Roman" w:hAnsi="Times New Roman" w:cs="Times New Roman"/>
        </w:rPr>
        <w:t xml:space="preserve">aj na národnej úrovni boli identifikované tri </w:t>
      </w:r>
      <w:r w:rsidRPr="00D50D44">
        <w:rPr>
          <w:rFonts w:ascii="Times New Roman" w:hAnsi="Times New Roman" w:cs="Times New Roman"/>
        </w:rPr>
        <w:t>OP, ktoré deklarovali riziko nedočerpania v celkovej výške cca</w:t>
      </w:r>
      <w:r w:rsidRPr="00D50D44" w:rsidR="00F40E59">
        <w:rPr>
          <w:rFonts w:ascii="Times New Roman" w:hAnsi="Times New Roman" w:cs="Times New Roman"/>
        </w:rPr>
        <w:t xml:space="preserve"> </w:t>
      </w:r>
      <w:r w:rsidRPr="00D50D44">
        <w:rPr>
          <w:rFonts w:ascii="Times New Roman" w:hAnsi="Times New Roman" w:cs="Times New Roman"/>
        </w:rPr>
        <w:t>273 mil</w:t>
      </w:r>
      <w:r w:rsidRPr="00D50D44" w:rsidR="00363E95">
        <w:rPr>
          <w:rFonts w:ascii="Times New Roman" w:hAnsi="Times New Roman" w:cs="Times New Roman"/>
        </w:rPr>
        <w:t>. EUR (OP ŽP, OP KaHR</w:t>
      </w:r>
      <w:r w:rsidRPr="00D50D44" w:rsidR="00C267AD">
        <w:rPr>
          <w:rFonts w:ascii="Times New Roman" w:hAnsi="Times New Roman" w:cs="Times New Roman"/>
        </w:rPr>
        <w:t xml:space="preserve"> a OP V). </w:t>
      </w:r>
      <w:r w:rsidRPr="00D50D44" w:rsidR="007971C1">
        <w:rPr>
          <w:rFonts w:ascii="Times New Roman" w:hAnsi="Times New Roman" w:cs="Times New Roman"/>
        </w:rPr>
        <w:t xml:space="preserve">Ďalšie znižovanie rozdielu </w:t>
      </w:r>
      <w:r w:rsidRPr="00D50D44">
        <w:rPr>
          <w:rFonts w:ascii="Times New Roman" w:hAnsi="Times New Roman" w:cs="Times New Roman"/>
        </w:rPr>
        <w:t xml:space="preserve">medzi mierou kontrahovania a mierou čerpania je v súčasnosti </w:t>
      </w:r>
      <w:r w:rsidRPr="00D50D44" w:rsidR="00C267AD">
        <w:rPr>
          <w:rFonts w:ascii="Times New Roman" w:hAnsi="Times New Roman" w:cs="Times New Roman"/>
        </w:rPr>
        <w:t xml:space="preserve">takmer výlučnou </w:t>
      </w:r>
      <w:r w:rsidRPr="00D50D44">
        <w:rPr>
          <w:rFonts w:ascii="Times New Roman" w:hAnsi="Times New Roman" w:cs="Times New Roman"/>
        </w:rPr>
        <w:t>zodpovednosťou prijímateľov</w:t>
      </w:r>
      <w:r w:rsidRPr="00D50D44" w:rsidR="00A27A09">
        <w:rPr>
          <w:rFonts w:ascii="Times New Roman" w:hAnsi="Times New Roman" w:cs="Times New Roman"/>
        </w:rPr>
        <w:t xml:space="preserve"> (súkromný sektor, samospráva)</w:t>
      </w:r>
      <w:r w:rsidR="009B7D69">
        <w:rPr>
          <w:rFonts w:ascii="Times New Roman" w:hAnsi="Times New Roman" w:cs="Times New Roman"/>
        </w:rPr>
        <w:t xml:space="preserve">. Je predovšetkým v ich </w:t>
      </w:r>
      <w:r w:rsidRPr="00D50D44">
        <w:rPr>
          <w:rFonts w:ascii="Times New Roman" w:hAnsi="Times New Roman" w:cs="Times New Roman"/>
        </w:rPr>
        <w:t>záujme využiť možnosti, ktoré im nenávratná forma pomoci z fondov EÚ ponúka, a  korektne zrealizovať a riadne ukončiť svoje projekty. Práve od  prijímateľov, ich zodpovednosti a</w:t>
      </w:r>
      <w:r w:rsidRPr="00D50D44" w:rsidR="00391B1E">
        <w:rPr>
          <w:rFonts w:ascii="Times New Roman" w:hAnsi="Times New Roman" w:cs="Times New Roman"/>
        </w:rPr>
        <w:t> </w:t>
      </w:r>
      <w:r w:rsidRPr="00D50D44">
        <w:rPr>
          <w:rFonts w:ascii="Times New Roman" w:hAnsi="Times New Roman" w:cs="Times New Roman"/>
        </w:rPr>
        <w:t xml:space="preserve">spoľahlivosti ako zmluvných partnerov vo vzťahu k fondom EÚ, závisí aj </w:t>
      </w:r>
      <w:r w:rsidRPr="00D50D44" w:rsidR="001B571B">
        <w:rPr>
          <w:rFonts w:ascii="Times New Roman" w:hAnsi="Times New Roman" w:cs="Times New Roman"/>
        </w:rPr>
        <w:t xml:space="preserve">prípadná </w:t>
      </w:r>
      <w:r w:rsidRPr="00D50D44">
        <w:rPr>
          <w:rFonts w:ascii="Times New Roman" w:hAnsi="Times New Roman" w:cs="Times New Roman"/>
        </w:rPr>
        <w:t xml:space="preserve">konečná výška nevyčerpaných zdrojov programového obdobia </w:t>
      </w:r>
      <w:r w:rsidR="00503FDB">
        <w:rPr>
          <w:rFonts w:ascii="Times New Roman" w:hAnsi="Times New Roman" w:cs="Times New Roman"/>
        </w:rPr>
        <w:t>2007 - 2013</w:t>
      </w:r>
      <w:r w:rsidRPr="00D50D44">
        <w:rPr>
          <w:rFonts w:ascii="Times New Roman" w:hAnsi="Times New Roman" w:cs="Times New Roman"/>
        </w:rPr>
        <w:t xml:space="preserve">. </w:t>
      </w:r>
    </w:p>
    <w:p w:rsidR="0013352C" w:rsidRPr="00D50D44" w:rsidP="00D62C95">
      <w:pPr>
        <w:bidi w:val="0"/>
        <w:spacing w:after="0"/>
        <w:ind w:firstLine="708"/>
        <w:jc w:val="both"/>
        <w:rPr>
          <w:rFonts w:ascii="Times New Roman" w:hAnsi="Times New Roman" w:cs="Times New Roman"/>
        </w:rPr>
      </w:pPr>
    </w:p>
    <w:p w:rsidR="00C267AD" w:rsidRPr="00D50D44" w:rsidP="001D246C">
      <w:pPr>
        <w:bidi w:val="0"/>
        <w:spacing w:after="0"/>
        <w:ind w:firstLine="708"/>
        <w:jc w:val="both"/>
        <w:rPr>
          <w:rFonts w:ascii="Times New Roman" w:hAnsi="Times New Roman" w:cs="Times New Roman"/>
        </w:rPr>
      </w:pPr>
      <w:r w:rsidRPr="00D50D44" w:rsidR="001B4A28">
        <w:rPr>
          <w:rFonts w:ascii="Times New Roman" w:hAnsi="Times New Roman" w:cs="Times New Roman"/>
        </w:rPr>
        <w:t>Vláda SR bude pokračovať</w:t>
      </w:r>
      <w:r w:rsidR="000F7639">
        <w:rPr>
          <w:rFonts w:ascii="Times New Roman" w:hAnsi="Times New Roman" w:cs="Times New Roman"/>
        </w:rPr>
        <w:t xml:space="preserve">, </w:t>
      </w:r>
      <w:r w:rsidRPr="00D50D44" w:rsidR="001B4A28">
        <w:rPr>
          <w:rFonts w:ascii="Times New Roman" w:hAnsi="Times New Roman" w:cs="Times New Roman"/>
        </w:rPr>
        <w:t>a to aj napriek svojim obmedzeným kompetenciám voči prijímateľom</w:t>
      </w:r>
      <w:r w:rsidR="000F7639">
        <w:rPr>
          <w:rFonts w:ascii="Times New Roman" w:hAnsi="Times New Roman" w:cs="Times New Roman"/>
        </w:rPr>
        <w:t xml:space="preserve">, </w:t>
      </w:r>
      <w:r w:rsidRPr="00D50D44" w:rsidR="001B4A28">
        <w:rPr>
          <w:rFonts w:ascii="Times New Roman" w:hAnsi="Times New Roman" w:cs="Times New Roman"/>
        </w:rPr>
        <w:t>vo výkone striktného monitorovania všetkých operačných programov</w:t>
      </w:r>
      <w:r w:rsidR="000F7639">
        <w:rPr>
          <w:rFonts w:ascii="Times New Roman" w:hAnsi="Times New Roman" w:cs="Times New Roman"/>
        </w:rPr>
        <w:t xml:space="preserve">, </w:t>
      </w:r>
      <w:r w:rsidRPr="00D50D44" w:rsidR="001B571B">
        <w:rPr>
          <w:rFonts w:ascii="Times New Roman" w:hAnsi="Times New Roman" w:cs="Times New Roman"/>
        </w:rPr>
        <w:t>osobitne vyššie spomínaných troch</w:t>
      </w:r>
      <w:r w:rsidR="000F7639">
        <w:rPr>
          <w:rFonts w:ascii="Times New Roman" w:hAnsi="Times New Roman" w:cs="Times New Roman"/>
        </w:rPr>
        <w:t xml:space="preserve">, </w:t>
      </w:r>
      <w:r w:rsidRPr="00D50D44" w:rsidR="001B4A28">
        <w:rPr>
          <w:rFonts w:ascii="Times New Roman" w:hAnsi="Times New Roman" w:cs="Times New Roman"/>
        </w:rPr>
        <w:t>s cieľom úplne eliminovať riziko nedočerpania. Vláda SR nadobudla presvedčenie, že uvedený napätý</w:t>
      </w:r>
      <w:r w:rsidR="001F664A">
        <w:rPr>
          <w:rFonts w:ascii="Times New Roman" w:hAnsi="Times New Roman" w:cs="Times New Roman"/>
        </w:rPr>
        <w:t xml:space="preserve">, </w:t>
      </w:r>
      <w:r w:rsidRPr="00D50D44" w:rsidR="001B4A28">
        <w:rPr>
          <w:rFonts w:ascii="Times New Roman" w:hAnsi="Times New Roman" w:cs="Times New Roman"/>
        </w:rPr>
        <w:t>ale reálny harmonogram čerpania na zostávajúce mesiace roku 2015 RO a najmä prijímatelia splnia</w:t>
      </w:r>
      <w:r w:rsidR="001F664A">
        <w:rPr>
          <w:rFonts w:ascii="Times New Roman" w:hAnsi="Times New Roman" w:cs="Times New Roman"/>
        </w:rPr>
        <w:t xml:space="preserve">, </w:t>
      </w:r>
      <w:r w:rsidRPr="00D50D44" w:rsidR="001B4A28">
        <w:rPr>
          <w:rFonts w:ascii="Times New Roman" w:hAnsi="Times New Roman" w:cs="Times New Roman"/>
        </w:rPr>
        <w:t xml:space="preserve"> </w:t>
      </w:r>
      <w:r w:rsidR="001F664A">
        <w:rPr>
          <w:rFonts w:ascii="Times New Roman" w:hAnsi="Times New Roman" w:cs="Times New Roman"/>
        </w:rPr>
        <w:t xml:space="preserve">a to </w:t>
      </w:r>
      <w:r w:rsidRPr="00D50D44" w:rsidR="001B4A28">
        <w:rPr>
          <w:rFonts w:ascii="Times New Roman" w:hAnsi="Times New Roman" w:cs="Times New Roman"/>
        </w:rPr>
        <w:t>s pomocou plnohodnotného využitia všetkých dostupných</w:t>
      </w:r>
      <w:r w:rsidR="001D246C">
        <w:rPr>
          <w:rFonts w:ascii="Times New Roman" w:hAnsi="Times New Roman" w:cs="Times New Roman"/>
        </w:rPr>
        <w:br/>
      </w:r>
      <w:r w:rsidRPr="00D50D44" w:rsidR="001B4A28">
        <w:rPr>
          <w:rFonts w:ascii="Times New Roman" w:hAnsi="Times New Roman" w:cs="Times New Roman"/>
        </w:rPr>
        <w:t>a </w:t>
      </w:r>
      <w:r w:rsidR="001D246C">
        <w:rPr>
          <w:rFonts w:ascii="Times New Roman" w:hAnsi="Times New Roman" w:cs="Times New Roman"/>
        </w:rPr>
        <w:t>novo</w:t>
      </w:r>
      <w:r w:rsidRPr="00D50D44" w:rsidR="001B4A28">
        <w:rPr>
          <w:rFonts w:ascii="Times New Roman" w:hAnsi="Times New Roman" w:cs="Times New Roman"/>
        </w:rPr>
        <w:t xml:space="preserve">uplatňovaných nástrojov. </w:t>
      </w:r>
    </w:p>
    <w:p w:rsidR="00810EED" w:rsidRPr="00D50D44" w:rsidP="00D62C95">
      <w:pPr>
        <w:bidi w:val="0"/>
        <w:spacing w:after="0"/>
        <w:ind w:firstLine="360"/>
        <w:jc w:val="both"/>
        <w:rPr>
          <w:rFonts w:ascii="Times New Roman" w:hAnsi="Times New Roman" w:cs="Times New Roman"/>
        </w:rPr>
      </w:pPr>
    </w:p>
    <w:p w:rsidR="00D50BA3" w:rsidRPr="00D50D44" w:rsidP="00D62C95">
      <w:pPr>
        <w:bidi w:val="0"/>
        <w:spacing w:after="0"/>
        <w:ind w:firstLine="708"/>
        <w:jc w:val="both"/>
        <w:rPr>
          <w:rFonts w:ascii="Times New Roman" w:hAnsi="Times New Roman" w:cs="Times New Roman"/>
          <w:b/>
          <w:bCs/>
          <w:i/>
          <w:szCs w:val="24"/>
        </w:rPr>
      </w:pPr>
      <w:r w:rsidRPr="00D50D44">
        <w:rPr>
          <w:rFonts w:ascii="Times New Roman" w:hAnsi="Times New Roman" w:cs="Times New Roman"/>
          <w:b/>
          <w:bCs/>
          <w:i/>
          <w:szCs w:val="24"/>
        </w:rPr>
        <w:br w:type="page"/>
      </w:r>
    </w:p>
    <w:p w:rsidR="00A65D19" w:rsidRPr="00D45CB5" w:rsidP="00FA3FB1">
      <w:pPr>
        <w:pStyle w:val="Heading2"/>
        <w:numPr>
          <w:numId w:val="36"/>
        </w:numPr>
        <w:bidi w:val="0"/>
        <w:rPr>
          <w:rFonts w:ascii="Times New Roman" w:hAnsi="Times New Roman" w:cs="Times New Roman"/>
          <w:color w:val="548DD4" w:themeColor="tx2" w:themeTint="99"/>
        </w:rPr>
      </w:pPr>
      <w:bookmarkStart w:id="11" w:name="_Toc419481416"/>
      <w:r w:rsidRPr="00D45CB5" w:rsidR="00D50BA3">
        <w:rPr>
          <w:rFonts w:ascii="Times New Roman" w:hAnsi="Times New Roman" w:cs="Times New Roman" w:hint="default"/>
          <w:color w:val="548DD4" w:themeColor="tx2" w:themeTint="99"/>
        </w:rPr>
        <w:t>Zoznam použ</w:t>
      </w:r>
      <w:r w:rsidRPr="00D45CB5" w:rsidR="00D50BA3">
        <w:rPr>
          <w:rFonts w:ascii="Times New Roman" w:hAnsi="Times New Roman" w:cs="Times New Roman" w:hint="default"/>
          <w:color w:val="548DD4" w:themeColor="tx2" w:themeTint="99"/>
        </w:rPr>
        <w:t>itý</w:t>
      </w:r>
      <w:r w:rsidRPr="00D45CB5" w:rsidR="00D50BA3">
        <w:rPr>
          <w:rFonts w:ascii="Times New Roman" w:hAnsi="Times New Roman" w:cs="Times New Roman" w:hint="default"/>
          <w:color w:val="548DD4" w:themeColor="tx2" w:themeTint="99"/>
        </w:rPr>
        <w:t>ch skratiek</w:t>
      </w:r>
      <w:bookmarkEnd w:id="11"/>
    </w:p>
    <w:p w:rsidR="00666E50" w:rsidRPr="00D50D44" w:rsidP="00666E50">
      <w:pPr>
        <w:pStyle w:val="Default"/>
        <w:bidi w:val="0"/>
        <w:rPr>
          <w:rFonts w:ascii="Times New Roman" w:hAnsi="Times New Roman" w:cs="Times New Roman"/>
          <w:b/>
          <w:bCs/>
          <w:i/>
          <w:iCs/>
          <w:sz w:val="28"/>
          <w:szCs w:val="28"/>
        </w:rPr>
      </w:pPr>
      <w:r w:rsidRPr="00D50D44" w:rsidR="00D50BA3">
        <w:rPr>
          <w:rFonts w:ascii="Times New Roman" w:hAnsi="Times New Roman" w:cs="Times New Roman"/>
          <w:b/>
          <w:bCs/>
          <w:i/>
          <w:iCs/>
          <w:sz w:val="28"/>
          <w:szCs w:val="28"/>
        </w:rPr>
        <w:t xml:space="preserve"> </w:t>
      </w:r>
    </w:p>
    <w:p w:rsidR="001D028C" w:rsidRPr="00D50D44" w:rsidP="00666E50">
      <w:pPr>
        <w:pStyle w:val="Default"/>
        <w:bidi w:val="0"/>
        <w:rPr>
          <w:rFonts w:ascii="Times New Roman" w:hAnsi="Times New Roman" w:cs="Times New Roman"/>
          <w:sz w:val="28"/>
          <w:szCs w:val="28"/>
        </w:rPr>
      </w:pP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1"/>
        <w:gridCol w:w="7087"/>
      </w:tblGrid>
      <w:tr>
        <w:tblPrEx>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89329B" w:rsidP="009426BD">
            <w:pPr>
              <w:pStyle w:val="Default"/>
              <w:bidi w:val="0"/>
              <w:spacing w:line="276" w:lineRule="auto"/>
              <w:rPr>
                <w:rFonts w:ascii="Times New Roman" w:hAnsi="Times New Roman" w:cs="Times New Roman"/>
                <w:sz w:val="22"/>
                <w:szCs w:val="22"/>
              </w:rPr>
            </w:pPr>
            <w:r>
              <w:rPr>
                <w:rFonts w:ascii="Times New Roman" w:hAnsi="Times New Roman" w:cs="Times New Roman"/>
                <w:sz w:val="22"/>
                <w:szCs w:val="22"/>
              </w:rPr>
              <w:t>CKO</w:t>
            </w:r>
          </w:p>
          <w:p w:rsidR="0089329B" w:rsidP="009426BD">
            <w:pPr>
              <w:pStyle w:val="Default"/>
              <w:bidi w:val="0"/>
              <w:spacing w:line="276" w:lineRule="auto"/>
              <w:rPr>
                <w:rFonts w:ascii="Times New Roman" w:hAnsi="Times New Roman" w:cs="Times New Roman"/>
                <w:sz w:val="22"/>
                <w:szCs w:val="22"/>
              </w:rPr>
            </w:pPr>
            <w:r>
              <w:rPr>
                <w:rFonts w:ascii="Times New Roman" w:hAnsi="Times New Roman" w:cs="Times New Roman"/>
                <w:sz w:val="22"/>
                <w:szCs w:val="22"/>
              </w:rPr>
              <w:t>CO</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89329B" w:rsidP="009426BD">
            <w:pPr>
              <w:pStyle w:val="Default"/>
              <w:bidi w:val="0"/>
              <w:spacing w:line="276" w:lineRule="auto"/>
              <w:rPr>
                <w:rFonts w:ascii="Times New Roman" w:hAnsi="Times New Roman" w:cs="Times New Roman"/>
                <w:sz w:val="22"/>
                <w:szCs w:val="22"/>
              </w:rPr>
            </w:pPr>
            <w:r>
              <w:rPr>
                <w:rFonts w:ascii="Times New Roman" w:hAnsi="Times New Roman" w:cs="Times New Roman"/>
                <w:sz w:val="22"/>
                <w:szCs w:val="22"/>
              </w:rPr>
              <w:t xml:space="preserve">Centrálny koordinačný orgán </w:t>
            </w:r>
          </w:p>
          <w:p w:rsidR="0089329B" w:rsidP="009426BD">
            <w:pPr>
              <w:pStyle w:val="Default"/>
              <w:bidi w:val="0"/>
              <w:spacing w:line="276" w:lineRule="auto"/>
              <w:rPr>
                <w:rFonts w:ascii="Times New Roman" w:hAnsi="Times New Roman" w:cs="Times New Roman"/>
                <w:sz w:val="22"/>
                <w:szCs w:val="22"/>
              </w:rPr>
            </w:pPr>
            <w:r>
              <w:rPr>
                <w:rFonts w:ascii="Times New Roman" w:hAnsi="Times New Roman" w:cs="Times New Roman"/>
                <w:sz w:val="22"/>
                <w:szCs w:val="22"/>
              </w:rPr>
              <w:t xml:space="preserve">Certifikačný orgán </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89329B" w:rsidRPr="00D50D44" w:rsidP="009426BD">
            <w:pPr>
              <w:pStyle w:val="Default"/>
              <w:bidi w:val="0"/>
              <w:spacing w:line="276" w:lineRule="auto"/>
              <w:rPr>
                <w:rFonts w:ascii="Times New Roman" w:hAnsi="Times New Roman" w:cs="Times New Roman"/>
                <w:sz w:val="22"/>
                <w:szCs w:val="22"/>
              </w:rPr>
            </w:pPr>
            <w:r>
              <w:rPr>
                <w:rFonts w:ascii="Times New Roman" w:hAnsi="Times New Roman" w:cs="Times New Roman"/>
                <w:sz w:val="22"/>
                <w:szCs w:val="22"/>
              </w:rPr>
              <w:t>EK</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89329B" w:rsidRPr="00D50D44" w:rsidP="009426BD">
            <w:pPr>
              <w:pStyle w:val="Default"/>
              <w:bidi w:val="0"/>
              <w:spacing w:line="276" w:lineRule="auto"/>
              <w:rPr>
                <w:rFonts w:ascii="Times New Roman" w:hAnsi="Times New Roman" w:cs="Times New Roman"/>
                <w:sz w:val="22"/>
                <w:szCs w:val="22"/>
              </w:rPr>
            </w:pPr>
            <w:r>
              <w:rPr>
                <w:rFonts w:ascii="Times New Roman" w:hAnsi="Times New Roman" w:cs="Times New Roman"/>
                <w:sz w:val="22"/>
                <w:szCs w:val="22"/>
              </w:rPr>
              <w:t xml:space="preserve">Európska komisia </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89329B" w:rsidRPr="00D50D44" w:rsidP="0089329B">
            <w:pPr>
              <w:pStyle w:val="Default"/>
              <w:bidi w:val="0"/>
              <w:spacing w:line="276" w:lineRule="auto"/>
              <w:rPr>
                <w:rFonts w:ascii="Times New Roman" w:hAnsi="Times New Roman" w:cs="Times New Roman"/>
                <w:sz w:val="22"/>
                <w:szCs w:val="22"/>
              </w:rPr>
            </w:pPr>
            <w:r>
              <w:rPr>
                <w:rFonts w:ascii="Times New Roman" w:hAnsi="Times New Roman" w:cs="Times New Roman"/>
                <w:sz w:val="22"/>
                <w:szCs w:val="22"/>
              </w:rPr>
              <w:t>ERDF</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89329B" w:rsidRPr="00D50D44" w:rsidP="009426BD">
            <w:pPr>
              <w:pStyle w:val="Default"/>
              <w:bidi w:val="0"/>
              <w:spacing w:line="276" w:lineRule="auto"/>
              <w:rPr>
                <w:rFonts w:ascii="Times New Roman" w:hAnsi="Times New Roman" w:cs="Times New Roman"/>
                <w:sz w:val="22"/>
                <w:szCs w:val="22"/>
              </w:rPr>
            </w:pPr>
            <w:r>
              <w:rPr>
                <w:rFonts w:ascii="Times New Roman" w:hAnsi="Times New Roman" w:cs="Times New Roman"/>
                <w:sz w:val="22"/>
                <w:szCs w:val="22"/>
              </w:rPr>
              <w:t xml:space="preserve">Európsky fond regionálneho rozvoja </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89329B" w:rsidRPr="00D50D44" w:rsidP="009426BD">
            <w:pPr>
              <w:pStyle w:val="Default"/>
              <w:bidi w:val="0"/>
              <w:spacing w:line="276" w:lineRule="auto"/>
              <w:rPr>
                <w:rFonts w:ascii="Times New Roman" w:hAnsi="Times New Roman" w:cs="Times New Roman"/>
                <w:sz w:val="22"/>
                <w:szCs w:val="22"/>
              </w:rPr>
            </w:pPr>
            <w:r>
              <w:rPr>
                <w:rFonts w:ascii="Times New Roman" w:hAnsi="Times New Roman" w:cs="Times New Roman"/>
                <w:sz w:val="22"/>
                <w:szCs w:val="22"/>
              </w:rPr>
              <w:t>ESF</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89329B" w:rsidRPr="00D50D44" w:rsidP="0089329B">
            <w:pPr>
              <w:pStyle w:val="Default"/>
              <w:tabs>
                <w:tab w:val="left" w:pos="1890"/>
              </w:tabs>
              <w:bidi w:val="0"/>
              <w:spacing w:line="276" w:lineRule="auto"/>
              <w:rPr>
                <w:rFonts w:ascii="Times New Roman" w:hAnsi="Times New Roman" w:cs="Times New Roman"/>
                <w:sz w:val="22"/>
                <w:szCs w:val="22"/>
              </w:rPr>
            </w:pPr>
            <w:r>
              <w:rPr>
                <w:rFonts w:ascii="Times New Roman" w:hAnsi="Times New Roman" w:cs="Times New Roman"/>
                <w:sz w:val="22"/>
                <w:szCs w:val="22"/>
              </w:rPr>
              <w:t xml:space="preserve">Európsky sociálny fond </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89329B" w:rsidRPr="00D50D44" w:rsidP="009426BD">
            <w:pPr>
              <w:pStyle w:val="Default"/>
              <w:bidi w:val="0"/>
              <w:spacing w:line="276" w:lineRule="auto"/>
              <w:rPr>
                <w:rFonts w:ascii="Times New Roman" w:hAnsi="Times New Roman" w:cs="Times New Roman"/>
                <w:sz w:val="22"/>
                <w:szCs w:val="22"/>
              </w:rPr>
            </w:pPr>
            <w:r>
              <w:rPr>
                <w:rFonts w:ascii="Times New Roman" w:hAnsi="Times New Roman" w:cs="Times New Roman"/>
                <w:sz w:val="22"/>
                <w:szCs w:val="22"/>
              </w:rPr>
              <w:t>EŠIF</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89329B" w:rsidRPr="00D50D44" w:rsidP="0089329B">
            <w:pPr>
              <w:pStyle w:val="Default"/>
              <w:tabs>
                <w:tab w:val="left" w:pos="1890"/>
              </w:tabs>
              <w:bidi w:val="0"/>
              <w:spacing w:line="276" w:lineRule="auto"/>
              <w:rPr>
                <w:rFonts w:ascii="Times New Roman" w:hAnsi="Times New Roman" w:cs="Times New Roman"/>
                <w:sz w:val="22"/>
                <w:szCs w:val="22"/>
              </w:rPr>
            </w:pPr>
            <w:r>
              <w:rPr>
                <w:rFonts w:ascii="Times New Roman" w:hAnsi="Times New Roman" w:cs="Times New Roman"/>
                <w:sz w:val="22"/>
                <w:szCs w:val="22"/>
              </w:rPr>
              <w:t xml:space="preserve">Európske štrukturálne a investičné fondy </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89329B" w:rsidRPr="00D50D44" w:rsidP="009426BD">
            <w:pPr>
              <w:pStyle w:val="Default"/>
              <w:bidi w:val="0"/>
              <w:spacing w:line="276" w:lineRule="auto"/>
              <w:rPr>
                <w:rFonts w:ascii="Times New Roman" w:hAnsi="Times New Roman" w:cs="Times New Roman"/>
                <w:sz w:val="22"/>
                <w:szCs w:val="22"/>
              </w:rPr>
            </w:pPr>
            <w:r>
              <w:rPr>
                <w:rFonts w:ascii="Times New Roman" w:hAnsi="Times New Roman" w:cs="Times New Roman"/>
                <w:sz w:val="22"/>
                <w:szCs w:val="22"/>
              </w:rPr>
              <w:t>ITMS IT</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89329B" w:rsidRPr="00D50D44" w:rsidP="0089329B">
            <w:pPr>
              <w:pStyle w:val="Default"/>
              <w:tabs>
                <w:tab w:val="left" w:pos="1890"/>
              </w:tabs>
              <w:bidi w:val="0"/>
              <w:spacing w:line="276" w:lineRule="auto"/>
              <w:rPr>
                <w:rFonts w:ascii="Times New Roman" w:hAnsi="Times New Roman" w:cs="Times New Roman"/>
                <w:sz w:val="22"/>
                <w:szCs w:val="22"/>
              </w:rPr>
            </w:pPr>
            <w:r>
              <w:rPr>
                <w:rFonts w:ascii="Times New Roman" w:hAnsi="Times New Roman" w:cs="Times New Roman"/>
                <w:sz w:val="22"/>
                <w:szCs w:val="22"/>
              </w:rPr>
              <w:t xml:space="preserve">Informačno-technologický monitorovací systém </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1D028C" w:rsidRPr="00D50D44" w:rsidP="009426BD">
            <w:pPr>
              <w:pStyle w:val="Default"/>
              <w:bidi w:val="0"/>
              <w:spacing w:line="276" w:lineRule="auto"/>
              <w:rPr>
                <w:rFonts w:ascii="Times New Roman" w:hAnsi="Times New Roman" w:cs="Times New Roman"/>
                <w:sz w:val="22"/>
                <w:szCs w:val="22"/>
              </w:rPr>
            </w:pPr>
            <w:r w:rsidRPr="00D50D44">
              <w:rPr>
                <w:rFonts w:ascii="Times New Roman" w:hAnsi="Times New Roman" w:cs="Times New Roman"/>
                <w:sz w:val="22"/>
                <w:szCs w:val="22"/>
              </w:rPr>
              <w:t>KF</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1D028C" w:rsidRPr="00D50D44" w:rsidP="0089329B">
            <w:pPr>
              <w:pStyle w:val="Default"/>
              <w:tabs>
                <w:tab w:val="left" w:pos="1890"/>
              </w:tabs>
              <w:bidi w:val="0"/>
              <w:spacing w:line="276" w:lineRule="auto"/>
              <w:rPr>
                <w:rFonts w:ascii="Times New Roman" w:hAnsi="Times New Roman" w:cs="Times New Roman"/>
                <w:sz w:val="22"/>
                <w:szCs w:val="22"/>
              </w:rPr>
            </w:pPr>
            <w:r w:rsidRPr="00D50D44">
              <w:rPr>
                <w:rFonts w:ascii="Times New Roman" w:hAnsi="Times New Roman" w:cs="Times New Roman"/>
                <w:sz w:val="22"/>
                <w:szCs w:val="22"/>
              </w:rPr>
              <w:t>Kohézny fond</w:t>
            </w:r>
            <w:r w:rsidR="0089329B">
              <w:rPr>
                <w:rFonts w:ascii="Times New Roman" w:hAnsi="Times New Roman" w:cs="Times New Roman"/>
                <w:sz w:val="22"/>
                <w:szCs w:val="22"/>
              </w:rPr>
              <w:tab/>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89329B" w:rsidRPr="00D50D44" w:rsidP="009333A9">
            <w:pPr>
              <w:pStyle w:val="Default"/>
              <w:bidi w:val="0"/>
              <w:spacing w:line="276" w:lineRule="auto"/>
              <w:rPr>
                <w:rFonts w:ascii="Times New Roman" w:hAnsi="Times New Roman" w:cs="Times New Roman"/>
                <w:sz w:val="22"/>
                <w:szCs w:val="22"/>
              </w:rPr>
            </w:pPr>
            <w:r w:rsidRPr="00D50D44">
              <w:rPr>
                <w:rFonts w:ascii="Times New Roman" w:hAnsi="Times New Roman" w:cs="Times New Roman"/>
                <w:sz w:val="22"/>
                <w:szCs w:val="22"/>
              </w:rPr>
              <w:t>MF SR</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89329B" w:rsidRPr="00D50D44" w:rsidP="009333A9">
            <w:pPr>
              <w:pStyle w:val="Default"/>
              <w:bidi w:val="0"/>
              <w:spacing w:line="276" w:lineRule="auto"/>
              <w:rPr>
                <w:rFonts w:ascii="Times New Roman" w:hAnsi="Times New Roman" w:cs="Times New Roman"/>
                <w:sz w:val="22"/>
                <w:szCs w:val="22"/>
              </w:rPr>
            </w:pPr>
            <w:r w:rsidRPr="00D50D44">
              <w:rPr>
                <w:rFonts w:ascii="Times New Roman" w:hAnsi="Times New Roman" w:cs="Times New Roman"/>
                <w:sz w:val="22"/>
                <w:szCs w:val="22"/>
              </w:rPr>
              <w:t xml:space="preserve">Ministerstvo financií Slovenskej republiky </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89329B" w:rsidRPr="00D50D44" w:rsidP="009333A9">
            <w:pPr>
              <w:pStyle w:val="Default"/>
              <w:bidi w:val="0"/>
              <w:spacing w:line="276" w:lineRule="auto"/>
              <w:rPr>
                <w:rFonts w:ascii="Times New Roman" w:hAnsi="Times New Roman" w:cs="Times New Roman"/>
                <w:sz w:val="22"/>
                <w:szCs w:val="22"/>
              </w:rPr>
            </w:pPr>
            <w:r w:rsidRPr="00D50D44">
              <w:rPr>
                <w:rFonts w:ascii="Times New Roman" w:hAnsi="Times New Roman" w:cs="Times New Roman"/>
                <w:sz w:val="22"/>
                <w:szCs w:val="22"/>
              </w:rPr>
              <w:t>NFP</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89329B" w:rsidRPr="00D50D44" w:rsidP="009333A9">
            <w:pPr>
              <w:pStyle w:val="Default"/>
              <w:bidi w:val="0"/>
              <w:spacing w:line="276" w:lineRule="auto"/>
              <w:rPr>
                <w:rFonts w:ascii="Times New Roman" w:hAnsi="Times New Roman" w:cs="Times New Roman"/>
                <w:sz w:val="22"/>
                <w:szCs w:val="22"/>
              </w:rPr>
            </w:pPr>
            <w:r w:rsidRPr="00D50D44">
              <w:rPr>
                <w:rFonts w:ascii="Times New Roman" w:hAnsi="Times New Roman" w:cs="Times New Roman"/>
                <w:sz w:val="22"/>
                <w:szCs w:val="22"/>
              </w:rPr>
              <w:t xml:space="preserve">Nenávratný finančný príspevok </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89329B" w:rsidRPr="00D50D44" w:rsidP="009333A9">
            <w:pPr>
              <w:pStyle w:val="Default"/>
              <w:bidi w:val="0"/>
              <w:spacing w:line="276" w:lineRule="auto"/>
              <w:rPr>
                <w:rFonts w:ascii="Times New Roman" w:hAnsi="Times New Roman" w:cs="Times New Roman"/>
                <w:sz w:val="22"/>
                <w:szCs w:val="22"/>
              </w:rPr>
            </w:pPr>
            <w:r w:rsidRPr="00D50D44">
              <w:rPr>
                <w:rFonts w:ascii="Times New Roman" w:hAnsi="Times New Roman" w:cs="Times New Roman"/>
                <w:sz w:val="22"/>
                <w:szCs w:val="22"/>
              </w:rPr>
              <w:t>NSRR</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89329B" w:rsidRPr="00D50D44" w:rsidP="009333A9">
            <w:pPr>
              <w:pStyle w:val="Default"/>
              <w:bidi w:val="0"/>
              <w:spacing w:line="276" w:lineRule="auto"/>
              <w:rPr>
                <w:rFonts w:ascii="Times New Roman" w:hAnsi="Times New Roman" w:cs="Times New Roman"/>
                <w:sz w:val="22"/>
                <w:szCs w:val="22"/>
              </w:rPr>
            </w:pPr>
            <w:r w:rsidRPr="00D50D44">
              <w:rPr>
                <w:rFonts w:ascii="Times New Roman" w:hAnsi="Times New Roman" w:cs="Times New Roman"/>
                <w:sz w:val="22"/>
                <w:szCs w:val="22"/>
              </w:rPr>
              <w:t xml:space="preserve">Národný strategický referenčný rámec Slovenskej republiky na roky </w:t>
            </w:r>
            <w:r>
              <w:rPr>
                <w:rFonts w:ascii="Times New Roman" w:hAnsi="Times New Roman" w:cs="Times New Roman"/>
                <w:sz w:val="22"/>
                <w:szCs w:val="22"/>
              </w:rPr>
              <w:br/>
            </w:r>
            <w:r w:rsidRPr="00D50D44">
              <w:rPr>
                <w:rFonts w:ascii="Times New Roman" w:hAnsi="Times New Roman" w:cs="Times New Roman"/>
                <w:sz w:val="22"/>
                <w:szCs w:val="22"/>
              </w:rPr>
              <w:t>2007</w:t>
            </w:r>
            <w:r>
              <w:rPr>
                <w:rFonts w:ascii="Times New Roman" w:hAnsi="Times New Roman" w:cs="Times New Roman"/>
                <w:sz w:val="22"/>
                <w:szCs w:val="22"/>
              </w:rPr>
              <w:t xml:space="preserve"> – </w:t>
            </w:r>
            <w:r w:rsidRPr="00D50D44">
              <w:rPr>
                <w:rFonts w:ascii="Times New Roman" w:hAnsi="Times New Roman" w:cs="Times New Roman"/>
                <w:sz w:val="22"/>
                <w:szCs w:val="22"/>
              </w:rPr>
              <w:t>2013</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89329B" w:rsidRPr="00D50D44" w:rsidP="009333A9">
            <w:pPr>
              <w:pStyle w:val="Default"/>
              <w:bidi w:val="0"/>
              <w:spacing w:line="276" w:lineRule="auto"/>
              <w:rPr>
                <w:rFonts w:ascii="Times New Roman" w:hAnsi="Times New Roman" w:cs="Times New Roman"/>
                <w:sz w:val="22"/>
                <w:szCs w:val="22"/>
              </w:rPr>
            </w:pPr>
            <w:r>
              <w:rPr>
                <w:rFonts w:ascii="Times New Roman" w:hAnsi="Times New Roman" w:cs="Times New Roman"/>
                <w:sz w:val="22"/>
                <w:szCs w:val="22"/>
              </w:rPr>
              <w:t>OA</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89329B" w:rsidRPr="00D50D44" w:rsidP="009333A9">
            <w:pPr>
              <w:pStyle w:val="Default"/>
              <w:bidi w:val="0"/>
              <w:spacing w:line="276" w:lineRule="auto"/>
              <w:rPr>
                <w:rFonts w:ascii="Times New Roman" w:hAnsi="Times New Roman" w:cs="Times New Roman"/>
                <w:sz w:val="22"/>
                <w:szCs w:val="22"/>
              </w:rPr>
            </w:pPr>
            <w:r>
              <w:rPr>
                <w:rFonts w:ascii="Times New Roman" w:hAnsi="Times New Roman" w:cs="Times New Roman"/>
                <w:sz w:val="22"/>
                <w:szCs w:val="22"/>
              </w:rPr>
              <w:t xml:space="preserve">Orgán auditu </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89329B" w:rsidRPr="00D50D44" w:rsidP="009333A9">
            <w:pPr>
              <w:pStyle w:val="Default"/>
              <w:bidi w:val="0"/>
              <w:spacing w:line="276" w:lineRule="auto"/>
              <w:rPr>
                <w:rFonts w:ascii="Times New Roman" w:hAnsi="Times New Roman" w:cs="Times New Roman"/>
                <w:sz w:val="22"/>
                <w:szCs w:val="22"/>
              </w:rPr>
            </w:pPr>
            <w:r w:rsidRPr="00D50D44">
              <w:rPr>
                <w:rFonts w:ascii="Times New Roman" w:hAnsi="Times New Roman" w:cs="Times New Roman"/>
                <w:sz w:val="22"/>
                <w:szCs w:val="22"/>
              </w:rPr>
              <w:t xml:space="preserve">OP </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89329B" w:rsidRPr="00D50D44" w:rsidP="009333A9">
            <w:pPr>
              <w:pStyle w:val="Default"/>
              <w:bidi w:val="0"/>
              <w:spacing w:line="276" w:lineRule="auto"/>
              <w:rPr>
                <w:rFonts w:ascii="Times New Roman" w:hAnsi="Times New Roman" w:cs="Times New Roman"/>
                <w:sz w:val="22"/>
                <w:szCs w:val="22"/>
              </w:rPr>
            </w:pPr>
            <w:r w:rsidRPr="00D50D44">
              <w:rPr>
                <w:rFonts w:ascii="Times New Roman" w:hAnsi="Times New Roman" w:cs="Times New Roman"/>
                <w:sz w:val="22"/>
                <w:szCs w:val="22"/>
              </w:rPr>
              <w:t xml:space="preserve">Operačný program </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89329B" w:rsidRPr="00D50D44" w:rsidP="009333A9">
            <w:pPr>
              <w:pStyle w:val="Default"/>
              <w:bidi w:val="0"/>
              <w:spacing w:line="276" w:lineRule="auto"/>
              <w:rPr>
                <w:rFonts w:ascii="Times New Roman" w:hAnsi="Times New Roman" w:cs="Times New Roman"/>
                <w:color w:val="auto"/>
                <w:sz w:val="22"/>
                <w:szCs w:val="22"/>
              </w:rPr>
            </w:pPr>
            <w:r w:rsidRPr="00D50D44">
              <w:rPr>
                <w:rFonts w:ascii="Times New Roman" w:hAnsi="Times New Roman" w:cs="Times New Roman"/>
                <w:sz w:val="22"/>
                <w:szCs w:val="22"/>
              </w:rPr>
              <w:t>OP</w:t>
            </w:r>
            <w:r>
              <w:rPr>
                <w:rFonts w:ascii="Times New Roman" w:hAnsi="Times New Roman" w:cs="Times New Roman"/>
                <w:sz w:val="22"/>
                <w:szCs w:val="22"/>
              </w:rPr>
              <w:t xml:space="preserve"> </w:t>
            </w:r>
            <w:r w:rsidRPr="00D50D44">
              <w:rPr>
                <w:rFonts w:ascii="Times New Roman" w:hAnsi="Times New Roman" w:cs="Times New Roman"/>
                <w:sz w:val="22"/>
                <w:szCs w:val="22"/>
              </w:rPr>
              <w:t>KaHR</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89329B" w:rsidRPr="00D50D44" w:rsidP="009333A9">
            <w:pPr>
              <w:bidi w:val="0"/>
              <w:spacing w:after="0"/>
              <w:contextualSpacing/>
              <w:jc w:val="both"/>
              <w:rPr>
                <w:rFonts w:ascii="Times New Roman" w:hAnsi="Times New Roman" w:cs="Times New Roman"/>
              </w:rPr>
            </w:pPr>
            <w:r w:rsidRPr="00D50D44">
              <w:rPr>
                <w:rFonts w:ascii="Times New Roman" w:hAnsi="Times New Roman" w:cs="Times New Roman"/>
              </w:rPr>
              <w:t xml:space="preserve">Operačný program Konkurencieschopnosť a hospodársky rast </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89329B" w:rsidRPr="00D50D44" w:rsidP="009333A9">
            <w:pPr>
              <w:pStyle w:val="Default"/>
              <w:bidi w:val="0"/>
              <w:spacing w:line="276" w:lineRule="auto"/>
              <w:rPr>
                <w:rFonts w:ascii="Times New Roman" w:hAnsi="Times New Roman" w:cs="Times New Roman"/>
                <w:color w:val="auto"/>
                <w:sz w:val="22"/>
                <w:szCs w:val="22"/>
              </w:rPr>
            </w:pPr>
            <w:r w:rsidRPr="00D50D44">
              <w:rPr>
                <w:rFonts w:ascii="Times New Roman" w:hAnsi="Times New Roman" w:cs="Times New Roman"/>
                <w:color w:val="auto"/>
                <w:sz w:val="22"/>
                <w:szCs w:val="22"/>
              </w:rPr>
              <w:t>OP</w:t>
            </w:r>
            <w:r>
              <w:rPr>
                <w:rFonts w:ascii="Times New Roman" w:hAnsi="Times New Roman" w:cs="Times New Roman"/>
                <w:color w:val="auto"/>
                <w:sz w:val="22"/>
                <w:szCs w:val="22"/>
              </w:rPr>
              <w:t xml:space="preserve"> </w:t>
            </w:r>
            <w:r w:rsidRPr="00D50D44">
              <w:rPr>
                <w:rFonts w:ascii="Times New Roman" w:hAnsi="Times New Roman" w:cs="Times New Roman"/>
                <w:color w:val="auto"/>
                <w:sz w:val="22"/>
                <w:szCs w:val="22"/>
              </w:rPr>
              <w:t xml:space="preserve">IS </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89329B" w:rsidRPr="00D50D44" w:rsidP="009333A9">
            <w:pPr>
              <w:bidi w:val="0"/>
              <w:spacing w:after="0"/>
              <w:contextualSpacing/>
              <w:jc w:val="both"/>
              <w:rPr>
                <w:rFonts w:ascii="Times New Roman" w:hAnsi="Times New Roman" w:cs="Times New Roman"/>
              </w:rPr>
            </w:pPr>
            <w:r w:rsidRPr="00D50D44">
              <w:rPr>
                <w:rFonts w:ascii="Times New Roman" w:hAnsi="Times New Roman" w:cs="Times New Roman"/>
              </w:rPr>
              <w:t>Operačný program Informatizácia spoločnosti</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4A353D" w:rsidRPr="00D50D44" w:rsidP="009333A9">
            <w:pPr>
              <w:pStyle w:val="Default"/>
              <w:bidi w:val="0"/>
              <w:spacing w:line="276" w:lineRule="auto"/>
              <w:rPr>
                <w:rFonts w:ascii="Times New Roman" w:hAnsi="Times New Roman" w:cs="Times New Roman"/>
                <w:color w:val="auto"/>
                <w:sz w:val="22"/>
                <w:szCs w:val="22"/>
              </w:rPr>
            </w:pPr>
            <w:r w:rsidRPr="00D50D44">
              <w:rPr>
                <w:rFonts w:ascii="Times New Roman" w:hAnsi="Times New Roman" w:cs="Times New Roman"/>
                <w:color w:val="auto"/>
                <w:sz w:val="22"/>
                <w:szCs w:val="22"/>
              </w:rPr>
              <w:t>OP</w:t>
            </w:r>
            <w:r>
              <w:rPr>
                <w:rFonts w:ascii="Times New Roman" w:hAnsi="Times New Roman" w:cs="Times New Roman"/>
                <w:color w:val="auto"/>
                <w:sz w:val="22"/>
                <w:szCs w:val="22"/>
              </w:rPr>
              <w:t xml:space="preserve"> </w:t>
            </w:r>
            <w:r w:rsidRPr="00D50D44">
              <w:rPr>
                <w:rFonts w:ascii="Times New Roman" w:hAnsi="Times New Roman" w:cs="Times New Roman"/>
                <w:color w:val="auto"/>
                <w:sz w:val="22"/>
                <w:szCs w:val="22"/>
              </w:rPr>
              <w:t>V</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4A353D" w:rsidRPr="00D50D44" w:rsidP="009333A9">
            <w:pPr>
              <w:bidi w:val="0"/>
              <w:spacing w:after="0"/>
              <w:contextualSpacing/>
              <w:jc w:val="both"/>
              <w:rPr>
                <w:rFonts w:ascii="Times New Roman" w:hAnsi="Times New Roman" w:cs="Times New Roman"/>
              </w:rPr>
            </w:pPr>
            <w:r w:rsidRPr="00D50D44">
              <w:rPr>
                <w:rFonts w:ascii="Times New Roman" w:hAnsi="Times New Roman" w:cs="Times New Roman"/>
              </w:rPr>
              <w:t xml:space="preserve">Operačný program Vzdelávanie </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4A353D" w:rsidRPr="00D50D44" w:rsidP="009333A9">
            <w:pPr>
              <w:pStyle w:val="Default"/>
              <w:bidi w:val="0"/>
              <w:spacing w:line="276" w:lineRule="auto"/>
              <w:rPr>
                <w:rFonts w:ascii="Times New Roman" w:hAnsi="Times New Roman" w:cs="Times New Roman"/>
                <w:color w:val="auto"/>
                <w:sz w:val="22"/>
                <w:szCs w:val="22"/>
              </w:rPr>
            </w:pPr>
            <w:r w:rsidRPr="00D50D44">
              <w:rPr>
                <w:rFonts w:ascii="Times New Roman" w:hAnsi="Times New Roman" w:cs="Times New Roman"/>
                <w:color w:val="auto"/>
                <w:sz w:val="22"/>
                <w:szCs w:val="22"/>
              </w:rPr>
              <w:t>OP</w:t>
            </w:r>
            <w:r>
              <w:rPr>
                <w:rFonts w:ascii="Times New Roman" w:hAnsi="Times New Roman" w:cs="Times New Roman"/>
                <w:color w:val="auto"/>
                <w:sz w:val="22"/>
                <w:szCs w:val="22"/>
              </w:rPr>
              <w:t xml:space="preserve"> </w:t>
            </w:r>
            <w:r w:rsidRPr="00D50D44">
              <w:rPr>
                <w:rFonts w:ascii="Times New Roman" w:hAnsi="Times New Roman" w:cs="Times New Roman"/>
                <w:color w:val="auto"/>
                <w:sz w:val="22"/>
                <w:szCs w:val="22"/>
              </w:rPr>
              <w:t>VaV</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4A353D" w:rsidRPr="00D50D44" w:rsidP="009333A9">
            <w:pPr>
              <w:bidi w:val="0"/>
              <w:spacing w:after="0"/>
              <w:contextualSpacing/>
              <w:jc w:val="both"/>
              <w:rPr>
                <w:rFonts w:ascii="Times New Roman" w:hAnsi="Times New Roman" w:cs="Times New Roman"/>
              </w:rPr>
            </w:pPr>
            <w:r w:rsidRPr="00D50D44">
              <w:rPr>
                <w:rFonts w:ascii="Times New Roman" w:hAnsi="Times New Roman" w:cs="Times New Roman"/>
              </w:rPr>
              <w:t xml:space="preserve">Operačný program Výskum a vývoj </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4A353D" w:rsidRPr="00D50D44" w:rsidP="009333A9">
            <w:pPr>
              <w:pStyle w:val="Default"/>
              <w:bidi w:val="0"/>
              <w:spacing w:line="276" w:lineRule="auto"/>
              <w:rPr>
                <w:rFonts w:ascii="Times New Roman" w:hAnsi="Times New Roman" w:cs="Times New Roman"/>
                <w:color w:val="auto"/>
                <w:sz w:val="22"/>
                <w:szCs w:val="22"/>
              </w:rPr>
            </w:pPr>
            <w:r w:rsidRPr="00D50D44">
              <w:rPr>
                <w:rFonts w:ascii="Times New Roman" w:hAnsi="Times New Roman" w:cs="Times New Roman"/>
                <w:color w:val="auto"/>
                <w:sz w:val="22"/>
                <w:szCs w:val="22"/>
              </w:rPr>
              <w:t>OP</w:t>
            </w:r>
            <w:r>
              <w:rPr>
                <w:rFonts w:ascii="Times New Roman" w:hAnsi="Times New Roman" w:cs="Times New Roman"/>
                <w:color w:val="auto"/>
                <w:sz w:val="22"/>
                <w:szCs w:val="22"/>
              </w:rPr>
              <w:t xml:space="preserve"> </w:t>
            </w:r>
            <w:r w:rsidRPr="00D50D44">
              <w:rPr>
                <w:rFonts w:ascii="Times New Roman" w:hAnsi="Times New Roman" w:cs="Times New Roman"/>
                <w:color w:val="auto"/>
                <w:sz w:val="22"/>
                <w:szCs w:val="22"/>
              </w:rPr>
              <w:t>ZaSI</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4A353D" w:rsidRPr="00D50D44" w:rsidP="009333A9">
            <w:pPr>
              <w:bidi w:val="0"/>
              <w:spacing w:after="0"/>
              <w:contextualSpacing/>
              <w:jc w:val="both"/>
              <w:rPr>
                <w:rFonts w:ascii="Times New Roman" w:hAnsi="Times New Roman" w:cs="Times New Roman"/>
              </w:rPr>
            </w:pPr>
            <w:r w:rsidRPr="00D50D44">
              <w:rPr>
                <w:rFonts w:ascii="Times New Roman" w:hAnsi="Times New Roman" w:cs="Times New Roman"/>
              </w:rPr>
              <w:t xml:space="preserve">Operačný program Zamestnanosť a sociálna inklúzia </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4A353D" w:rsidRPr="00D50D44" w:rsidP="009333A9">
            <w:pPr>
              <w:pStyle w:val="Default"/>
              <w:bidi w:val="0"/>
              <w:spacing w:line="276" w:lineRule="auto"/>
              <w:rPr>
                <w:rFonts w:ascii="Times New Roman" w:hAnsi="Times New Roman" w:cs="Times New Roman"/>
                <w:color w:val="auto"/>
                <w:sz w:val="22"/>
                <w:szCs w:val="22"/>
              </w:rPr>
            </w:pPr>
            <w:r w:rsidRPr="00D50D44">
              <w:rPr>
                <w:rFonts w:ascii="Times New Roman" w:hAnsi="Times New Roman" w:cs="Times New Roman"/>
                <w:color w:val="auto"/>
                <w:sz w:val="22"/>
                <w:szCs w:val="22"/>
              </w:rPr>
              <w:t>OP</w:t>
            </w:r>
            <w:r>
              <w:rPr>
                <w:rFonts w:ascii="Times New Roman" w:hAnsi="Times New Roman" w:cs="Times New Roman"/>
                <w:color w:val="auto"/>
                <w:sz w:val="22"/>
                <w:szCs w:val="22"/>
              </w:rPr>
              <w:t xml:space="preserve"> </w:t>
            </w:r>
            <w:r w:rsidRPr="00D50D44">
              <w:rPr>
                <w:rFonts w:ascii="Times New Roman" w:hAnsi="Times New Roman" w:cs="Times New Roman"/>
                <w:color w:val="auto"/>
                <w:sz w:val="22"/>
                <w:szCs w:val="22"/>
              </w:rPr>
              <w:t>ŽP</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4A353D" w:rsidRPr="00D50D44" w:rsidP="009333A9">
            <w:pPr>
              <w:bidi w:val="0"/>
              <w:spacing w:after="0"/>
              <w:contextualSpacing/>
              <w:jc w:val="both"/>
              <w:rPr>
                <w:rFonts w:ascii="Times New Roman" w:hAnsi="Times New Roman" w:cs="Times New Roman"/>
              </w:rPr>
            </w:pPr>
            <w:r w:rsidRPr="00D50D44">
              <w:rPr>
                <w:rFonts w:ascii="Times New Roman" w:hAnsi="Times New Roman" w:cs="Times New Roman"/>
              </w:rPr>
              <w:t xml:space="preserve">Operačný program životné prostredie </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4A353D" w:rsidRPr="00D50D44" w:rsidP="009333A9">
            <w:pPr>
              <w:pStyle w:val="Default"/>
              <w:bidi w:val="0"/>
              <w:spacing w:line="276" w:lineRule="auto"/>
              <w:rPr>
                <w:rFonts w:ascii="Times New Roman" w:hAnsi="Times New Roman" w:cs="Times New Roman"/>
                <w:sz w:val="22"/>
                <w:szCs w:val="22"/>
              </w:rPr>
            </w:pPr>
            <w:r w:rsidRPr="00D50D44">
              <w:rPr>
                <w:rFonts w:ascii="Times New Roman" w:hAnsi="Times New Roman" w:cs="Times New Roman"/>
                <w:sz w:val="22"/>
                <w:szCs w:val="22"/>
              </w:rPr>
              <w:t>RO</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4A353D" w:rsidRPr="00D50D44" w:rsidP="009333A9">
            <w:pPr>
              <w:pStyle w:val="Default"/>
              <w:bidi w:val="0"/>
              <w:spacing w:line="276" w:lineRule="auto"/>
              <w:rPr>
                <w:rFonts w:ascii="Times New Roman" w:hAnsi="Times New Roman" w:cs="Times New Roman"/>
                <w:sz w:val="22"/>
                <w:szCs w:val="22"/>
              </w:rPr>
            </w:pPr>
            <w:r w:rsidRPr="00D50D44">
              <w:rPr>
                <w:rFonts w:ascii="Times New Roman" w:hAnsi="Times New Roman" w:cs="Times New Roman"/>
                <w:sz w:val="22"/>
                <w:szCs w:val="22"/>
              </w:rPr>
              <w:t>Riadiaci orgán</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4A353D" w:rsidRPr="00D50D44" w:rsidP="009333A9">
            <w:pPr>
              <w:pStyle w:val="Default"/>
              <w:bidi w:val="0"/>
              <w:spacing w:line="276" w:lineRule="auto"/>
              <w:rPr>
                <w:rFonts w:ascii="Times New Roman" w:hAnsi="Times New Roman" w:cs="Times New Roman"/>
                <w:color w:val="auto"/>
                <w:sz w:val="22"/>
                <w:szCs w:val="22"/>
              </w:rPr>
            </w:pPr>
            <w:r w:rsidRPr="00D50D44">
              <w:rPr>
                <w:rFonts w:ascii="Times New Roman" w:hAnsi="Times New Roman" w:cs="Times New Roman"/>
                <w:color w:val="auto"/>
                <w:sz w:val="22"/>
                <w:szCs w:val="22"/>
              </w:rPr>
              <w:t xml:space="preserve">ROP </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4A353D" w:rsidRPr="00D50D44" w:rsidP="009333A9">
            <w:pPr>
              <w:bidi w:val="0"/>
              <w:spacing w:after="0"/>
              <w:contextualSpacing/>
              <w:jc w:val="both"/>
              <w:rPr>
                <w:rFonts w:ascii="Times New Roman" w:hAnsi="Times New Roman" w:cs="Times New Roman"/>
              </w:rPr>
            </w:pPr>
            <w:r w:rsidRPr="00D50D44">
              <w:rPr>
                <w:rFonts w:ascii="Times New Roman" w:hAnsi="Times New Roman" w:cs="Times New Roman"/>
              </w:rPr>
              <w:t xml:space="preserve">Regionálny operačný program </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4A353D" w:rsidRPr="00D50D44" w:rsidP="009333A9">
            <w:pPr>
              <w:pStyle w:val="Default"/>
              <w:bidi w:val="0"/>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SORO</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4A353D" w:rsidRPr="00D50D44" w:rsidP="009333A9">
            <w:pPr>
              <w:pStyle w:val="Default"/>
              <w:bidi w:val="0"/>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Sprostredkovateľský orgán pod riadiacim orgánom</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4A353D" w:rsidRPr="00D50D44" w:rsidP="009426BD">
            <w:pPr>
              <w:pStyle w:val="Default"/>
              <w:bidi w:val="0"/>
              <w:spacing w:line="276" w:lineRule="auto"/>
              <w:rPr>
                <w:rFonts w:ascii="Times New Roman" w:hAnsi="Times New Roman" w:cs="Times New Roman"/>
                <w:sz w:val="22"/>
                <w:szCs w:val="22"/>
              </w:rPr>
            </w:pPr>
            <w:r w:rsidRPr="00D50D44">
              <w:rPr>
                <w:rFonts w:ascii="Times New Roman" w:hAnsi="Times New Roman" w:cs="Times New Roman"/>
                <w:sz w:val="22"/>
                <w:szCs w:val="22"/>
              </w:rPr>
              <w:t>ŠF</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4A353D" w:rsidRPr="00D50D44" w:rsidP="009426BD">
            <w:pPr>
              <w:pStyle w:val="Default"/>
              <w:bidi w:val="0"/>
              <w:spacing w:line="276" w:lineRule="auto"/>
              <w:rPr>
                <w:rFonts w:ascii="Times New Roman" w:hAnsi="Times New Roman" w:cs="Times New Roman"/>
                <w:sz w:val="22"/>
                <w:szCs w:val="22"/>
              </w:rPr>
            </w:pPr>
            <w:r w:rsidRPr="00D50D44">
              <w:rPr>
                <w:rFonts w:ascii="Times New Roman" w:hAnsi="Times New Roman" w:cs="Times New Roman"/>
                <w:sz w:val="22"/>
                <w:szCs w:val="22"/>
              </w:rPr>
              <w:t>Štrukturálne fondy</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4A353D" w:rsidRPr="00D50D44" w:rsidP="009426BD">
            <w:pPr>
              <w:pStyle w:val="Default"/>
              <w:bidi w:val="0"/>
              <w:spacing w:line="276" w:lineRule="auto"/>
              <w:rPr>
                <w:rFonts w:ascii="Times New Roman" w:hAnsi="Times New Roman" w:cs="Times New Roman"/>
                <w:sz w:val="22"/>
                <w:szCs w:val="22"/>
              </w:rPr>
            </w:pPr>
            <w:r>
              <w:rPr>
                <w:rFonts w:ascii="Times New Roman" w:hAnsi="Times New Roman" w:cs="Times New Roman"/>
                <w:sz w:val="22"/>
                <w:szCs w:val="22"/>
              </w:rPr>
              <w:t>VFR</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4A353D" w:rsidRPr="00D50D44" w:rsidP="009426BD">
            <w:pPr>
              <w:pStyle w:val="Default"/>
              <w:bidi w:val="0"/>
              <w:spacing w:line="276" w:lineRule="auto"/>
              <w:rPr>
                <w:rFonts w:ascii="Times New Roman" w:hAnsi="Times New Roman" w:cs="Times New Roman"/>
                <w:sz w:val="22"/>
                <w:szCs w:val="22"/>
              </w:rPr>
            </w:pPr>
            <w:r>
              <w:rPr>
                <w:rFonts w:ascii="Times New Roman" w:hAnsi="Times New Roman" w:cs="Times New Roman"/>
                <w:sz w:val="22"/>
                <w:szCs w:val="22"/>
              </w:rPr>
              <w:t xml:space="preserve">Viacročný finančný rámec </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4A353D" w:rsidRPr="00D50D44" w:rsidP="009333A9">
            <w:pPr>
              <w:pStyle w:val="Default"/>
              <w:bidi w:val="0"/>
              <w:spacing w:line="276" w:lineRule="auto"/>
              <w:rPr>
                <w:rFonts w:ascii="Times New Roman" w:hAnsi="Times New Roman" w:cs="Times New Roman"/>
                <w:sz w:val="22"/>
                <w:szCs w:val="22"/>
              </w:rPr>
            </w:pPr>
            <w:r w:rsidRPr="00D50D44">
              <w:rPr>
                <w:rFonts w:ascii="Times New Roman" w:hAnsi="Times New Roman" w:cs="Times New Roman"/>
                <w:color w:val="auto"/>
                <w:sz w:val="22"/>
                <w:szCs w:val="22"/>
              </w:rPr>
              <w:t>VO</w:t>
            </w:r>
          </w:p>
        </w:tc>
        <w:tc>
          <w:tcPr>
            <w:tcW w:w="7087" w:type="dxa"/>
            <w:tcBorders>
              <w:top w:val="none" w:sz="0" w:space="0" w:color="auto"/>
              <w:left w:val="none" w:sz="0" w:space="0" w:color="auto"/>
              <w:bottom w:val="none" w:sz="0" w:space="0" w:color="auto"/>
              <w:right w:val="none" w:sz="0" w:space="0" w:color="auto"/>
            </w:tcBorders>
            <w:textDirection w:val="lrTb"/>
            <w:vAlign w:val="top"/>
          </w:tcPr>
          <w:p w:rsidR="004A353D" w:rsidRPr="00D50D44" w:rsidP="009333A9">
            <w:pPr>
              <w:pStyle w:val="Default"/>
              <w:bidi w:val="0"/>
              <w:spacing w:line="276" w:lineRule="auto"/>
              <w:rPr>
                <w:rFonts w:ascii="Times New Roman" w:hAnsi="Times New Roman" w:cs="Times New Roman"/>
                <w:color w:val="auto"/>
                <w:sz w:val="22"/>
                <w:szCs w:val="22"/>
              </w:rPr>
            </w:pPr>
            <w:r w:rsidRPr="00D50D44">
              <w:rPr>
                <w:rFonts w:ascii="Times New Roman" w:hAnsi="Times New Roman" w:cs="Times New Roman"/>
                <w:color w:val="auto"/>
                <w:sz w:val="22"/>
                <w:szCs w:val="22"/>
              </w:rPr>
              <w:t>Verejné obstarávanie</w:t>
            </w:r>
          </w:p>
        </w:tc>
      </w:tr>
      <w:tr>
        <w:tblPrEx>
          <w:tblW w:w="0" w:type="auto"/>
          <w:tblInd w:w="250" w:type="dxa"/>
          <w:tblLook w:val="04A0"/>
        </w:tblPrEx>
        <w:trPr>
          <w:trHeight w:val="227"/>
        </w:trPr>
        <w:tc>
          <w:tcPr>
            <w:tcW w:w="1701" w:type="dxa"/>
            <w:tcBorders>
              <w:top w:val="none" w:sz="0" w:space="0" w:color="auto"/>
              <w:left w:val="none" w:sz="0" w:space="0" w:color="auto"/>
              <w:bottom w:val="none" w:sz="0" w:space="0" w:color="auto"/>
              <w:right w:val="none" w:sz="0" w:space="0" w:color="auto"/>
            </w:tcBorders>
            <w:textDirection w:val="lrTb"/>
            <w:vAlign w:val="top"/>
          </w:tcPr>
          <w:p w:rsidR="004A353D" w:rsidP="009426BD">
            <w:pPr>
              <w:pStyle w:val="Default"/>
              <w:bidi w:val="0"/>
              <w:spacing w:line="276" w:lineRule="auto"/>
              <w:rPr>
                <w:rFonts w:ascii="Times New Roman" w:hAnsi="Times New Roman" w:cs="Times New Roman"/>
                <w:color w:val="auto"/>
                <w:sz w:val="22"/>
                <w:szCs w:val="22"/>
              </w:rPr>
            </w:pPr>
            <w:r>
              <w:rPr>
                <w:rFonts w:ascii="Times New Roman" w:hAnsi="Times New Roman" w:cs="Times New Roman"/>
                <w:color w:val="auto"/>
                <w:sz w:val="22"/>
                <w:szCs w:val="22"/>
              </w:rPr>
              <w:t>ŽoP</w:t>
            </w:r>
          </w:p>
          <w:p w:rsidR="004A353D" w:rsidRPr="00D50D44" w:rsidP="009426BD">
            <w:pPr>
              <w:pStyle w:val="Default"/>
              <w:bidi w:val="0"/>
              <w:spacing w:line="276" w:lineRule="auto"/>
              <w:rPr>
                <w:rFonts w:ascii="Times New Roman" w:hAnsi="Times New Roman" w:cs="Times New Roman"/>
                <w:color w:val="auto"/>
                <w:sz w:val="22"/>
                <w:szCs w:val="22"/>
              </w:rPr>
            </w:pPr>
          </w:p>
        </w:tc>
        <w:tc>
          <w:tcPr>
            <w:tcW w:w="7087" w:type="dxa"/>
            <w:tcBorders>
              <w:top w:val="none" w:sz="0" w:space="0" w:color="auto"/>
              <w:left w:val="none" w:sz="0" w:space="0" w:color="auto"/>
              <w:bottom w:val="none" w:sz="0" w:space="0" w:color="auto"/>
              <w:right w:val="none" w:sz="0" w:space="0" w:color="auto"/>
            </w:tcBorders>
            <w:textDirection w:val="lrTb"/>
            <w:vAlign w:val="top"/>
          </w:tcPr>
          <w:p w:rsidR="004A353D" w:rsidP="009426BD">
            <w:pPr>
              <w:bidi w:val="0"/>
              <w:spacing w:after="0" w:line="240" w:lineRule="auto"/>
              <w:contextualSpacing/>
              <w:jc w:val="both"/>
              <w:rPr>
                <w:rFonts w:ascii="Times New Roman" w:hAnsi="Times New Roman" w:cs="Times New Roman"/>
              </w:rPr>
            </w:pPr>
            <w:r>
              <w:rPr>
                <w:rFonts w:ascii="Times New Roman" w:hAnsi="Times New Roman" w:cs="Times New Roman"/>
              </w:rPr>
              <w:t xml:space="preserve">Žiadosť o platbu </w:t>
            </w:r>
          </w:p>
          <w:p w:rsidR="004A353D" w:rsidP="009426BD">
            <w:pPr>
              <w:bidi w:val="0"/>
              <w:spacing w:after="0" w:line="240" w:lineRule="auto"/>
              <w:contextualSpacing/>
              <w:jc w:val="both"/>
              <w:rPr>
                <w:rFonts w:ascii="Times New Roman" w:hAnsi="Times New Roman" w:cs="Times New Roman"/>
              </w:rPr>
            </w:pPr>
          </w:p>
          <w:p w:rsidR="004A353D" w:rsidRPr="00D50D44" w:rsidP="009426BD">
            <w:pPr>
              <w:bidi w:val="0"/>
              <w:spacing w:after="0" w:line="240" w:lineRule="auto"/>
              <w:contextualSpacing/>
              <w:jc w:val="both"/>
              <w:rPr>
                <w:rFonts w:ascii="Times New Roman" w:hAnsi="Times New Roman" w:cs="Times New Roman"/>
              </w:rPr>
            </w:pPr>
          </w:p>
        </w:tc>
      </w:tr>
    </w:tbl>
    <w:p w:rsidR="00666E50" w:rsidRPr="00D50D44" w:rsidP="009426BD">
      <w:pPr>
        <w:pStyle w:val="Default"/>
        <w:bidi w:val="0"/>
        <w:rPr>
          <w:rFonts w:ascii="Times New Roman" w:hAnsi="Times New Roman" w:cs="Times New Roman"/>
          <w:sz w:val="22"/>
          <w:szCs w:val="22"/>
        </w:rPr>
      </w:pPr>
      <w:r w:rsidRPr="00D50D44">
        <w:rPr>
          <w:rFonts w:ascii="Times New Roman" w:hAnsi="Times New Roman" w:cs="Times New Roman"/>
          <w:sz w:val="22"/>
          <w:szCs w:val="22"/>
        </w:rPr>
        <w:tab/>
      </w:r>
    </w:p>
    <w:p w:rsidR="00666E50" w:rsidRPr="00D50D44" w:rsidP="00666E50">
      <w:pPr>
        <w:pStyle w:val="Default"/>
        <w:bidi w:val="0"/>
        <w:spacing w:after="60"/>
        <w:rPr>
          <w:rFonts w:ascii="Times New Roman" w:hAnsi="Times New Roman" w:cs="Times New Roman"/>
          <w:sz w:val="20"/>
          <w:szCs w:val="20"/>
        </w:rPr>
      </w:pPr>
    </w:p>
    <w:p w:rsidR="00D84102" w:rsidRPr="00D50D44" w:rsidP="00AF352A">
      <w:pPr>
        <w:bidi w:val="0"/>
        <w:ind w:firstLine="567"/>
        <w:jc w:val="both"/>
        <w:rPr>
          <w:rFonts w:ascii="Times New Roman" w:hAnsi="Times New Roman" w:cs="Times New Roman"/>
        </w:rPr>
      </w:pPr>
    </w:p>
    <w:p w:rsidR="00D84102" w:rsidRPr="00D50D44" w:rsidP="00AF352A">
      <w:pPr>
        <w:bidi w:val="0"/>
        <w:ind w:firstLine="567"/>
        <w:jc w:val="both"/>
        <w:rPr>
          <w:rFonts w:ascii="Times New Roman" w:hAnsi="Times New Roman" w:cs="Times New Roman"/>
        </w:rPr>
      </w:pPr>
    </w:p>
    <w:p w:rsidR="00D84102" w:rsidRPr="00D50D44" w:rsidP="00AF352A">
      <w:pPr>
        <w:bidi w:val="0"/>
        <w:ind w:firstLine="567"/>
        <w:jc w:val="both"/>
        <w:rPr>
          <w:rFonts w:ascii="Times New Roman" w:hAnsi="Times New Roman" w:cs="Times New Roman"/>
        </w:rPr>
      </w:pPr>
    </w:p>
    <w:p w:rsidR="00D84102" w:rsidRPr="00D50D44" w:rsidP="00AF352A">
      <w:pPr>
        <w:bidi w:val="0"/>
        <w:ind w:firstLine="567"/>
        <w:jc w:val="both"/>
        <w:rPr>
          <w:rFonts w:ascii="Times New Roman" w:hAnsi="Times New Roman" w:cs="Times New Roman"/>
        </w:rPr>
      </w:pPr>
    </w:p>
    <w:p w:rsidR="00D84102" w:rsidRPr="00D50D44" w:rsidP="00AF352A">
      <w:pPr>
        <w:bidi w:val="0"/>
        <w:ind w:firstLine="567"/>
        <w:jc w:val="both"/>
        <w:rPr>
          <w:rFonts w:ascii="Times New Roman" w:hAnsi="Times New Roman" w:cs="Times New Roman"/>
        </w:rPr>
      </w:pPr>
    </w:p>
    <w:p w:rsidR="00AF352A" w:rsidRPr="00D50D44" w:rsidP="00D37F13">
      <w:pPr>
        <w:bidi w:val="0"/>
        <w:spacing w:line="240" w:lineRule="auto"/>
        <w:jc w:val="both"/>
        <w:rPr>
          <w:rFonts w:ascii="Times New Roman" w:hAnsi="Times New Roman" w:cs="Times New Roman"/>
          <w:color w:val="FF0000"/>
        </w:rPr>
      </w:pPr>
    </w:p>
    <w:sectPr w:rsidSect="00D62C95">
      <w:footerReference w:type="default" r:id="rId9"/>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Arial Narrow">
    <w:altName w:val="Century Gothic"/>
    <w:panose1 w:val="020B0606020202030204"/>
    <w:charset w:val="EE"/>
    <w:family w:val="swiss"/>
    <w:pitch w:val="variable"/>
    <w:sig w:usb0="00000000" w:usb1="00000000" w:usb2="00000000" w:usb3="00000000" w:csb0="0000009F" w:csb1="00000000"/>
  </w:font>
  <w:font w:name="Consolas">
    <w:panose1 w:val="020B0609020204030204"/>
    <w:charset w:val="EE"/>
    <w:family w:val="modern"/>
    <w:pitch w:val="fixed"/>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258">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08369A">
      <w:rPr>
        <w:rFonts w:ascii="Times New Roman" w:hAnsi="Times New Roman"/>
        <w:noProof/>
      </w:rPr>
      <w:t>1</w:t>
    </w:r>
    <w:r>
      <w:rPr>
        <w:rFonts w:ascii="Times New Roman" w:hAnsi="Times New Roman"/>
      </w:rPr>
      <w:fldChar w:fldCharType="end"/>
    </w:r>
  </w:p>
  <w:p w:rsidR="00BA0258" w:rsidRPr="00C412D7" w:rsidP="0090542A">
    <w:pPr>
      <w:pStyle w:val="Footer"/>
      <w:bidi w:val="0"/>
      <w:jc w:val="right"/>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F97">
      <w:pPr>
        <w:bidi w:val="0"/>
        <w:spacing w:after="0" w:line="240" w:lineRule="auto"/>
      </w:pPr>
      <w:r>
        <w:separator/>
      </w:r>
    </w:p>
  </w:footnote>
  <w:footnote w:type="continuationSeparator" w:id="1">
    <w:p w:rsidR="008A5F97">
      <w:pPr>
        <w:bidi w:val="0"/>
        <w:spacing w:after="0" w:line="240" w:lineRule="auto"/>
      </w:pPr>
      <w:r>
        <w:continuationSeparator/>
      </w:r>
    </w:p>
  </w:footnote>
  <w:footnote w:id="2">
    <w:p w:rsidP="001546EF">
      <w:pPr>
        <w:pStyle w:val="FootnoteText"/>
        <w:bidi w:val="0"/>
        <w:jc w:val="both"/>
        <w:rPr>
          <w:rFonts w:ascii="Times New Roman" w:hAnsi="Times New Roman"/>
        </w:rPr>
      </w:pPr>
      <w:r w:rsidRPr="00652BDA" w:rsidR="00BA0258">
        <w:rPr>
          <w:rStyle w:val="FootnoteReference"/>
          <w:rFonts w:ascii="Times New Roman" w:hAnsi="Times New Roman"/>
        </w:rPr>
        <w:footnoteRef/>
      </w:r>
      <w:r w:rsidRPr="00652BDA" w:rsidR="00BA0258">
        <w:rPr>
          <w:rFonts w:ascii="Times New Roman" w:hAnsi="Times New Roman"/>
        </w:rPr>
        <w:t xml:space="preserve"> </w:t>
      </w:r>
      <w:r w:rsidR="00BA0258">
        <w:rPr>
          <w:rFonts w:ascii="Times New Roman" w:hAnsi="Times New Roman"/>
          <w:lang w:val="sk-SK"/>
        </w:rPr>
        <w:t>V</w:t>
      </w:r>
      <w:r w:rsidRPr="00652BDA" w:rsidR="00BA0258">
        <w:rPr>
          <w:rFonts w:ascii="Times New Roman" w:hAnsi="Times New Roman"/>
          <w:lang w:val="sk-SK"/>
        </w:rPr>
        <w:t>ýchodiskový metodický a odborný podklad zo strany riadiaceho orgánu, na základe ktorého žiadateľ o NFP vypracováva a predkladá žiadosti o</w:t>
      </w:r>
      <w:r w:rsidR="00BA0258">
        <w:rPr>
          <w:rFonts w:ascii="Times New Roman" w:hAnsi="Times New Roman"/>
          <w:lang w:val="sk-SK"/>
        </w:rPr>
        <w:t> </w:t>
      </w:r>
      <w:r w:rsidRPr="00652BDA" w:rsidR="00BA0258">
        <w:rPr>
          <w:rFonts w:ascii="Times New Roman" w:hAnsi="Times New Roman"/>
          <w:lang w:val="sk-SK"/>
        </w:rPr>
        <w:t>NFP</w:t>
      </w:r>
      <w:r w:rsidR="00BA0258">
        <w:rPr>
          <w:rFonts w:ascii="Times New Roman" w:hAnsi="Times New Roman"/>
          <w:lang w:val="sk-SK"/>
        </w:rPr>
        <w:t>.</w:t>
      </w:r>
      <w:r w:rsidRPr="00652BDA" w:rsidR="00BA0258">
        <w:rPr>
          <w:rFonts w:ascii="Times New Roman" w:hAnsi="Times New Roman"/>
          <w:lang w:val="sk-SK"/>
        </w:rPr>
        <w:t xml:space="preserve"> </w:t>
      </w:r>
    </w:p>
  </w:footnote>
  <w:footnote w:id="3">
    <w:p w:rsidP="001546EF">
      <w:pPr>
        <w:pStyle w:val="FootnoteText"/>
        <w:bidi w:val="0"/>
        <w:jc w:val="both"/>
        <w:rPr>
          <w:rFonts w:ascii="Times New Roman" w:hAnsi="Times New Roman"/>
        </w:rPr>
      </w:pPr>
      <w:r w:rsidRPr="00652BDA" w:rsidR="00BA0258">
        <w:rPr>
          <w:rStyle w:val="FootnoteReference"/>
          <w:rFonts w:ascii="Times New Roman" w:hAnsi="Times New Roman"/>
        </w:rPr>
        <w:footnoteRef/>
      </w:r>
      <w:r w:rsidRPr="00652BDA" w:rsidR="00BA0258">
        <w:rPr>
          <w:rFonts w:ascii="Times New Roman" w:hAnsi="Times New Roman"/>
        </w:rPr>
        <w:t xml:space="preserve"> </w:t>
      </w:r>
      <w:r w:rsidRPr="00652BDA" w:rsidR="00BA0258">
        <w:rPr>
          <w:rFonts w:ascii="Times New Roman" w:hAnsi="Times New Roman"/>
          <w:lang w:val="sk-SK"/>
        </w:rPr>
        <w:t xml:space="preserve">Nenávratný finančný príspevok (NFP) je suma finančných prostriedkov poskytnutá prijímateľovi na základe schváleného projektu podľa podmienok Zmluvy o poskytnutí nenávratného finančného príspevku z verejných prostriedkov v súlade so zákonom č. 523/2004 o rozpočtových pravidlách verejnej správy a zákonom č. 528/2008 </w:t>
      </w:r>
      <w:r w:rsidRPr="00652BDA" w:rsidR="00BA0258">
        <w:rPr>
          <w:rFonts w:ascii="Times New Roman" w:hAnsi="Times New Roman"/>
        </w:rPr>
        <w:t>o pomoci a podpore poskytovanej z fondov Európskeho spoločenstva v znení neskorších predpisov</w:t>
      </w:r>
      <w:r w:rsidR="00BA0258">
        <w:rPr>
          <w:rFonts w:ascii="Times New Roman" w:hAnsi="Times New Roman"/>
          <w:lang w:val="sk-SK"/>
        </w:rPr>
        <w:t>.</w:t>
      </w:r>
    </w:p>
  </w:footnote>
  <w:footnote w:id="4">
    <w:p w:rsidR="00BA0258" w:rsidRPr="002560B9" w:rsidP="00FB7C7C">
      <w:pPr>
        <w:pStyle w:val="FootnoteText"/>
        <w:bidi w:val="0"/>
        <w:jc w:val="both"/>
        <w:rPr>
          <w:rFonts w:ascii="Times New Roman" w:hAnsi="Times New Roman"/>
          <w:lang w:val="sk-SK"/>
        </w:rPr>
      </w:pPr>
      <w:r w:rsidRPr="002560B9">
        <w:rPr>
          <w:rStyle w:val="FootnoteReference"/>
          <w:rFonts w:ascii="Times New Roman" w:hAnsi="Times New Roman"/>
        </w:rPr>
        <w:footnoteRef/>
      </w:r>
      <w:r w:rsidRPr="002560B9">
        <w:rPr>
          <w:rFonts w:ascii="Times New Roman" w:hAnsi="Times New Roman"/>
        </w:rPr>
        <w:t xml:space="preserve"> </w:t>
      </w:r>
      <w:r w:rsidRPr="002560B9">
        <w:rPr>
          <w:rFonts w:ascii="Times New Roman" w:hAnsi="Times New Roman"/>
          <w:lang w:val="sk-SK"/>
        </w:rPr>
        <w:t xml:space="preserve">Čerpanie znamená stav čerpania finančných prostriedkov ŠF a KF na realizovaných projektoch. Podľa údajov </w:t>
      </w:r>
      <w:r w:rsidRPr="002560B9">
        <w:rPr>
          <w:rFonts w:ascii="Times New Roman" w:hAnsi="Times New Roman"/>
        </w:rPr>
        <w:t>MF SR</w:t>
      </w:r>
      <w:r w:rsidRPr="002560B9">
        <w:rPr>
          <w:rFonts w:ascii="Times New Roman" w:hAnsi="Times New Roman"/>
          <w:lang w:val="sk-SK"/>
        </w:rPr>
        <w:t xml:space="preserve"> dosiahlo čerpanie </w:t>
      </w:r>
      <w:r w:rsidRPr="002560B9">
        <w:rPr>
          <w:rFonts w:ascii="Times New Roman" w:hAnsi="Times New Roman"/>
        </w:rPr>
        <w:t xml:space="preserve"> k 30.</w:t>
      </w:r>
      <w:r w:rsidRPr="002560B9">
        <w:rPr>
          <w:rFonts w:ascii="Times New Roman" w:hAnsi="Times New Roman"/>
          <w:lang w:val="sk-SK"/>
        </w:rPr>
        <w:t>0</w:t>
      </w:r>
      <w:r w:rsidRPr="002560B9">
        <w:rPr>
          <w:rFonts w:ascii="Times New Roman" w:hAnsi="Times New Roman"/>
        </w:rPr>
        <w:t xml:space="preserve">4.2015 </w:t>
      </w:r>
      <w:r w:rsidRPr="002560B9">
        <w:rPr>
          <w:rFonts w:ascii="Times New Roman" w:hAnsi="Times New Roman"/>
          <w:lang w:val="sk-SK"/>
        </w:rPr>
        <w:t xml:space="preserve">úroveň </w:t>
      </w:r>
      <w:r w:rsidRPr="002560B9">
        <w:rPr>
          <w:rFonts w:ascii="Times New Roman" w:hAnsi="Times New Roman"/>
        </w:rPr>
        <w:t xml:space="preserve"> 67,74 % </w:t>
      </w:r>
      <w:r w:rsidRPr="002560B9">
        <w:rPr>
          <w:rFonts w:ascii="Times New Roman" w:hAnsi="Times New Roman"/>
          <w:lang w:val="sk-SK"/>
        </w:rPr>
        <w:t xml:space="preserve">záväzku </w:t>
      </w:r>
      <w:r w:rsidRPr="002560B9">
        <w:rPr>
          <w:rFonts w:ascii="Times New Roman" w:hAnsi="Times New Roman"/>
        </w:rPr>
        <w:t>NSRR</w:t>
      </w:r>
      <w:r w:rsidRPr="002560B9">
        <w:rPr>
          <w:rFonts w:ascii="Times New Roman" w:hAnsi="Times New Roman"/>
          <w:lang w:val="sk-SK"/>
        </w:rPr>
        <w:t xml:space="preserve">, čo predstavuje čiastku </w:t>
      </w:r>
      <w:r w:rsidR="001D246C">
        <w:rPr>
          <w:rFonts w:ascii="Times New Roman" w:hAnsi="Times New Roman"/>
          <w:lang w:val="sk-SK"/>
        </w:rPr>
        <w:br/>
      </w:r>
      <w:r w:rsidRPr="002560B9">
        <w:rPr>
          <w:rFonts w:ascii="Times New Roman" w:hAnsi="Times New Roman"/>
        </w:rPr>
        <w:t>7 778 016 07</w:t>
      </w:r>
      <w:r w:rsidRPr="002560B9">
        <w:rPr>
          <w:rFonts w:ascii="Times New Roman" w:hAnsi="Times New Roman"/>
          <w:lang w:val="sk-SK"/>
        </w:rPr>
        <w:t>3</w:t>
      </w:r>
      <w:r w:rsidRPr="002560B9">
        <w:rPr>
          <w:rFonts w:ascii="Times New Roman" w:hAnsi="Times New Roman"/>
        </w:rPr>
        <w:t xml:space="preserve"> </w:t>
      </w:r>
      <w:r w:rsidR="001D246C">
        <w:rPr>
          <w:rFonts w:ascii="Times New Roman" w:hAnsi="Times New Roman"/>
          <w:lang w:val="sk-SK"/>
        </w:rPr>
        <w:t>EUR</w:t>
      </w:r>
      <w:r w:rsidRPr="002560B9">
        <w:rPr>
          <w:rFonts w:ascii="Times New Roman" w:hAnsi="Times New Roman"/>
        </w:rPr>
        <w:t xml:space="preserve">. </w:t>
      </w:r>
      <w:r w:rsidRPr="002560B9">
        <w:rPr>
          <w:rFonts w:ascii="Times New Roman" w:hAnsi="Times New Roman"/>
          <w:lang w:val="sk-SK"/>
        </w:rPr>
        <w:t xml:space="preserve">Výška </w:t>
      </w:r>
      <w:r w:rsidRPr="002560B9">
        <w:rPr>
          <w:rFonts w:ascii="Times New Roman" w:hAnsi="Times New Roman"/>
        </w:rPr>
        <w:t xml:space="preserve">čerpania zodpovedá schváleným </w:t>
      </w:r>
      <w:r w:rsidRPr="002560B9">
        <w:rPr>
          <w:rFonts w:ascii="Times New Roman" w:hAnsi="Times New Roman"/>
          <w:lang w:val="sk-SK"/>
        </w:rPr>
        <w:t xml:space="preserve"> s</w:t>
      </w:r>
      <w:r w:rsidRPr="002560B9">
        <w:rPr>
          <w:rFonts w:ascii="Times New Roman" w:hAnsi="Times New Roman"/>
        </w:rPr>
        <w:t>úhrnným žiadostiam o platbu</w:t>
      </w:r>
      <w:r w:rsidRPr="002560B9">
        <w:rPr>
          <w:rFonts w:ascii="Times New Roman" w:hAnsi="Times New Roman"/>
          <w:lang w:val="sk-SK"/>
        </w:rPr>
        <w:t xml:space="preserve"> </w:t>
      </w:r>
      <w:r w:rsidRPr="002560B9">
        <w:rPr>
          <w:rFonts w:ascii="Times New Roman" w:hAnsi="Times New Roman"/>
        </w:rPr>
        <w:t xml:space="preserve">očisteným o nezrovnalosti a oproti </w:t>
      </w:r>
      <w:r w:rsidRPr="002560B9">
        <w:rPr>
          <w:rFonts w:ascii="Times New Roman" w:hAnsi="Times New Roman"/>
          <w:lang w:val="sk-SK"/>
        </w:rPr>
        <w:t xml:space="preserve">čiastke uvedenej v samotnom texte dokumentu </w:t>
      </w:r>
      <w:r w:rsidRPr="002560B9">
        <w:rPr>
          <w:rFonts w:ascii="Times New Roman" w:hAnsi="Times New Roman"/>
        </w:rPr>
        <w:t>nezahŕňa už vyplatené ale</w:t>
      </w:r>
      <w:r w:rsidRPr="002560B9">
        <w:rPr>
          <w:rFonts w:ascii="Times New Roman" w:hAnsi="Times New Roman"/>
          <w:lang w:val="sk-SK"/>
        </w:rPr>
        <w:t> </w:t>
      </w:r>
      <w:r w:rsidRPr="002560B9">
        <w:rPr>
          <w:rFonts w:ascii="Times New Roman" w:hAnsi="Times New Roman"/>
        </w:rPr>
        <w:t>nezúčtované zálohy a predfinancovania.</w:t>
      </w:r>
      <w:r w:rsidRPr="002560B9">
        <w:rPr>
          <w:rFonts w:ascii="Times New Roman" w:eastAsia="Times New Roman" w:hAnsi="Times New Roman"/>
          <w:b/>
          <w:bCs/>
        </w:rPr>
        <w:t xml:space="preserve"> </w:t>
      </w:r>
      <w:r w:rsidRPr="002560B9">
        <w:rPr>
          <w:rFonts w:ascii="Times New Roman" w:eastAsia="Times New Roman" w:hAnsi="Times New Roman"/>
          <w:bCs/>
          <w:lang w:val="sk-SK"/>
        </w:rPr>
        <w:t xml:space="preserve">Disponibilný zostatok je preto vyšší a predstavuje sumu </w:t>
      </w:r>
      <w:r w:rsidRPr="002560B9">
        <w:rPr>
          <w:rFonts w:ascii="Times New Roman" w:hAnsi="Times New Roman"/>
        </w:rPr>
        <w:t xml:space="preserve">3 704 742 594 </w:t>
      </w:r>
      <w:r w:rsidR="001D246C">
        <w:rPr>
          <w:rFonts w:ascii="Times New Roman" w:hAnsi="Times New Roman"/>
          <w:lang w:val="sk-SK"/>
        </w:rPr>
        <w:t xml:space="preserve">EUR. </w:t>
      </w:r>
      <w:r w:rsidRPr="002560B9">
        <w:rPr>
          <w:rFonts w:ascii="Times New Roman" w:hAnsi="Times New Roman"/>
        </w:rPr>
        <w:t xml:space="preserve">  </w:t>
      </w:r>
    </w:p>
    <w:p w:rsidP="00FB7C7C">
      <w:pPr>
        <w:pStyle w:val="FootnoteText"/>
        <w:bidi w:val="0"/>
        <w:jc w:val="both"/>
        <w:rPr>
          <w:rFonts w:ascii="Times New Roman" w:hAnsi="Times New Roman"/>
        </w:rPr>
      </w:pPr>
    </w:p>
  </w:footnote>
  <w:footnote w:id="5">
    <w:p w:rsidP="001D028C">
      <w:pPr>
        <w:pStyle w:val="FootnoteText"/>
        <w:bidi w:val="0"/>
        <w:jc w:val="both"/>
        <w:rPr>
          <w:rFonts w:ascii="Times New Roman" w:hAnsi="Times New Roman"/>
        </w:rPr>
      </w:pPr>
      <w:r w:rsidRPr="002560B9" w:rsidR="00BA0258">
        <w:rPr>
          <w:rStyle w:val="FootnoteReference"/>
          <w:rFonts w:ascii="Times New Roman" w:hAnsi="Times New Roman"/>
        </w:rPr>
        <w:footnoteRef/>
      </w:r>
      <w:r w:rsidRPr="002560B9" w:rsidR="00BA0258">
        <w:rPr>
          <w:rFonts w:ascii="Times New Roman" w:hAnsi="Times New Roman"/>
        </w:rPr>
        <w:t xml:space="preserve"> </w:t>
      </w:r>
      <w:r w:rsidRPr="002560B9" w:rsidR="00BA0258">
        <w:rPr>
          <w:rFonts w:ascii="Times New Roman" w:hAnsi="Times New Roman"/>
          <w:lang w:val="sk-SK"/>
        </w:rPr>
        <w:t>Nariadenie Rady EÚ č. 1083/2006, Usmernenia Komisie k ukončeniu operačných programov prijatých na účely využívania pomoci z ERDF, ESF a KF (2007</w:t>
      </w:r>
      <w:r w:rsidR="00BA0258">
        <w:rPr>
          <w:rFonts w:ascii="Times New Roman" w:hAnsi="Times New Roman"/>
          <w:lang w:val="sk-SK"/>
        </w:rPr>
        <w:t xml:space="preserve"> </w:t>
      </w:r>
      <w:r w:rsidRPr="002560B9" w:rsidR="00BA0258">
        <w:rPr>
          <w:rFonts w:ascii="Times New Roman" w:hAnsi="Times New Roman"/>
          <w:lang w:val="sk-SK"/>
        </w:rPr>
        <w:t>-</w:t>
      </w:r>
      <w:r w:rsidR="00BA0258">
        <w:rPr>
          <w:rFonts w:ascii="Times New Roman" w:hAnsi="Times New Roman"/>
          <w:lang w:val="sk-SK"/>
        </w:rPr>
        <w:t xml:space="preserve"> </w:t>
      </w:r>
      <w:r w:rsidRPr="002560B9" w:rsidR="00BA0258">
        <w:rPr>
          <w:rFonts w:ascii="Times New Roman" w:hAnsi="Times New Roman"/>
          <w:lang w:val="sk-SK"/>
        </w:rPr>
        <w:t>2013), Usmernenie MF SR č. 1/2013 – U k ukončeniu pomoci zo ŠF a KF pre programové obdobie 2007</w:t>
      </w:r>
      <w:r w:rsidR="00BA0258">
        <w:rPr>
          <w:rFonts w:ascii="Times New Roman" w:hAnsi="Times New Roman"/>
          <w:lang w:val="sk-SK"/>
        </w:rPr>
        <w:t xml:space="preserve"> </w:t>
      </w:r>
      <w:r w:rsidRPr="002560B9" w:rsidR="00BA0258">
        <w:rPr>
          <w:rFonts w:ascii="Times New Roman" w:hAnsi="Times New Roman"/>
          <w:lang w:val="sk-SK"/>
        </w:rPr>
        <w:t>-</w:t>
      </w:r>
      <w:r w:rsidR="00BA0258">
        <w:rPr>
          <w:rFonts w:ascii="Times New Roman" w:hAnsi="Times New Roman"/>
          <w:lang w:val="sk-SK"/>
        </w:rPr>
        <w:t xml:space="preserve">  </w:t>
      </w:r>
      <w:r w:rsidRPr="002560B9" w:rsidR="00BA0258">
        <w:rPr>
          <w:rFonts w:ascii="Times New Roman" w:hAnsi="Times New Roman"/>
          <w:lang w:val="sk-SK"/>
        </w:rPr>
        <w:t>2013.</w:t>
      </w:r>
    </w:p>
  </w:footnote>
  <w:footnote w:id="6">
    <w:p w:rsidP="00FB7C7C">
      <w:pPr>
        <w:pStyle w:val="FootnoteText"/>
        <w:bidi w:val="0"/>
        <w:jc w:val="both"/>
        <w:rPr>
          <w:rFonts w:ascii="Times New Roman" w:hAnsi="Times New Roman"/>
        </w:rPr>
      </w:pPr>
      <w:r w:rsidRPr="000773A5" w:rsidR="00BA0258">
        <w:rPr>
          <w:rStyle w:val="FootnoteReference"/>
          <w:rFonts w:ascii="Times New Roman" w:hAnsi="Times New Roman"/>
        </w:rPr>
        <w:footnoteRef/>
      </w:r>
      <w:r w:rsidRPr="000773A5" w:rsidR="00BA0258">
        <w:rPr>
          <w:rFonts w:ascii="Times New Roman" w:hAnsi="Times New Roman"/>
        </w:rPr>
        <w:t xml:space="preserve"> </w:t>
      </w:r>
      <w:r w:rsidRPr="000773A5" w:rsidR="00BA0258">
        <w:rPr>
          <w:rFonts w:ascii="Times New Roman" w:hAnsi="Times New Roman"/>
          <w:lang w:val="sk-SK"/>
        </w:rPr>
        <w:t>RO</w:t>
      </w:r>
      <w:r w:rsidRPr="000773A5" w:rsidR="00BA0258">
        <w:rPr>
          <w:rFonts w:ascii="Times New Roman" w:hAnsi="Times New Roman"/>
        </w:rPr>
        <w:t xml:space="preserve"> môže požiadať o zmenu OP vráten</w:t>
      </w:r>
      <w:r w:rsidRPr="000773A5" w:rsidR="00BA0258">
        <w:rPr>
          <w:rFonts w:ascii="Times New Roman" w:hAnsi="Times New Roman"/>
          <w:lang w:val="sk-SK"/>
        </w:rPr>
        <w:t>e</w:t>
      </w:r>
      <w:r w:rsidRPr="000773A5" w:rsidR="00BA0258">
        <w:rPr>
          <w:rFonts w:ascii="Times New Roman" w:hAnsi="Times New Roman"/>
        </w:rPr>
        <w:t xml:space="preserve"> zmien vo finančnom pláne za účelom prevodu finančných prostriedkov medzi prioritnými osami OP do konečného dátumu oprávnenosti výdavkov, t.j. do 31. 12. 2015. Vzhľadom na včasnú prípravu ukončenia programového obdobia </w:t>
      </w:r>
      <w:r w:rsidRPr="000773A5" w:rsidR="00BA0258">
        <w:rPr>
          <w:rFonts w:ascii="Times New Roman" w:hAnsi="Times New Roman"/>
          <w:lang w:val="sk-SK"/>
        </w:rPr>
        <w:t xml:space="preserve">odporúča </w:t>
      </w:r>
      <w:r w:rsidR="00BA0258">
        <w:rPr>
          <w:rFonts w:ascii="Times New Roman" w:hAnsi="Times New Roman"/>
          <w:lang w:val="sk-SK"/>
        </w:rPr>
        <w:t>EK</w:t>
      </w:r>
      <w:r w:rsidRPr="000773A5" w:rsidR="00BA0258">
        <w:rPr>
          <w:rFonts w:ascii="Times New Roman" w:hAnsi="Times New Roman"/>
          <w:lang w:val="sk-SK"/>
        </w:rPr>
        <w:t xml:space="preserve"> </w:t>
      </w:r>
      <w:r w:rsidRPr="000773A5" w:rsidR="00BA0258">
        <w:rPr>
          <w:rFonts w:ascii="Times New Roman" w:hAnsi="Times New Roman"/>
        </w:rPr>
        <w:t>podať žiadosť o zmenu a doplnenie rozhodnutia do 30. septembra 2015</w:t>
      </w:r>
      <w:r w:rsidRPr="000773A5" w:rsidR="00BA0258">
        <w:rPr>
          <w:rFonts w:ascii="Times New Roman" w:hAnsi="Times New Roman"/>
          <w:lang w:val="sk-SK"/>
        </w:rPr>
        <w:t xml:space="preserve">. </w:t>
      </w:r>
    </w:p>
  </w:footnote>
  <w:footnote w:id="7">
    <w:p w:rsidP="00FB7C7C">
      <w:pPr>
        <w:pStyle w:val="FootnoteText"/>
        <w:bidi w:val="0"/>
        <w:jc w:val="both"/>
        <w:rPr>
          <w:rFonts w:ascii="Times New Roman" w:hAnsi="Times New Roman"/>
        </w:rPr>
      </w:pPr>
      <w:r w:rsidRPr="000773A5" w:rsidR="00BA0258">
        <w:rPr>
          <w:rStyle w:val="FootnoteReference"/>
          <w:rFonts w:ascii="Times New Roman" w:hAnsi="Times New Roman"/>
        </w:rPr>
        <w:footnoteRef/>
      </w:r>
      <w:r w:rsidRPr="000773A5" w:rsidR="00BA0258">
        <w:rPr>
          <w:rFonts w:ascii="Times New Roman" w:hAnsi="Times New Roman"/>
        </w:rPr>
        <w:t xml:space="preserve"> OP D</w:t>
      </w:r>
      <w:r w:rsidRPr="000773A5" w:rsidR="00BA0258">
        <w:rPr>
          <w:rFonts w:ascii="Times New Roman" w:hAnsi="Times New Roman"/>
          <w:lang w:val="sk-SK"/>
        </w:rPr>
        <w:t xml:space="preserve">oprava </w:t>
      </w:r>
      <w:r w:rsidRPr="000773A5" w:rsidR="00BA0258">
        <w:rPr>
          <w:rFonts w:ascii="Times New Roman" w:hAnsi="Times New Roman"/>
        </w:rPr>
        <w:t>je financovaný s výnimkou jedného železničného projektu</w:t>
      </w:r>
      <w:r w:rsidRPr="000773A5" w:rsidR="00BA0258">
        <w:rPr>
          <w:rFonts w:ascii="Times New Roman" w:hAnsi="Times New Roman"/>
          <w:lang w:val="sk-SK"/>
        </w:rPr>
        <w:t>,</w:t>
      </w:r>
      <w:r w:rsidRPr="000773A5" w:rsidR="00BA0258">
        <w:rPr>
          <w:rFonts w:ascii="Times New Roman" w:hAnsi="Times New Roman"/>
        </w:rPr>
        <w:t xml:space="preserve">  OP</w:t>
      </w:r>
      <w:r w:rsidRPr="000773A5" w:rsidR="00BA0258">
        <w:rPr>
          <w:rFonts w:ascii="Times New Roman" w:hAnsi="Times New Roman"/>
          <w:lang w:val="sk-SK"/>
        </w:rPr>
        <w:t xml:space="preserve"> Zamestnanosť a sociálna inklúzia </w:t>
      </w:r>
      <w:r w:rsidRPr="000773A5" w:rsidR="00BA0258">
        <w:rPr>
          <w:rFonts w:ascii="Times New Roman" w:hAnsi="Times New Roman"/>
        </w:rPr>
        <w:t>s výnimkou dopytovo-orientovaných projektov</w:t>
      </w:r>
      <w:r w:rsidRPr="000773A5" w:rsidR="00BA0258">
        <w:rPr>
          <w:rFonts w:ascii="Times New Roman" w:hAnsi="Times New Roman"/>
          <w:lang w:val="sk-SK"/>
        </w:rPr>
        <w:t xml:space="preserve"> a OP Technická pomoc </w:t>
      </w:r>
      <w:r w:rsidRPr="000773A5" w:rsidR="00BA0258">
        <w:rPr>
          <w:rFonts w:ascii="Times New Roman" w:hAnsi="Times New Roman"/>
        </w:rPr>
        <w:t>s výnimkou opatrenia 1. 5 Informačné systémy pre účely riadenia a implementácie regionálnej politiky SR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E47FF"/>
    <w:multiLevelType w:val="hybridMultilevel"/>
    <w:tmpl w:val="15F84C1A"/>
    <w:lvl w:ilvl="0">
      <w:start w:val="1"/>
      <w:numFmt w:val="decimal"/>
      <w:lvlText w:val="%1."/>
      <w:lvlJc w:val="left"/>
      <w:pPr>
        <w:ind w:left="1485" w:hanging="360"/>
      </w:pPr>
      <w:rPr>
        <w:rFonts w:cs="Times New Roman"/>
        <w:rtl w:val="0"/>
        <w:cs w:val="0"/>
      </w:rPr>
    </w:lvl>
    <w:lvl w:ilvl="1">
      <w:start w:val="1"/>
      <w:numFmt w:val="lowerLetter"/>
      <w:lvlText w:val="%2."/>
      <w:lvlJc w:val="left"/>
      <w:pPr>
        <w:ind w:left="2205" w:hanging="360"/>
      </w:pPr>
      <w:rPr>
        <w:rFonts w:cs="Times New Roman"/>
        <w:rtl w:val="0"/>
        <w:cs w:val="0"/>
      </w:rPr>
    </w:lvl>
    <w:lvl w:ilvl="2">
      <w:start w:val="1"/>
      <w:numFmt w:val="lowerRoman"/>
      <w:lvlText w:val="%3."/>
      <w:lvlJc w:val="right"/>
      <w:pPr>
        <w:ind w:left="2925" w:hanging="180"/>
      </w:pPr>
      <w:rPr>
        <w:rFonts w:cs="Times New Roman"/>
        <w:rtl w:val="0"/>
        <w:cs w:val="0"/>
      </w:rPr>
    </w:lvl>
    <w:lvl w:ilvl="3">
      <w:start w:val="1"/>
      <w:numFmt w:val="decimal"/>
      <w:lvlText w:val="%4."/>
      <w:lvlJc w:val="left"/>
      <w:pPr>
        <w:ind w:left="3645" w:hanging="360"/>
      </w:pPr>
      <w:rPr>
        <w:rFonts w:cs="Times New Roman"/>
        <w:rtl w:val="0"/>
        <w:cs w:val="0"/>
      </w:rPr>
    </w:lvl>
    <w:lvl w:ilvl="4">
      <w:start w:val="1"/>
      <w:numFmt w:val="lowerLetter"/>
      <w:lvlText w:val="%5."/>
      <w:lvlJc w:val="left"/>
      <w:pPr>
        <w:ind w:left="4365" w:hanging="360"/>
      </w:pPr>
      <w:rPr>
        <w:rFonts w:cs="Times New Roman"/>
        <w:rtl w:val="0"/>
        <w:cs w:val="0"/>
      </w:rPr>
    </w:lvl>
    <w:lvl w:ilvl="5">
      <w:start w:val="1"/>
      <w:numFmt w:val="lowerRoman"/>
      <w:lvlText w:val="%6."/>
      <w:lvlJc w:val="right"/>
      <w:pPr>
        <w:ind w:left="5085" w:hanging="180"/>
      </w:pPr>
      <w:rPr>
        <w:rFonts w:cs="Times New Roman"/>
        <w:rtl w:val="0"/>
        <w:cs w:val="0"/>
      </w:rPr>
    </w:lvl>
    <w:lvl w:ilvl="6">
      <w:start w:val="1"/>
      <w:numFmt w:val="decimal"/>
      <w:lvlText w:val="%7."/>
      <w:lvlJc w:val="left"/>
      <w:pPr>
        <w:ind w:left="5805" w:hanging="360"/>
      </w:pPr>
      <w:rPr>
        <w:rFonts w:cs="Times New Roman"/>
        <w:rtl w:val="0"/>
        <w:cs w:val="0"/>
      </w:rPr>
    </w:lvl>
    <w:lvl w:ilvl="7">
      <w:start w:val="1"/>
      <w:numFmt w:val="lowerLetter"/>
      <w:lvlText w:val="%8."/>
      <w:lvlJc w:val="left"/>
      <w:pPr>
        <w:ind w:left="6525" w:hanging="360"/>
      </w:pPr>
      <w:rPr>
        <w:rFonts w:cs="Times New Roman"/>
        <w:rtl w:val="0"/>
        <w:cs w:val="0"/>
      </w:rPr>
    </w:lvl>
    <w:lvl w:ilvl="8">
      <w:start w:val="1"/>
      <w:numFmt w:val="lowerRoman"/>
      <w:lvlText w:val="%9."/>
      <w:lvlJc w:val="right"/>
      <w:pPr>
        <w:ind w:left="7245" w:hanging="180"/>
      </w:pPr>
      <w:rPr>
        <w:rFonts w:cs="Times New Roman"/>
        <w:rtl w:val="0"/>
        <w:cs w:val="0"/>
      </w:rPr>
    </w:lvl>
  </w:abstractNum>
  <w:abstractNum w:abstractNumId="1">
    <w:nsid w:val="043E74BF"/>
    <w:multiLevelType w:val="hybridMultilevel"/>
    <w:tmpl w:val="19CAA93A"/>
    <w:lvl w:ilvl="0">
      <w:start w:val="67"/>
      <w:numFmt w:val="decimal"/>
      <w:lvlText w:val="%1"/>
      <w:lvlJc w:val="left"/>
      <w:pPr>
        <w:ind w:left="738" w:hanging="360"/>
      </w:pPr>
      <w:rPr>
        <w:rFonts w:cs="Times New Roman" w:hint="default"/>
        <w:rtl w:val="0"/>
        <w:cs w:val="0"/>
      </w:rPr>
    </w:lvl>
    <w:lvl w:ilvl="1">
      <w:start w:val="1"/>
      <w:numFmt w:val="lowerLetter"/>
      <w:lvlText w:val="%2."/>
      <w:lvlJc w:val="left"/>
      <w:pPr>
        <w:ind w:left="1458" w:hanging="360"/>
      </w:pPr>
      <w:rPr>
        <w:rFonts w:cs="Times New Roman"/>
        <w:rtl w:val="0"/>
        <w:cs w:val="0"/>
      </w:rPr>
    </w:lvl>
    <w:lvl w:ilvl="2">
      <w:start w:val="1"/>
      <w:numFmt w:val="lowerRoman"/>
      <w:lvlText w:val="%3."/>
      <w:lvlJc w:val="right"/>
      <w:pPr>
        <w:ind w:left="2178" w:hanging="180"/>
      </w:pPr>
      <w:rPr>
        <w:rFonts w:cs="Times New Roman"/>
        <w:rtl w:val="0"/>
        <w:cs w:val="0"/>
      </w:rPr>
    </w:lvl>
    <w:lvl w:ilvl="3">
      <w:start w:val="1"/>
      <w:numFmt w:val="decimal"/>
      <w:lvlText w:val="%4."/>
      <w:lvlJc w:val="left"/>
      <w:pPr>
        <w:ind w:left="2898" w:hanging="360"/>
      </w:pPr>
      <w:rPr>
        <w:rFonts w:cs="Times New Roman"/>
        <w:rtl w:val="0"/>
        <w:cs w:val="0"/>
      </w:rPr>
    </w:lvl>
    <w:lvl w:ilvl="4">
      <w:start w:val="1"/>
      <w:numFmt w:val="lowerLetter"/>
      <w:lvlText w:val="%5."/>
      <w:lvlJc w:val="left"/>
      <w:pPr>
        <w:ind w:left="3618" w:hanging="360"/>
      </w:pPr>
      <w:rPr>
        <w:rFonts w:cs="Times New Roman"/>
        <w:rtl w:val="0"/>
        <w:cs w:val="0"/>
      </w:rPr>
    </w:lvl>
    <w:lvl w:ilvl="5">
      <w:start w:val="1"/>
      <w:numFmt w:val="lowerRoman"/>
      <w:lvlText w:val="%6."/>
      <w:lvlJc w:val="right"/>
      <w:pPr>
        <w:ind w:left="4338" w:hanging="180"/>
      </w:pPr>
      <w:rPr>
        <w:rFonts w:cs="Times New Roman"/>
        <w:rtl w:val="0"/>
        <w:cs w:val="0"/>
      </w:rPr>
    </w:lvl>
    <w:lvl w:ilvl="6">
      <w:start w:val="1"/>
      <w:numFmt w:val="decimal"/>
      <w:lvlText w:val="%7."/>
      <w:lvlJc w:val="left"/>
      <w:pPr>
        <w:ind w:left="5058" w:hanging="360"/>
      </w:pPr>
      <w:rPr>
        <w:rFonts w:cs="Times New Roman"/>
        <w:rtl w:val="0"/>
        <w:cs w:val="0"/>
      </w:rPr>
    </w:lvl>
    <w:lvl w:ilvl="7">
      <w:start w:val="1"/>
      <w:numFmt w:val="lowerLetter"/>
      <w:lvlText w:val="%8."/>
      <w:lvlJc w:val="left"/>
      <w:pPr>
        <w:ind w:left="5778" w:hanging="360"/>
      </w:pPr>
      <w:rPr>
        <w:rFonts w:cs="Times New Roman"/>
        <w:rtl w:val="0"/>
        <w:cs w:val="0"/>
      </w:rPr>
    </w:lvl>
    <w:lvl w:ilvl="8">
      <w:start w:val="1"/>
      <w:numFmt w:val="lowerRoman"/>
      <w:lvlText w:val="%9."/>
      <w:lvlJc w:val="right"/>
      <w:pPr>
        <w:ind w:left="6498" w:hanging="180"/>
      </w:pPr>
      <w:rPr>
        <w:rFonts w:cs="Times New Roman"/>
        <w:rtl w:val="0"/>
        <w:cs w:val="0"/>
      </w:rPr>
    </w:lvl>
  </w:abstractNum>
  <w:abstractNum w:abstractNumId="2">
    <w:nsid w:val="06E06E15"/>
    <w:multiLevelType w:val="hybridMultilevel"/>
    <w:tmpl w:val="BD62D0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92E548F"/>
    <w:multiLevelType w:val="hybridMultilevel"/>
    <w:tmpl w:val="90BE4386"/>
    <w:lvl w:ilvl="0">
      <w:start w:val="8"/>
      <w:numFmt w:val="decimal"/>
      <w:lvlText w:val="%1."/>
      <w:lvlJc w:val="left"/>
      <w:pPr>
        <w:ind w:left="36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0430E22"/>
    <w:multiLevelType w:val="hybridMultilevel"/>
    <w:tmpl w:val="A42A6020"/>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abstractNum w:abstractNumId="5">
    <w:nsid w:val="10455942"/>
    <w:multiLevelType w:val="hybridMultilevel"/>
    <w:tmpl w:val="14C425B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3794D51"/>
    <w:multiLevelType w:val="hybridMultilevel"/>
    <w:tmpl w:val="59E2A24E"/>
    <w:lvl w:ilvl="0">
      <w:start w:val="5"/>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4B759BC"/>
    <w:multiLevelType w:val="hybridMultilevel"/>
    <w:tmpl w:val="FA925D7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175E27AF"/>
    <w:multiLevelType w:val="hybridMultilevel"/>
    <w:tmpl w:val="D5B41732"/>
    <w:lvl w:ilvl="0">
      <w:start w:val="3"/>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1AD5141F"/>
    <w:multiLevelType w:val="multilevel"/>
    <w:tmpl w:val="FE2A4FD2"/>
    <w:lvl w:ilvl="0">
      <w:start w:val="1"/>
      <w:numFmt w:val="decimal"/>
      <w:lvlText w:val="%1."/>
      <w:lvlJc w:val="left"/>
      <w:pPr>
        <w:ind w:left="720" w:hanging="360"/>
      </w:pPr>
      <w:rPr>
        <w:rFonts w:cs="Times New Roman"/>
        <w:rtl w:val="0"/>
        <w:cs w:val="0"/>
      </w:rPr>
    </w:lvl>
    <w:lvl w:ilvl="1">
      <w:start w:val="1"/>
      <w:numFmt w:val="decimal"/>
      <w:isLgl/>
      <w:lvlText w:val="%1.%2."/>
      <w:lvlJc w:val="left"/>
      <w:pPr>
        <w:ind w:left="720" w:hanging="360"/>
      </w:pPr>
      <w:rPr>
        <w:rFonts w:cs="Times New Roman" w:hint="default"/>
        <w:rtl w:val="0"/>
        <w:cs w:val="0"/>
      </w:rPr>
    </w:lvl>
    <w:lvl w:ilvl="2">
      <w:start w:val="1"/>
      <w:numFmt w:val="decimal"/>
      <w:isLgl/>
      <w:lvlText w:val="%1.%2.%3."/>
      <w:lvlJc w:val="left"/>
      <w:pPr>
        <w:ind w:left="1080" w:hanging="720"/>
      </w:pPr>
      <w:rPr>
        <w:rFonts w:cs="Times New Roman" w:hint="default"/>
        <w:rtl w:val="0"/>
        <w:cs w:val="0"/>
      </w:rPr>
    </w:lvl>
    <w:lvl w:ilvl="3">
      <w:start w:val="1"/>
      <w:numFmt w:val="decimal"/>
      <w:isLgl/>
      <w:lvlText w:val="%1.%2.%3.%4."/>
      <w:lvlJc w:val="left"/>
      <w:pPr>
        <w:ind w:left="1080" w:hanging="720"/>
      </w:pPr>
      <w:rPr>
        <w:rFonts w:cs="Times New Roman" w:hint="default"/>
        <w:rtl w:val="0"/>
        <w:cs w:val="0"/>
      </w:rPr>
    </w:lvl>
    <w:lvl w:ilvl="4">
      <w:start w:val="1"/>
      <w:numFmt w:val="decimal"/>
      <w:isLgl/>
      <w:lvlText w:val="%1.%2.%3.%4.%5."/>
      <w:lvlJc w:val="left"/>
      <w:pPr>
        <w:ind w:left="1440" w:hanging="1080"/>
      </w:pPr>
      <w:rPr>
        <w:rFonts w:cs="Times New Roman" w:hint="default"/>
        <w:rtl w:val="0"/>
        <w:cs w:val="0"/>
      </w:rPr>
    </w:lvl>
    <w:lvl w:ilvl="5">
      <w:start w:val="1"/>
      <w:numFmt w:val="decimal"/>
      <w:isLgl/>
      <w:lvlText w:val="%1.%2.%3.%4.%5.%6."/>
      <w:lvlJc w:val="left"/>
      <w:pPr>
        <w:ind w:left="1440" w:hanging="1080"/>
      </w:pPr>
      <w:rPr>
        <w:rFonts w:cs="Times New Roman" w:hint="default"/>
        <w:rtl w:val="0"/>
        <w:cs w:val="0"/>
      </w:rPr>
    </w:lvl>
    <w:lvl w:ilvl="6">
      <w:start w:val="1"/>
      <w:numFmt w:val="decimal"/>
      <w:isLgl/>
      <w:lvlText w:val="%1.%2.%3.%4.%5.%6.%7."/>
      <w:lvlJc w:val="left"/>
      <w:pPr>
        <w:ind w:left="1800" w:hanging="1440"/>
      </w:pPr>
      <w:rPr>
        <w:rFonts w:cs="Times New Roman" w:hint="default"/>
        <w:rtl w:val="0"/>
        <w:cs w:val="0"/>
      </w:rPr>
    </w:lvl>
    <w:lvl w:ilvl="7">
      <w:start w:val="1"/>
      <w:numFmt w:val="decimal"/>
      <w:isLgl/>
      <w:lvlText w:val="%1.%2.%3.%4.%5.%6.%7.%8."/>
      <w:lvlJc w:val="left"/>
      <w:pPr>
        <w:ind w:left="1800" w:hanging="1440"/>
      </w:pPr>
      <w:rPr>
        <w:rFonts w:cs="Times New Roman" w:hint="default"/>
        <w:rtl w:val="0"/>
        <w:cs w:val="0"/>
      </w:rPr>
    </w:lvl>
    <w:lvl w:ilvl="8">
      <w:start w:val="1"/>
      <w:numFmt w:val="decimal"/>
      <w:isLgl/>
      <w:lvlText w:val="%1.%2.%3.%4.%5.%6.%7.%8.%9."/>
      <w:lvlJc w:val="left"/>
      <w:pPr>
        <w:ind w:left="2160" w:hanging="1800"/>
      </w:pPr>
      <w:rPr>
        <w:rFonts w:cs="Times New Roman" w:hint="default"/>
        <w:rtl w:val="0"/>
        <w:cs w:val="0"/>
      </w:rPr>
    </w:lvl>
  </w:abstractNum>
  <w:abstractNum w:abstractNumId="10">
    <w:nsid w:val="1D161015"/>
    <w:multiLevelType w:val="hybridMultilevel"/>
    <w:tmpl w:val="445AC3C6"/>
    <w:lvl w:ilvl="0">
      <w:start w:val="1"/>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23C02E4"/>
    <w:multiLevelType w:val="hybridMultilevel"/>
    <w:tmpl w:val="3EEC68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22DB687A"/>
    <w:multiLevelType w:val="hybridMultilevel"/>
    <w:tmpl w:val="58B45A54"/>
    <w:lvl w:ilvl="0">
      <w:start w:val="67"/>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23401633"/>
    <w:multiLevelType w:val="hybridMultilevel"/>
    <w:tmpl w:val="A156F26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257D5311"/>
    <w:multiLevelType w:val="hybridMultilevel"/>
    <w:tmpl w:val="FCC25BEC"/>
    <w:lvl w:ilvl="0">
      <w:start w:val="0"/>
      <w:numFmt w:val="bullet"/>
      <w:lvlText w:val="-"/>
      <w:lvlJc w:val="left"/>
      <w:pPr>
        <w:ind w:left="720" w:hanging="360"/>
      </w:pPr>
      <w:rPr>
        <w:rFonts w:ascii="Arial Narrow" w:eastAsia="Times New Roman" w:hAnsi="Arial Narro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311F31A7"/>
    <w:multiLevelType w:val="hybridMultilevel"/>
    <w:tmpl w:val="4A2A91C0"/>
    <w:lvl w:ilvl="0">
      <w:start w:val="1"/>
      <w:numFmt w:val="bullet"/>
      <w:lvlText w:val=""/>
      <w:lvlJc w:val="left"/>
      <w:pPr>
        <w:ind w:left="785" w:hanging="360"/>
      </w:pPr>
      <w:rPr>
        <w:rFonts w:ascii="Wingdings" w:hAnsi="Wingdings" w:hint="default"/>
      </w:rPr>
    </w:lvl>
    <w:lvl w:ilvl="1">
      <w:start w:val="1"/>
      <w:numFmt w:val="bullet"/>
      <w:lvlText w:val="o"/>
      <w:lvlJc w:val="left"/>
      <w:pPr>
        <w:ind w:left="731" w:hanging="360"/>
      </w:pPr>
      <w:rPr>
        <w:rFonts w:ascii="Courier New" w:hAnsi="Courier New" w:hint="default"/>
      </w:rPr>
    </w:lvl>
    <w:lvl w:ilvl="2">
      <w:start w:val="1"/>
      <w:numFmt w:val="bullet"/>
      <w:lvlText w:val=""/>
      <w:lvlJc w:val="left"/>
      <w:pPr>
        <w:ind w:left="1451" w:hanging="360"/>
      </w:pPr>
      <w:rPr>
        <w:rFonts w:ascii="Wingdings" w:hAnsi="Wingdings" w:hint="default"/>
      </w:rPr>
    </w:lvl>
    <w:lvl w:ilvl="3">
      <w:start w:val="1"/>
      <w:numFmt w:val="bullet"/>
      <w:lvlText w:val=""/>
      <w:lvlJc w:val="left"/>
      <w:pPr>
        <w:ind w:left="2171" w:hanging="360"/>
      </w:pPr>
      <w:rPr>
        <w:rFonts w:ascii="Symbol" w:hAnsi="Symbol" w:hint="default"/>
      </w:rPr>
    </w:lvl>
    <w:lvl w:ilvl="4">
      <w:start w:val="1"/>
      <w:numFmt w:val="bullet"/>
      <w:lvlText w:val="o"/>
      <w:lvlJc w:val="left"/>
      <w:pPr>
        <w:ind w:left="2891" w:hanging="360"/>
      </w:pPr>
      <w:rPr>
        <w:rFonts w:ascii="Courier New" w:hAnsi="Courier New" w:hint="default"/>
      </w:rPr>
    </w:lvl>
    <w:lvl w:ilvl="5">
      <w:start w:val="1"/>
      <w:numFmt w:val="bullet"/>
      <w:lvlText w:val=""/>
      <w:lvlJc w:val="left"/>
      <w:pPr>
        <w:ind w:left="3611" w:hanging="360"/>
      </w:pPr>
      <w:rPr>
        <w:rFonts w:ascii="Wingdings" w:hAnsi="Wingdings" w:hint="default"/>
      </w:rPr>
    </w:lvl>
    <w:lvl w:ilvl="6">
      <w:start w:val="1"/>
      <w:numFmt w:val="bullet"/>
      <w:lvlText w:val=""/>
      <w:lvlJc w:val="left"/>
      <w:pPr>
        <w:ind w:left="4331" w:hanging="360"/>
      </w:pPr>
      <w:rPr>
        <w:rFonts w:ascii="Symbol" w:hAnsi="Symbol" w:hint="default"/>
      </w:rPr>
    </w:lvl>
    <w:lvl w:ilvl="7">
      <w:start w:val="1"/>
      <w:numFmt w:val="bullet"/>
      <w:lvlText w:val="o"/>
      <w:lvlJc w:val="left"/>
      <w:pPr>
        <w:ind w:left="5051" w:hanging="360"/>
      </w:pPr>
      <w:rPr>
        <w:rFonts w:ascii="Courier New" w:hAnsi="Courier New" w:hint="default"/>
      </w:rPr>
    </w:lvl>
    <w:lvl w:ilvl="8">
      <w:start w:val="1"/>
      <w:numFmt w:val="bullet"/>
      <w:lvlText w:val=""/>
      <w:lvlJc w:val="left"/>
      <w:pPr>
        <w:ind w:left="5771" w:hanging="360"/>
      </w:pPr>
      <w:rPr>
        <w:rFonts w:ascii="Wingdings" w:hAnsi="Wingdings" w:hint="default"/>
      </w:rPr>
    </w:lvl>
  </w:abstractNum>
  <w:abstractNum w:abstractNumId="16">
    <w:nsid w:val="38B1102B"/>
    <w:multiLevelType w:val="hybridMultilevel"/>
    <w:tmpl w:val="B11857BE"/>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40D6196D"/>
    <w:multiLevelType w:val="hybridMultilevel"/>
    <w:tmpl w:val="050612A4"/>
    <w:lvl w:ilvl="0">
      <w:start w:val="67"/>
      <w:numFmt w:val="decimal"/>
      <w:lvlText w:val="%1"/>
      <w:lvlJc w:val="left"/>
      <w:pPr>
        <w:ind w:left="738" w:hanging="360"/>
      </w:pPr>
      <w:rPr>
        <w:rFonts w:cs="Times New Roman" w:hint="default"/>
        <w:rtl w:val="0"/>
        <w:cs w:val="0"/>
      </w:rPr>
    </w:lvl>
    <w:lvl w:ilvl="1">
      <w:start w:val="1"/>
      <w:numFmt w:val="lowerLetter"/>
      <w:lvlText w:val="%2."/>
      <w:lvlJc w:val="left"/>
      <w:pPr>
        <w:ind w:left="1458" w:hanging="360"/>
      </w:pPr>
      <w:rPr>
        <w:rFonts w:cs="Times New Roman"/>
        <w:rtl w:val="0"/>
        <w:cs w:val="0"/>
      </w:rPr>
    </w:lvl>
    <w:lvl w:ilvl="2">
      <w:start w:val="1"/>
      <w:numFmt w:val="lowerRoman"/>
      <w:lvlText w:val="%3."/>
      <w:lvlJc w:val="right"/>
      <w:pPr>
        <w:ind w:left="2178" w:hanging="180"/>
      </w:pPr>
      <w:rPr>
        <w:rFonts w:cs="Times New Roman"/>
        <w:rtl w:val="0"/>
        <w:cs w:val="0"/>
      </w:rPr>
    </w:lvl>
    <w:lvl w:ilvl="3">
      <w:start w:val="1"/>
      <w:numFmt w:val="decimal"/>
      <w:lvlText w:val="%4."/>
      <w:lvlJc w:val="left"/>
      <w:pPr>
        <w:ind w:left="2898" w:hanging="360"/>
      </w:pPr>
      <w:rPr>
        <w:rFonts w:cs="Times New Roman"/>
        <w:rtl w:val="0"/>
        <w:cs w:val="0"/>
      </w:rPr>
    </w:lvl>
    <w:lvl w:ilvl="4">
      <w:start w:val="1"/>
      <w:numFmt w:val="lowerLetter"/>
      <w:lvlText w:val="%5."/>
      <w:lvlJc w:val="left"/>
      <w:pPr>
        <w:ind w:left="3618" w:hanging="360"/>
      </w:pPr>
      <w:rPr>
        <w:rFonts w:cs="Times New Roman"/>
        <w:rtl w:val="0"/>
        <w:cs w:val="0"/>
      </w:rPr>
    </w:lvl>
    <w:lvl w:ilvl="5">
      <w:start w:val="1"/>
      <w:numFmt w:val="lowerRoman"/>
      <w:lvlText w:val="%6."/>
      <w:lvlJc w:val="right"/>
      <w:pPr>
        <w:ind w:left="4338" w:hanging="180"/>
      </w:pPr>
      <w:rPr>
        <w:rFonts w:cs="Times New Roman"/>
        <w:rtl w:val="0"/>
        <w:cs w:val="0"/>
      </w:rPr>
    </w:lvl>
    <w:lvl w:ilvl="6">
      <w:start w:val="1"/>
      <w:numFmt w:val="decimal"/>
      <w:lvlText w:val="%7."/>
      <w:lvlJc w:val="left"/>
      <w:pPr>
        <w:ind w:left="5058" w:hanging="360"/>
      </w:pPr>
      <w:rPr>
        <w:rFonts w:cs="Times New Roman"/>
        <w:rtl w:val="0"/>
        <w:cs w:val="0"/>
      </w:rPr>
    </w:lvl>
    <w:lvl w:ilvl="7">
      <w:start w:val="1"/>
      <w:numFmt w:val="lowerLetter"/>
      <w:lvlText w:val="%8."/>
      <w:lvlJc w:val="left"/>
      <w:pPr>
        <w:ind w:left="5778" w:hanging="360"/>
      </w:pPr>
      <w:rPr>
        <w:rFonts w:cs="Times New Roman"/>
        <w:rtl w:val="0"/>
        <w:cs w:val="0"/>
      </w:rPr>
    </w:lvl>
    <w:lvl w:ilvl="8">
      <w:start w:val="1"/>
      <w:numFmt w:val="lowerRoman"/>
      <w:lvlText w:val="%9."/>
      <w:lvlJc w:val="right"/>
      <w:pPr>
        <w:ind w:left="6498" w:hanging="180"/>
      </w:pPr>
      <w:rPr>
        <w:rFonts w:cs="Times New Roman"/>
        <w:rtl w:val="0"/>
        <w:cs w:val="0"/>
      </w:rPr>
    </w:lvl>
  </w:abstractNum>
  <w:abstractNum w:abstractNumId="18">
    <w:nsid w:val="40FC463E"/>
    <w:multiLevelType w:val="hybridMultilevel"/>
    <w:tmpl w:val="15F84C1A"/>
    <w:lvl w:ilvl="0">
      <w:start w:val="1"/>
      <w:numFmt w:val="decimal"/>
      <w:lvlText w:val="%1."/>
      <w:lvlJc w:val="left"/>
      <w:pPr>
        <w:ind w:left="1485" w:hanging="360"/>
      </w:pPr>
      <w:rPr>
        <w:rFonts w:cs="Times New Roman"/>
        <w:rtl w:val="0"/>
        <w:cs w:val="0"/>
      </w:rPr>
    </w:lvl>
    <w:lvl w:ilvl="1">
      <w:start w:val="1"/>
      <w:numFmt w:val="lowerLetter"/>
      <w:lvlText w:val="%2."/>
      <w:lvlJc w:val="left"/>
      <w:pPr>
        <w:ind w:left="2205" w:hanging="360"/>
      </w:pPr>
      <w:rPr>
        <w:rFonts w:cs="Times New Roman"/>
        <w:rtl w:val="0"/>
        <w:cs w:val="0"/>
      </w:rPr>
    </w:lvl>
    <w:lvl w:ilvl="2">
      <w:start w:val="1"/>
      <w:numFmt w:val="lowerRoman"/>
      <w:lvlText w:val="%3."/>
      <w:lvlJc w:val="right"/>
      <w:pPr>
        <w:ind w:left="2925" w:hanging="180"/>
      </w:pPr>
      <w:rPr>
        <w:rFonts w:cs="Times New Roman"/>
        <w:rtl w:val="0"/>
        <w:cs w:val="0"/>
      </w:rPr>
    </w:lvl>
    <w:lvl w:ilvl="3">
      <w:start w:val="1"/>
      <w:numFmt w:val="decimal"/>
      <w:lvlText w:val="%4."/>
      <w:lvlJc w:val="left"/>
      <w:pPr>
        <w:ind w:left="3645" w:hanging="360"/>
      </w:pPr>
      <w:rPr>
        <w:rFonts w:cs="Times New Roman"/>
        <w:rtl w:val="0"/>
        <w:cs w:val="0"/>
      </w:rPr>
    </w:lvl>
    <w:lvl w:ilvl="4">
      <w:start w:val="1"/>
      <w:numFmt w:val="lowerLetter"/>
      <w:lvlText w:val="%5."/>
      <w:lvlJc w:val="left"/>
      <w:pPr>
        <w:ind w:left="4365" w:hanging="360"/>
      </w:pPr>
      <w:rPr>
        <w:rFonts w:cs="Times New Roman"/>
        <w:rtl w:val="0"/>
        <w:cs w:val="0"/>
      </w:rPr>
    </w:lvl>
    <w:lvl w:ilvl="5">
      <w:start w:val="1"/>
      <w:numFmt w:val="lowerRoman"/>
      <w:lvlText w:val="%6."/>
      <w:lvlJc w:val="right"/>
      <w:pPr>
        <w:ind w:left="5085" w:hanging="180"/>
      </w:pPr>
      <w:rPr>
        <w:rFonts w:cs="Times New Roman"/>
        <w:rtl w:val="0"/>
        <w:cs w:val="0"/>
      </w:rPr>
    </w:lvl>
    <w:lvl w:ilvl="6">
      <w:start w:val="1"/>
      <w:numFmt w:val="decimal"/>
      <w:lvlText w:val="%7."/>
      <w:lvlJc w:val="left"/>
      <w:pPr>
        <w:ind w:left="5805" w:hanging="360"/>
      </w:pPr>
      <w:rPr>
        <w:rFonts w:cs="Times New Roman"/>
        <w:rtl w:val="0"/>
        <w:cs w:val="0"/>
      </w:rPr>
    </w:lvl>
    <w:lvl w:ilvl="7">
      <w:start w:val="1"/>
      <w:numFmt w:val="lowerLetter"/>
      <w:lvlText w:val="%8."/>
      <w:lvlJc w:val="left"/>
      <w:pPr>
        <w:ind w:left="6525" w:hanging="360"/>
      </w:pPr>
      <w:rPr>
        <w:rFonts w:cs="Times New Roman"/>
        <w:rtl w:val="0"/>
        <w:cs w:val="0"/>
      </w:rPr>
    </w:lvl>
    <w:lvl w:ilvl="8">
      <w:start w:val="1"/>
      <w:numFmt w:val="lowerRoman"/>
      <w:lvlText w:val="%9."/>
      <w:lvlJc w:val="right"/>
      <w:pPr>
        <w:ind w:left="7245" w:hanging="180"/>
      </w:pPr>
      <w:rPr>
        <w:rFonts w:cs="Times New Roman"/>
        <w:rtl w:val="0"/>
        <w:cs w:val="0"/>
      </w:rPr>
    </w:lvl>
  </w:abstractNum>
  <w:abstractNum w:abstractNumId="19">
    <w:nsid w:val="43294D68"/>
    <w:multiLevelType w:val="hybridMultilevel"/>
    <w:tmpl w:val="8386482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44830615"/>
    <w:multiLevelType w:val="hybridMultilevel"/>
    <w:tmpl w:val="F7003F3E"/>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21">
    <w:nsid w:val="46BF5837"/>
    <w:multiLevelType w:val="hybridMultilevel"/>
    <w:tmpl w:val="E990EFE0"/>
    <w:lvl w:ilvl="0">
      <w:start w:val="0"/>
      <w:numFmt w:val="bullet"/>
      <w:lvlText w:val="-"/>
      <w:lvlJc w:val="left"/>
      <w:pPr>
        <w:ind w:left="720" w:hanging="360"/>
      </w:pPr>
      <w:rPr>
        <w:rFonts w:ascii="Arial Narrow" w:eastAsia="Times New Roman" w:hAnsi="Arial Narrow" w:hint="default"/>
        <w:b/>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47D45C7B"/>
    <w:multiLevelType w:val="hybridMultilevel"/>
    <w:tmpl w:val="576897B4"/>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D643475"/>
    <w:multiLevelType w:val="hybridMultilevel"/>
    <w:tmpl w:val="BDC0EE5C"/>
    <w:lvl w:ilvl="0">
      <w:start w:val="8"/>
      <w:numFmt w:val="decimal"/>
      <w:lvlText w:val="%1."/>
      <w:lvlJc w:val="left"/>
      <w:pPr>
        <w:ind w:left="36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4">
    <w:nsid w:val="4ED32BC4"/>
    <w:multiLevelType w:val="hybridMultilevel"/>
    <w:tmpl w:val="545A91FE"/>
    <w:lvl w:ilvl="0">
      <w:start w:val="6"/>
      <w:numFmt w:val="decimal"/>
      <w:lvlText w:val="%1."/>
      <w:lvlJc w:val="left"/>
      <w:pPr>
        <w:ind w:left="501" w:hanging="360"/>
      </w:pPr>
      <w:rPr>
        <w:rFonts w:cs="Times New Roman" w:hint="default"/>
        <w:b/>
        <w:rtl w:val="0"/>
        <w:cs w:val="0"/>
      </w:rPr>
    </w:lvl>
    <w:lvl w:ilvl="1">
      <w:start w:val="1"/>
      <w:numFmt w:val="lowerLetter"/>
      <w:lvlText w:val="%2."/>
      <w:lvlJc w:val="left"/>
      <w:pPr>
        <w:ind w:left="1221" w:hanging="360"/>
      </w:pPr>
      <w:rPr>
        <w:rFonts w:cs="Times New Roman"/>
        <w:rtl w:val="0"/>
        <w:cs w:val="0"/>
      </w:rPr>
    </w:lvl>
    <w:lvl w:ilvl="2">
      <w:start w:val="1"/>
      <w:numFmt w:val="lowerRoman"/>
      <w:lvlText w:val="%3."/>
      <w:lvlJc w:val="right"/>
      <w:pPr>
        <w:ind w:left="1941" w:hanging="180"/>
      </w:pPr>
      <w:rPr>
        <w:rFonts w:cs="Times New Roman"/>
        <w:rtl w:val="0"/>
        <w:cs w:val="0"/>
      </w:rPr>
    </w:lvl>
    <w:lvl w:ilvl="3">
      <w:start w:val="1"/>
      <w:numFmt w:val="decimal"/>
      <w:lvlText w:val="%4."/>
      <w:lvlJc w:val="left"/>
      <w:pPr>
        <w:ind w:left="2661" w:hanging="360"/>
      </w:pPr>
      <w:rPr>
        <w:rFonts w:cs="Times New Roman"/>
        <w:rtl w:val="0"/>
        <w:cs w:val="0"/>
      </w:rPr>
    </w:lvl>
    <w:lvl w:ilvl="4">
      <w:start w:val="1"/>
      <w:numFmt w:val="lowerLetter"/>
      <w:lvlText w:val="%5."/>
      <w:lvlJc w:val="left"/>
      <w:pPr>
        <w:ind w:left="3381" w:hanging="360"/>
      </w:pPr>
      <w:rPr>
        <w:rFonts w:cs="Times New Roman"/>
        <w:rtl w:val="0"/>
        <w:cs w:val="0"/>
      </w:rPr>
    </w:lvl>
    <w:lvl w:ilvl="5">
      <w:start w:val="1"/>
      <w:numFmt w:val="lowerRoman"/>
      <w:lvlText w:val="%6."/>
      <w:lvlJc w:val="right"/>
      <w:pPr>
        <w:ind w:left="4101" w:hanging="180"/>
      </w:pPr>
      <w:rPr>
        <w:rFonts w:cs="Times New Roman"/>
        <w:rtl w:val="0"/>
        <w:cs w:val="0"/>
      </w:rPr>
    </w:lvl>
    <w:lvl w:ilvl="6">
      <w:start w:val="1"/>
      <w:numFmt w:val="decimal"/>
      <w:lvlText w:val="%7."/>
      <w:lvlJc w:val="left"/>
      <w:pPr>
        <w:ind w:left="4821" w:hanging="360"/>
      </w:pPr>
      <w:rPr>
        <w:rFonts w:cs="Times New Roman"/>
        <w:rtl w:val="0"/>
        <w:cs w:val="0"/>
      </w:rPr>
    </w:lvl>
    <w:lvl w:ilvl="7">
      <w:start w:val="1"/>
      <w:numFmt w:val="lowerLetter"/>
      <w:lvlText w:val="%8."/>
      <w:lvlJc w:val="left"/>
      <w:pPr>
        <w:ind w:left="5541" w:hanging="360"/>
      </w:pPr>
      <w:rPr>
        <w:rFonts w:cs="Times New Roman"/>
        <w:rtl w:val="0"/>
        <w:cs w:val="0"/>
      </w:rPr>
    </w:lvl>
    <w:lvl w:ilvl="8">
      <w:start w:val="1"/>
      <w:numFmt w:val="lowerRoman"/>
      <w:lvlText w:val="%9."/>
      <w:lvlJc w:val="right"/>
      <w:pPr>
        <w:ind w:left="6261" w:hanging="180"/>
      </w:pPr>
      <w:rPr>
        <w:rFonts w:cs="Times New Roman"/>
        <w:rtl w:val="0"/>
        <w:cs w:val="0"/>
      </w:rPr>
    </w:lvl>
  </w:abstractNum>
  <w:abstractNum w:abstractNumId="25">
    <w:nsid w:val="52461B42"/>
    <w:multiLevelType w:val="hybridMultilevel"/>
    <w:tmpl w:val="15F84C1A"/>
    <w:lvl w:ilvl="0">
      <w:start w:val="1"/>
      <w:numFmt w:val="decimal"/>
      <w:lvlText w:val="%1."/>
      <w:lvlJc w:val="left"/>
      <w:pPr>
        <w:ind w:left="1485" w:hanging="360"/>
      </w:pPr>
      <w:rPr>
        <w:rFonts w:cs="Times New Roman"/>
        <w:rtl w:val="0"/>
        <w:cs w:val="0"/>
      </w:rPr>
    </w:lvl>
    <w:lvl w:ilvl="1">
      <w:start w:val="1"/>
      <w:numFmt w:val="lowerLetter"/>
      <w:lvlText w:val="%2."/>
      <w:lvlJc w:val="left"/>
      <w:pPr>
        <w:ind w:left="2205" w:hanging="360"/>
      </w:pPr>
      <w:rPr>
        <w:rFonts w:cs="Times New Roman"/>
        <w:rtl w:val="0"/>
        <w:cs w:val="0"/>
      </w:rPr>
    </w:lvl>
    <w:lvl w:ilvl="2">
      <w:start w:val="1"/>
      <w:numFmt w:val="lowerRoman"/>
      <w:lvlText w:val="%3."/>
      <w:lvlJc w:val="right"/>
      <w:pPr>
        <w:ind w:left="2925" w:hanging="180"/>
      </w:pPr>
      <w:rPr>
        <w:rFonts w:cs="Times New Roman"/>
        <w:rtl w:val="0"/>
        <w:cs w:val="0"/>
      </w:rPr>
    </w:lvl>
    <w:lvl w:ilvl="3">
      <w:start w:val="1"/>
      <w:numFmt w:val="decimal"/>
      <w:lvlText w:val="%4."/>
      <w:lvlJc w:val="left"/>
      <w:pPr>
        <w:ind w:left="3645" w:hanging="360"/>
      </w:pPr>
      <w:rPr>
        <w:rFonts w:cs="Times New Roman"/>
        <w:rtl w:val="0"/>
        <w:cs w:val="0"/>
      </w:rPr>
    </w:lvl>
    <w:lvl w:ilvl="4">
      <w:start w:val="1"/>
      <w:numFmt w:val="lowerLetter"/>
      <w:lvlText w:val="%5."/>
      <w:lvlJc w:val="left"/>
      <w:pPr>
        <w:ind w:left="4365" w:hanging="360"/>
      </w:pPr>
      <w:rPr>
        <w:rFonts w:cs="Times New Roman"/>
        <w:rtl w:val="0"/>
        <w:cs w:val="0"/>
      </w:rPr>
    </w:lvl>
    <w:lvl w:ilvl="5">
      <w:start w:val="1"/>
      <w:numFmt w:val="lowerRoman"/>
      <w:lvlText w:val="%6."/>
      <w:lvlJc w:val="right"/>
      <w:pPr>
        <w:ind w:left="5085" w:hanging="180"/>
      </w:pPr>
      <w:rPr>
        <w:rFonts w:cs="Times New Roman"/>
        <w:rtl w:val="0"/>
        <w:cs w:val="0"/>
      </w:rPr>
    </w:lvl>
    <w:lvl w:ilvl="6">
      <w:start w:val="1"/>
      <w:numFmt w:val="decimal"/>
      <w:lvlText w:val="%7."/>
      <w:lvlJc w:val="left"/>
      <w:pPr>
        <w:ind w:left="5805" w:hanging="360"/>
      </w:pPr>
      <w:rPr>
        <w:rFonts w:cs="Times New Roman"/>
        <w:rtl w:val="0"/>
        <w:cs w:val="0"/>
      </w:rPr>
    </w:lvl>
    <w:lvl w:ilvl="7">
      <w:start w:val="1"/>
      <w:numFmt w:val="lowerLetter"/>
      <w:lvlText w:val="%8."/>
      <w:lvlJc w:val="left"/>
      <w:pPr>
        <w:ind w:left="6525" w:hanging="360"/>
      </w:pPr>
      <w:rPr>
        <w:rFonts w:cs="Times New Roman"/>
        <w:rtl w:val="0"/>
        <w:cs w:val="0"/>
      </w:rPr>
    </w:lvl>
    <w:lvl w:ilvl="8">
      <w:start w:val="1"/>
      <w:numFmt w:val="lowerRoman"/>
      <w:lvlText w:val="%9."/>
      <w:lvlJc w:val="right"/>
      <w:pPr>
        <w:ind w:left="7245" w:hanging="180"/>
      </w:pPr>
      <w:rPr>
        <w:rFonts w:cs="Times New Roman"/>
        <w:rtl w:val="0"/>
        <w:cs w:val="0"/>
      </w:rPr>
    </w:lvl>
  </w:abstractNum>
  <w:abstractNum w:abstractNumId="26">
    <w:nsid w:val="580F739C"/>
    <w:multiLevelType w:val="hybridMultilevel"/>
    <w:tmpl w:val="75326B20"/>
    <w:lvl w:ilvl="0">
      <w:start w:val="67"/>
      <w:numFmt w:val="decimal"/>
      <w:lvlText w:val="%1"/>
      <w:lvlJc w:val="left"/>
      <w:pPr>
        <w:ind w:left="420" w:hanging="360"/>
      </w:pPr>
      <w:rPr>
        <w:rFonts w:cs="Times New Roman" w:hint="default"/>
        <w:rtl w:val="0"/>
        <w:cs w:val="0"/>
      </w:rPr>
    </w:lvl>
    <w:lvl w:ilvl="1">
      <w:start w:val="1"/>
      <w:numFmt w:val="lowerLetter"/>
      <w:lvlText w:val="%2."/>
      <w:lvlJc w:val="left"/>
      <w:pPr>
        <w:ind w:left="1140" w:hanging="360"/>
      </w:pPr>
      <w:rPr>
        <w:rFonts w:cs="Times New Roman"/>
        <w:rtl w:val="0"/>
        <w:cs w:val="0"/>
      </w:rPr>
    </w:lvl>
    <w:lvl w:ilvl="2">
      <w:start w:val="1"/>
      <w:numFmt w:val="lowerRoman"/>
      <w:lvlText w:val="%3."/>
      <w:lvlJc w:val="right"/>
      <w:pPr>
        <w:ind w:left="1860" w:hanging="180"/>
      </w:pPr>
      <w:rPr>
        <w:rFonts w:cs="Times New Roman"/>
        <w:rtl w:val="0"/>
        <w:cs w:val="0"/>
      </w:rPr>
    </w:lvl>
    <w:lvl w:ilvl="3">
      <w:start w:val="1"/>
      <w:numFmt w:val="decimal"/>
      <w:lvlText w:val="%4."/>
      <w:lvlJc w:val="left"/>
      <w:pPr>
        <w:ind w:left="2580" w:hanging="360"/>
      </w:pPr>
      <w:rPr>
        <w:rFonts w:cs="Times New Roman"/>
        <w:rtl w:val="0"/>
        <w:cs w:val="0"/>
      </w:rPr>
    </w:lvl>
    <w:lvl w:ilvl="4">
      <w:start w:val="1"/>
      <w:numFmt w:val="lowerLetter"/>
      <w:lvlText w:val="%5."/>
      <w:lvlJc w:val="left"/>
      <w:pPr>
        <w:ind w:left="3300" w:hanging="360"/>
      </w:pPr>
      <w:rPr>
        <w:rFonts w:cs="Times New Roman"/>
        <w:rtl w:val="0"/>
        <w:cs w:val="0"/>
      </w:rPr>
    </w:lvl>
    <w:lvl w:ilvl="5">
      <w:start w:val="1"/>
      <w:numFmt w:val="lowerRoman"/>
      <w:lvlText w:val="%6."/>
      <w:lvlJc w:val="right"/>
      <w:pPr>
        <w:ind w:left="4020" w:hanging="180"/>
      </w:pPr>
      <w:rPr>
        <w:rFonts w:cs="Times New Roman"/>
        <w:rtl w:val="0"/>
        <w:cs w:val="0"/>
      </w:rPr>
    </w:lvl>
    <w:lvl w:ilvl="6">
      <w:start w:val="1"/>
      <w:numFmt w:val="decimal"/>
      <w:lvlText w:val="%7."/>
      <w:lvlJc w:val="left"/>
      <w:pPr>
        <w:ind w:left="4740" w:hanging="360"/>
      </w:pPr>
      <w:rPr>
        <w:rFonts w:cs="Times New Roman"/>
        <w:rtl w:val="0"/>
        <w:cs w:val="0"/>
      </w:rPr>
    </w:lvl>
    <w:lvl w:ilvl="7">
      <w:start w:val="1"/>
      <w:numFmt w:val="lowerLetter"/>
      <w:lvlText w:val="%8."/>
      <w:lvlJc w:val="left"/>
      <w:pPr>
        <w:ind w:left="5460" w:hanging="360"/>
      </w:pPr>
      <w:rPr>
        <w:rFonts w:cs="Times New Roman"/>
        <w:rtl w:val="0"/>
        <w:cs w:val="0"/>
      </w:rPr>
    </w:lvl>
    <w:lvl w:ilvl="8">
      <w:start w:val="1"/>
      <w:numFmt w:val="lowerRoman"/>
      <w:lvlText w:val="%9."/>
      <w:lvlJc w:val="right"/>
      <w:pPr>
        <w:ind w:left="6180" w:hanging="180"/>
      </w:pPr>
      <w:rPr>
        <w:rFonts w:cs="Times New Roman"/>
        <w:rtl w:val="0"/>
        <w:cs w:val="0"/>
      </w:rPr>
    </w:lvl>
  </w:abstractNum>
  <w:abstractNum w:abstractNumId="27">
    <w:nsid w:val="58E87A4F"/>
    <w:multiLevelType w:val="hybridMultilevel"/>
    <w:tmpl w:val="4010030E"/>
    <w:lvl w:ilvl="0">
      <w:start w:val="1"/>
      <w:numFmt w:val="bullet"/>
      <w:lvlText w:val="-"/>
      <w:lvlJc w:val="left"/>
      <w:pPr>
        <w:ind w:left="720" w:hanging="360"/>
      </w:pPr>
      <w:rPr>
        <w:rFonts w:ascii="Times New Roman" w:hAnsi="Times New Roman"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5C673285"/>
    <w:multiLevelType w:val="hybridMultilevel"/>
    <w:tmpl w:val="5F023D5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5E5231C7"/>
    <w:multiLevelType w:val="hybridMultilevel"/>
    <w:tmpl w:val="E8EAE622"/>
    <w:lvl w:ilvl="0">
      <w:start w:val="0"/>
      <w:numFmt w:val="bullet"/>
      <w:lvlText w:val="-"/>
      <w:lvlJc w:val="left"/>
      <w:pPr>
        <w:ind w:left="720" w:hanging="360"/>
      </w:pPr>
      <w:rPr>
        <w:rFonts w:ascii="Calibri" w:eastAsia="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nsid w:val="65497926"/>
    <w:multiLevelType w:val="hybridMultilevel"/>
    <w:tmpl w:val="D97AA5B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6669193B"/>
    <w:multiLevelType w:val="hybridMultilevel"/>
    <w:tmpl w:val="7548ED6C"/>
    <w:lvl w:ilvl="0">
      <w:start w:val="0"/>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68916118"/>
    <w:multiLevelType w:val="hybridMultilevel"/>
    <w:tmpl w:val="4ACAA8A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69535B57"/>
    <w:multiLevelType w:val="hybridMultilevel"/>
    <w:tmpl w:val="43B8646E"/>
    <w:lvl w:ilvl="0">
      <w:start w:val="6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6C11238C"/>
    <w:multiLevelType w:val="hybridMultilevel"/>
    <w:tmpl w:val="CED07804"/>
    <w:lvl w:ilvl="0">
      <w:start w:val="4"/>
      <w:numFmt w:val="decimal"/>
      <w:lvlText w:val="%1."/>
      <w:lvlJc w:val="left"/>
      <w:pPr>
        <w:ind w:left="687" w:hanging="360"/>
      </w:pPr>
      <w:rPr>
        <w:rFonts w:cs="Times New Roman" w:hint="default"/>
        <w:b/>
        <w:rtl w:val="0"/>
        <w:cs w:val="0"/>
      </w:rPr>
    </w:lvl>
    <w:lvl w:ilvl="1">
      <w:start w:val="1"/>
      <w:numFmt w:val="lowerLetter"/>
      <w:lvlText w:val="%2."/>
      <w:lvlJc w:val="left"/>
      <w:pPr>
        <w:ind w:left="1407" w:hanging="360"/>
      </w:pPr>
      <w:rPr>
        <w:rFonts w:cs="Times New Roman"/>
        <w:rtl w:val="0"/>
        <w:cs w:val="0"/>
      </w:rPr>
    </w:lvl>
    <w:lvl w:ilvl="2">
      <w:start w:val="1"/>
      <w:numFmt w:val="lowerRoman"/>
      <w:lvlText w:val="%3."/>
      <w:lvlJc w:val="right"/>
      <w:pPr>
        <w:ind w:left="2127" w:hanging="180"/>
      </w:pPr>
      <w:rPr>
        <w:rFonts w:cs="Times New Roman"/>
        <w:rtl w:val="0"/>
        <w:cs w:val="0"/>
      </w:rPr>
    </w:lvl>
    <w:lvl w:ilvl="3">
      <w:start w:val="1"/>
      <w:numFmt w:val="decimal"/>
      <w:lvlText w:val="%4."/>
      <w:lvlJc w:val="left"/>
      <w:pPr>
        <w:ind w:left="2847" w:hanging="360"/>
      </w:pPr>
      <w:rPr>
        <w:rFonts w:cs="Times New Roman"/>
        <w:rtl w:val="0"/>
        <w:cs w:val="0"/>
      </w:rPr>
    </w:lvl>
    <w:lvl w:ilvl="4">
      <w:start w:val="1"/>
      <w:numFmt w:val="lowerLetter"/>
      <w:lvlText w:val="%5."/>
      <w:lvlJc w:val="left"/>
      <w:pPr>
        <w:ind w:left="3567" w:hanging="360"/>
      </w:pPr>
      <w:rPr>
        <w:rFonts w:cs="Times New Roman"/>
        <w:rtl w:val="0"/>
        <w:cs w:val="0"/>
      </w:rPr>
    </w:lvl>
    <w:lvl w:ilvl="5">
      <w:start w:val="1"/>
      <w:numFmt w:val="lowerRoman"/>
      <w:lvlText w:val="%6."/>
      <w:lvlJc w:val="right"/>
      <w:pPr>
        <w:ind w:left="4287" w:hanging="180"/>
      </w:pPr>
      <w:rPr>
        <w:rFonts w:cs="Times New Roman"/>
        <w:rtl w:val="0"/>
        <w:cs w:val="0"/>
      </w:rPr>
    </w:lvl>
    <w:lvl w:ilvl="6">
      <w:start w:val="1"/>
      <w:numFmt w:val="decimal"/>
      <w:lvlText w:val="%7."/>
      <w:lvlJc w:val="left"/>
      <w:pPr>
        <w:ind w:left="5007" w:hanging="360"/>
      </w:pPr>
      <w:rPr>
        <w:rFonts w:cs="Times New Roman"/>
        <w:rtl w:val="0"/>
        <w:cs w:val="0"/>
      </w:rPr>
    </w:lvl>
    <w:lvl w:ilvl="7">
      <w:start w:val="1"/>
      <w:numFmt w:val="lowerLetter"/>
      <w:lvlText w:val="%8."/>
      <w:lvlJc w:val="left"/>
      <w:pPr>
        <w:ind w:left="5727" w:hanging="360"/>
      </w:pPr>
      <w:rPr>
        <w:rFonts w:cs="Times New Roman"/>
        <w:rtl w:val="0"/>
        <w:cs w:val="0"/>
      </w:rPr>
    </w:lvl>
    <w:lvl w:ilvl="8">
      <w:start w:val="1"/>
      <w:numFmt w:val="lowerRoman"/>
      <w:lvlText w:val="%9."/>
      <w:lvlJc w:val="right"/>
      <w:pPr>
        <w:ind w:left="6447" w:hanging="180"/>
      </w:pPr>
      <w:rPr>
        <w:rFonts w:cs="Times New Roman"/>
        <w:rtl w:val="0"/>
        <w:cs w:val="0"/>
      </w:rPr>
    </w:lvl>
  </w:abstractNum>
  <w:abstractNum w:abstractNumId="35">
    <w:nsid w:val="6D8852B5"/>
    <w:multiLevelType w:val="hybridMultilevel"/>
    <w:tmpl w:val="685AD11E"/>
    <w:lvl w:ilvl="0">
      <w:start w:val="0"/>
      <w:numFmt w:val="bullet"/>
      <w:lvlText w:val="-"/>
      <w:lvlJc w:val="left"/>
      <w:pPr>
        <w:ind w:left="720" w:hanging="360"/>
      </w:pPr>
      <w:rPr>
        <w:rFonts w:ascii="Calibri" w:eastAsia="Calibri" w:hAnsi="Calibri" w:hint="default"/>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6">
    <w:nsid w:val="6F32315C"/>
    <w:multiLevelType w:val="hybridMultilevel"/>
    <w:tmpl w:val="FBACB222"/>
    <w:lvl w:ilvl="0">
      <w:start w:val="18"/>
      <w:numFmt w:val="bullet"/>
      <w:lvlText w:val="-"/>
      <w:lvlJc w:val="left"/>
      <w:pPr>
        <w:ind w:left="720" w:hanging="360"/>
      </w:pPr>
      <w:rPr>
        <w:rFonts w:ascii="Calibri" w:hAnsi="Calibri" w:eastAsiaTheme="minorHAns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73BD7A7A"/>
    <w:multiLevelType w:val="hybridMultilevel"/>
    <w:tmpl w:val="56F42892"/>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866" w:hanging="360"/>
      </w:pPr>
      <w:rPr>
        <w:rFonts w:cs="Times New Roman"/>
        <w:rtl w:val="0"/>
        <w:cs w:val="0"/>
      </w:rPr>
    </w:lvl>
    <w:lvl w:ilvl="2">
      <w:start w:val="1"/>
      <w:numFmt w:val="lowerRoman"/>
      <w:lvlText w:val="%3."/>
      <w:lvlJc w:val="right"/>
      <w:pPr>
        <w:ind w:left="2586" w:hanging="180"/>
      </w:pPr>
      <w:rPr>
        <w:rFonts w:cs="Times New Roman"/>
        <w:rtl w:val="0"/>
        <w:cs w:val="0"/>
      </w:rPr>
    </w:lvl>
    <w:lvl w:ilvl="3">
      <w:start w:val="1"/>
      <w:numFmt w:val="decimal"/>
      <w:lvlText w:val="%4."/>
      <w:lvlJc w:val="left"/>
      <w:pPr>
        <w:ind w:left="3306" w:hanging="360"/>
      </w:pPr>
      <w:rPr>
        <w:rFonts w:cs="Times New Roman"/>
        <w:rtl w:val="0"/>
        <w:cs w:val="0"/>
      </w:rPr>
    </w:lvl>
    <w:lvl w:ilvl="4">
      <w:start w:val="1"/>
      <w:numFmt w:val="lowerLetter"/>
      <w:lvlText w:val="%5."/>
      <w:lvlJc w:val="left"/>
      <w:pPr>
        <w:ind w:left="4026" w:hanging="360"/>
      </w:pPr>
      <w:rPr>
        <w:rFonts w:cs="Times New Roman"/>
        <w:rtl w:val="0"/>
        <w:cs w:val="0"/>
      </w:rPr>
    </w:lvl>
    <w:lvl w:ilvl="5">
      <w:start w:val="1"/>
      <w:numFmt w:val="lowerRoman"/>
      <w:lvlText w:val="%6."/>
      <w:lvlJc w:val="right"/>
      <w:pPr>
        <w:ind w:left="4746" w:hanging="180"/>
      </w:pPr>
      <w:rPr>
        <w:rFonts w:cs="Times New Roman"/>
        <w:rtl w:val="0"/>
        <w:cs w:val="0"/>
      </w:rPr>
    </w:lvl>
    <w:lvl w:ilvl="6">
      <w:start w:val="1"/>
      <w:numFmt w:val="decimal"/>
      <w:lvlText w:val="%7."/>
      <w:lvlJc w:val="left"/>
      <w:pPr>
        <w:ind w:left="5466" w:hanging="360"/>
      </w:pPr>
      <w:rPr>
        <w:rFonts w:cs="Times New Roman"/>
        <w:rtl w:val="0"/>
        <w:cs w:val="0"/>
      </w:rPr>
    </w:lvl>
    <w:lvl w:ilvl="7">
      <w:start w:val="1"/>
      <w:numFmt w:val="lowerLetter"/>
      <w:lvlText w:val="%8."/>
      <w:lvlJc w:val="left"/>
      <w:pPr>
        <w:ind w:left="6186" w:hanging="360"/>
      </w:pPr>
      <w:rPr>
        <w:rFonts w:cs="Times New Roman"/>
        <w:rtl w:val="0"/>
        <w:cs w:val="0"/>
      </w:rPr>
    </w:lvl>
    <w:lvl w:ilvl="8">
      <w:start w:val="1"/>
      <w:numFmt w:val="lowerRoman"/>
      <w:lvlText w:val="%9."/>
      <w:lvlJc w:val="right"/>
      <w:pPr>
        <w:ind w:left="6906" w:hanging="180"/>
      </w:pPr>
      <w:rPr>
        <w:rFonts w:cs="Times New Roman"/>
        <w:rtl w:val="0"/>
        <w:cs w:val="0"/>
      </w:rPr>
    </w:lvl>
  </w:abstractNum>
  <w:abstractNum w:abstractNumId="38">
    <w:nsid w:val="740A7543"/>
    <w:multiLevelType w:val="hybridMultilevel"/>
    <w:tmpl w:val="F41A480E"/>
    <w:lvl w:ilvl="0">
      <w:start w:val="3"/>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74CB596D"/>
    <w:multiLevelType w:val="hybridMultilevel"/>
    <w:tmpl w:val="C54ED212"/>
    <w:lvl w:ilvl="0">
      <w:start w:val="1"/>
      <w:numFmt w:val="upp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0">
    <w:nsid w:val="76980224"/>
    <w:multiLevelType w:val="hybridMultilevel"/>
    <w:tmpl w:val="146255EC"/>
    <w:lvl w:ilvl="0">
      <w:start w:val="2"/>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1">
    <w:nsid w:val="78A22356"/>
    <w:multiLevelType w:val="hybridMultilevel"/>
    <w:tmpl w:val="C53040DA"/>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7A183EAC"/>
    <w:multiLevelType w:val="hybridMultilevel"/>
    <w:tmpl w:val="0E5ACDE0"/>
    <w:lvl w:ilvl="0">
      <w:start w:val="6"/>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3">
    <w:nsid w:val="7D5464DD"/>
    <w:multiLevelType w:val="hybridMultilevel"/>
    <w:tmpl w:val="1A14C17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7F942829"/>
    <w:multiLevelType w:val="hybridMultilevel"/>
    <w:tmpl w:val="30D6D1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4"/>
  </w:num>
  <w:num w:numId="3">
    <w:abstractNumId w:val="44"/>
  </w:num>
  <w:num w:numId="4">
    <w:abstractNumId w:val="20"/>
  </w:num>
  <w:num w:numId="5">
    <w:abstractNumId w:val="18"/>
  </w:num>
  <w:num w:numId="6">
    <w:abstractNumId w:val="43"/>
  </w:num>
  <w:num w:numId="7">
    <w:abstractNumId w:val="15"/>
  </w:num>
  <w:num w:numId="8">
    <w:abstractNumId w:val="34"/>
  </w:num>
  <w:num w:numId="9">
    <w:abstractNumId w:val="17"/>
  </w:num>
  <w:num w:numId="10">
    <w:abstractNumId w:val="14"/>
  </w:num>
  <w:num w:numId="11">
    <w:abstractNumId w:val="1"/>
  </w:num>
  <w:num w:numId="12">
    <w:abstractNumId w:val="12"/>
  </w:num>
  <w:num w:numId="13">
    <w:abstractNumId w:val="26"/>
  </w:num>
  <w:num w:numId="14">
    <w:abstractNumId w:val="37"/>
  </w:num>
  <w:num w:numId="15">
    <w:abstractNumId w:val="3"/>
  </w:num>
  <w:num w:numId="16">
    <w:abstractNumId w:val="23"/>
  </w:num>
  <w:num w:numId="17">
    <w:abstractNumId w:val="33"/>
  </w:num>
  <w:num w:numId="18">
    <w:abstractNumId w:val="8"/>
  </w:num>
  <w:num w:numId="19">
    <w:abstractNumId w:val="38"/>
  </w:num>
  <w:num w:numId="20">
    <w:abstractNumId w:val="40"/>
  </w:num>
  <w:num w:numId="21">
    <w:abstractNumId w:val="24"/>
  </w:num>
  <w:num w:numId="22">
    <w:abstractNumId w:val="11"/>
  </w:num>
  <w:num w:numId="23">
    <w:abstractNumId w:val="29"/>
  </w:num>
  <w:num w:numId="24">
    <w:abstractNumId w:val="28"/>
  </w:num>
  <w:num w:numId="25">
    <w:abstractNumId w:val="35"/>
  </w:num>
  <w:num w:numId="26">
    <w:abstractNumId w:val="7"/>
  </w:num>
  <w:num w:numId="27">
    <w:abstractNumId w:val="6"/>
  </w:num>
  <w:num w:numId="28">
    <w:abstractNumId w:val="27"/>
  </w:num>
  <w:num w:numId="29">
    <w:abstractNumId w:val="21"/>
  </w:num>
  <w:num w:numId="30">
    <w:abstractNumId w:val="4"/>
  </w:num>
  <w:num w:numId="31">
    <w:abstractNumId w:val="36"/>
  </w:num>
  <w:num w:numId="32">
    <w:abstractNumId w:val="31"/>
  </w:num>
  <w:num w:numId="33">
    <w:abstractNumId w:val="0"/>
  </w:num>
  <w:num w:numId="34">
    <w:abstractNumId w:val="42"/>
  </w:num>
  <w:num w:numId="35">
    <w:abstractNumId w:val="25"/>
  </w:num>
  <w:num w:numId="36">
    <w:abstractNumId w:val="9"/>
  </w:num>
  <w:num w:numId="37">
    <w:abstractNumId w:val="41"/>
  </w:num>
  <w:num w:numId="38">
    <w:abstractNumId w:val="22"/>
  </w:num>
  <w:num w:numId="39">
    <w:abstractNumId w:val="13"/>
  </w:num>
  <w:num w:numId="40">
    <w:abstractNumId w:val="30"/>
  </w:num>
  <w:num w:numId="41">
    <w:abstractNumId w:val="16"/>
  </w:num>
  <w:num w:numId="4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num>
  <w:num w:numId="44">
    <w:abstractNumId w:val="5"/>
  </w:num>
  <w:num w:numId="45">
    <w:abstractNumId w:val="32"/>
  </w:num>
  <w:num w:numId="46">
    <w:abstractNumId w:val="19"/>
  </w:num>
  <w:num w:numId="4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TrackMoves/>
  <w:defaultTabStop w:val="708"/>
  <w:hyphenationZone w:val="425"/>
  <w:characterSpacingControl w:val="doNotCompress"/>
  <w:footnotePr>
    <w:footnote w:id="0"/>
    <w:footnote w:id="1"/>
  </w:footnotePr>
  <w:compat/>
  <w:rsids>
    <w:rsidRoot w:val="00A81998"/>
    <w:rsid w:val="00014BB1"/>
    <w:rsid w:val="0002426C"/>
    <w:rsid w:val="000773A5"/>
    <w:rsid w:val="0008369A"/>
    <w:rsid w:val="000B5675"/>
    <w:rsid w:val="000C07BA"/>
    <w:rsid w:val="000C5F48"/>
    <w:rsid w:val="000D16B6"/>
    <w:rsid w:val="000F7639"/>
    <w:rsid w:val="00112D94"/>
    <w:rsid w:val="0013352C"/>
    <w:rsid w:val="0014759E"/>
    <w:rsid w:val="0015445C"/>
    <w:rsid w:val="001546EF"/>
    <w:rsid w:val="00183DA5"/>
    <w:rsid w:val="00186957"/>
    <w:rsid w:val="00192C33"/>
    <w:rsid w:val="001B085F"/>
    <w:rsid w:val="001B4A28"/>
    <w:rsid w:val="001B571B"/>
    <w:rsid w:val="001C50AF"/>
    <w:rsid w:val="001D028C"/>
    <w:rsid w:val="001D246C"/>
    <w:rsid w:val="001D79D1"/>
    <w:rsid w:val="001E04A9"/>
    <w:rsid w:val="001F664A"/>
    <w:rsid w:val="00207F61"/>
    <w:rsid w:val="002114C3"/>
    <w:rsid w:val="002560B9"/>
    <w:rsid w:val="00272AF4"/>
    <w:rsid w:val="00275D19"/>
    <w:rsid w:val="00286D30"/>
    <w:rsid w:val="002B35A5"/>
    <w:rsid w:val="002B6845"/>
    <w:rsid w:val="002D1687"/>
    <w:rsid w:val="002E02D1"/>
    <w:rsid w:val="002F0F07"/>
    <w:rsid w:val="0031554D"/>
    <w:rsid w:val="00316F6D"/>
    <w:rsid w:val="00333566"/>
    <w:rsid w:val="003433D8"/>
    <w:rsid w:val="00363E95"/>
    <w:rsid w:val="00377016"/>
    <w:rsid w:val="00391B1E"/>
    <w:rsid w:val="00397847"/>
    <w:rsid w:val="003A3E54"/>
    <w:rsid w:val="003E0DEE"/>
    <w:rsid w:val="003F2AB8"/>
    <w:rsid w:val="003F7B2E"/>
    <w:rsid w:val="004030D1"/>
    <w:rsid w:val="0040473A"/>
    <w:rsid w:val="004133C5"/>
    <w:rsid w:val="00413BA1"/>
    <w:rsid w:val="004220A6"/>
    <w:rsid w:val="004437B2"/>
    <w:rsid w:val="00493419"/>
    <w:rsid w:val="004A353D"/>
    <w:rsid w:val="004E7546"/>
    <w:rsid w:val="00503FDB"/>
    <w:rsid w:val="00507844"/>
    <w:rsid w:val="00514702"/>
    <w:rsid w:val="005514F4"/>
    <w:rsid w:val="00571636"/>
    <w:rsid w:val="005740FD"/>
    <w:rsid w:val="005A2D62"/>
    <w:rsid w:val="005D65E0"/>
    <w:rsid w:val="005F182A"/>
    <w:rsid w:val="00603D4F"/>
    <w:rsid w:val="00604AC8"/>
    <w:rsid w:val="00644339"/>
    <w:rsid w:val="00652BDA"/>
    <w:rsid w:val="00653C72"/>
    <w:rsid w:val="006633A1"/>
    <w:rsid w:val="00666E50"/>
    <w:rsid w:val="006934F4"/>
    <w:rsid w:val="006A1363"/>
    <w:rsid w:val="006A5552"/>
    <w:rsid w:val="006B6A98"/>
    <w:rsid w:val="006C4715"/>
    <w:rsid w:val="006E42F0"/>
    <w:rsid w:val="006F07B9"/>
    <w:rsid w:val="00700D35"/>
    <w:rsid w:val="00702010"/>
    <w:rsid w:val="00740A6C"/>
    <w:rsid w:val="007833B0"/>
    <w:rsid w:val="007971C1"/>
    <w:rsid w:val="00797A68"/>
    <w:rsid w:val="007A260B"/>
    <w:rsid w:val="007A35B4"/>
    <w:rsid w:val="007D269D"/>
    <w:rsid w:val="007E732C"/>
    <w:rsid w:val="007F0597"/>
    <w:rsid w:val="007F35B1"/>
    <w:rsid w:val="008061F1"/>
    <w:rsid w:val="00810EED"/>
    <w:rsid w:val="0083342E"/>
    <w:rsid w:val="00857881"/>
    <w:rsid w:val="0089329B"/>
    <w:rsid w:val="00896FDE"/>
    <w:rsid w:val="008A5F97"/>
    <w:rsid w:val="008B02B9"/>
    <w:rsid w:val="008B515F"/>
    <w:rsid w:val="008F5DAE"/>
    <w:rsid w:val="0090542A"/>
    <w:rsid w:val="009333A9"/>
    <w:rsid w:val="009426BD"/>
    <w:rsid w:val="00945D8C"/>
    <w:rsid w:val="00983293"/>
    <w:rsid w:val="009910CF"/>
    <w:rsid w:val="009A5EC9"/>
    <w:rsid w:val="009B7D69"/>
    <w:rsid w:val="009C05EF"/>
    <w:rsid w:val="009D7951"/>
    <w:rsid w:val="009E41D1"/>
    <w:rsid w:val="009F0449"/>
    <w:rsid w:val="00A252E2"/>
    <w:rsid w:val="00A27A09"/>
    <w:rsid w:val="00A553A7"/>
    <w:rsid w:val="00A65D19"/>
    <w:rsid w:val="00A65E4A"/>
    <w:rsid w:val="00A73B75"/>
    <w:rsid w:val="00A81998"/>
    <w:rsid w:val="00AA0E51"/>
    <w:rsid w:val="00AA4B20"/>
    <w:rsid w:val="00AB3F1A"/>
    <w:rsid w:val="00AB7997"/>
    <w:rsid w:val="00AD0EB8"/>
    <w:rsid w:val="00AF3054"/>
    <w:rsid w:val="00AF352A"/>
    <w:rsid w:val="00B35B78"/>
    <w:rsid w:val="00B77404"/>
    <w:rsid w:val="00B81D6E"/>
    <w:rsid w:val="00B963D2"/>
    <w:rsid w:val="00BA0258"/>
    <w:rsid w:val="00BA1FAA"/>
    <w:rsid w:val="00BA4718"/>
    <w:rsid w:val="00BB6593"/>
    <w:rsid w:val="00BF2C9E"/>
    <w:rsid w:val="00C267AD"/>
    <w:rsid w:val="00C412D7"/>
    <w:rsid w:val="00C41DFA"/>
    <w:rsid w:val="00C47763"/>
    <w:rsid w:val="00C57CD6"/>
    <w:rsid w:val="00C81E35"/>
    <w:rsid w:val="00C87924"/>
    <w:rsid w:val="00C95C9C"/>
    <w:rsid w:val="00CA0957"/>
    <w:rsid w:val="00CA10B3"/>
    <w:rsid w:val="00CD5230"/>
    <w:rsid w:val="00CE5534"/>
    <w:rsid w:val="00CF31D4"/>
    <w:rsid w:val="00D303EF"/>
    <w:rsid w:val="00D324C6"/>
    <w:rsid w:val="00D3251B"/>
    <w:rsid w:val="00D37F13"/>
    <w:rsid w:val="00D41961"/>
    <w:rsid w:val="00D44F0F"/>
    <w:rsid w:val="00D45CB5"/>
    <w:rsid w:val="00D50BA3"/>
    <w:rsid w:val="00D50D44"/>
    <w:rsid w:val="00D54028"/>
    <w:rsid w:val="00D603E0"/>
    <w:rsid w:val="00D62C95"/>
    <w:rsid w:val="00D84102"/>
    <w:rsid w:val="00D87C8C"/>
    <w:rsid w:val="00D93E89"/>
    <w:rsid w:val="00DB0B33"/>
    <w:rsid w:val="00DD780A"/>
    <w:rsid w:val="00DE554D"/>
    <w:rsid w:val="00DE6E05"/>
    <w:rsid w:val="00DF1C51"/>
    <w:rsid w:val="00E43AD4"/>
    <w:rsid w:val="00EA7DC6"/>
    <w:rsid w:val="00EB6125"/>
    <w:rsid w:val="00EC0FC3"/>
    <w:rsid w:val="00EF0BEC"/>
    <w:rsid w:val="00EF7042"/>
    <w:rsid w:val="00F041BC"/>
    <w:rsid w:val="00F15323"/>
    <w:rsid w:val="00F17675"/>
    <w:rsid w:val="00F40A3C"/>
    <w:rsid w:val="00F40E59"/>
    <w:rsid w:val="00F45B94"/>
    <w:rsid w:val="00F709BB"/>
    <w:rsid w:val="00F87140"/>
    <w:rsid w:val="00F96F33"/>
    <w:rsid w:val="00FA21EC"/>
    <w:rsid w:val="00FA3FB1"/>
    <w:rsid w:val="00FB26D0"/>
    <w:rsid w:val="00FB7C7C"/>
    <w:rsid w:val="00FD0629"/>
    <w:rsid w:val="00FD303B"/>
    <w:rsid w:val="00FE1238"/>
    <w:rsid w:val="00FE166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paragraph" w:styleId="Heading1">
    <w:name w:val="heading 1"/>
    <w:basedOn w:val="Normal"/>
    <w:next w:val="Normal"/>
    <w:link w:val="Heading1Char"/>
    <w:uiPriority w:val="9"/>
    <w:qFormat/>
    <w:rsid w:val="0090542A"/>
    <w:pPr>
      <w:keepNext/>
      <w:tabs>
        <w:tab w:val="left" w:pos="851"/>
        <w:tab w:val="left" w:pos="5103"/>
        <w:tab w:val="left" w:pos="8222"/>
      </w:tabs>
      <w:spacing w:after="0" w:line="240" w:lineRule="auto"/>
      <w:jc w:val="left"/>
      <w:outlineLvl w:val="0"/>
    </w:pPr>
    <w:rPr>
      <w:rFonts w:ascii="Times New Roman" w:hAnsi="Times New Roman" w:cs="Times New Roman"/>
      <w:b/>
      <w:sz w:val="24"/>
      <w:szCs w:val="20"/>
      <w:lang w:eastAsia="sk-SK"/>
    </w:rPr>
  </w:style>
  <w:style w:type="paragraph" w:styleId="Heading2">
    <w:name w:val="heading 2"/>
    <w:basedOn w:val="Normal"/>
    <w:next w:val="Normal"/>
    <w:link w:val="Heading2Char"/>
    <w:uiPriority w:val="9"/>
    <w:unhideWhenUsed/>
    <w:qFormat/>
    <w:rsid w:val="0090542A"/>
    <w:pPr>
      <w:keepNext/>
      <w:keepLines/>
      <w:spacing w:before="200" w:after="0"/>
      <w:jc w:val="left"/>
      <w:outlineLvl w:val="1"/>
    </w:pPr>
    <w:rPr>
      <w:rFonts w:asciiTheme="majorHAnsi" w:eastAsiaTheme="majorEastAsia" w:hAnsiTheme="majorHAnsi" w:cstheme="majorBidi"/>
      <w:b/>
      <w:bCs/>
      <w:color w:val="4F81BD" w:themeColor="accent1" w:themeShade="FF"/>
      <w:sz w:val="26"/>
      <w:szCs w:val="26"/>
    </w:rPr>
  </w:style>
  <w:style w:type="paragraph" w:styleId="Heading3">
    <w:name w:val="heading 3"/>
    <w:basedOn w:val="Normal"/>
    <w:next w:val="Normal"/>
    <w:link w:val="Heading3Char"/>
    <w:uiPriority w:val="9"/>
    <w:unhideWhenUsed/>
    <w:qFormat/>
    <w:rsid w:val="00FE1661"/>
    <w:pPr>
      <w:keepNext/>
      <w:keepLines/>
      <w:spacing w:before="200" w:after="0"/>
      <w:jc w:val="left"/>
      <w:outlineLvl w:val="2"/>
    </w:pPr>
    <w:rPr>
      <w:rFonts w:asciiTheme="majorHAnsi" w:eastAsiaTheme="majorEastAsia" w:hAnsiTheme="majorHAnsi" w:cstheme="majorBidi"/>
      <w:b/>
      <w:bCs/>
      <w:color w:val="4F81BD" w:themeColor="accent1" w:themeShade="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sid w:val="0090542A"/>
    <w:rPr>
      <w:rFonts w:ascii="Times New Roman" w:hAnsi="Times New Roman" w:cs="Times New Roman"/>
      <w:b/>
      <w:sz w:val="20"/>
      <w:szCs w:val="20"/>
      <w:rtl w:val="0"/>
      <w:cs w:val="0"/>
      <w:lang w:val="x-none" w:eastAsia="sk-SK"/>
    </w:rPr>
  </w:style>
  <w:style w:type="character" w:customStyle="1" w:styleId="Heading2Char">
    <w:name w:val="Heading 2 Char"/>
    <w:basedOn w:val="DefaultParagraphFont"/>
    <w:link w:val="Heading2"/>
    <w:uiPriority w:val="9"/>
    <w:locked/>
    <w:rsid w:val="0090542A"/>
    <w:rPr>
      <w:rFonts w:asciiTheme="majorHAnsi" w:eastAsiaTheme="majorEastAsia" w:hAnsiTheme="majorHAnsi" w:cstheme="majorBidi"/>
      <w:b/>
      <w:bCs/>
      <w:color w:val="4F81BD" w:themeColor="accent1" w:themeShade="FF"/>
      <w:sz w:val="26"/>
      <w:szCs w:val="26"/>
      <w:rtl w:val="0"/>
      <w:cs w:val="0"/>
    </w:rPr>
  </w:style>
  <w:style w:type="character" w:styleId="Hyperlink">
    <w:name w:val="Hyperlink"/>
    <w:basedOn w:val="DefaultParagraphFont"/>
    <w:uiPriority w:val="99"/>
    <w:unhideWhenUsed/>
    <w:rsid w:val="00A81998"/>
    <w:rPr>
      <w:rFonts w:cs="Times New Roman"/>
      <w:strike w:val="0"/>
      <w:dstrike w:val="0"/>
      <w:color w:val="003399"/>
      <w:u w:val="none"/>
      <w:effect w:val="none"/>
      <w:rtl w:val="0"/>
      <w:cs w:val="0"/>
    </w:rPr>
  </w:style>
  <w:style w:type="character" w:customStyle="1" w:styleId="pop3">
    <w:name w:val="pop3"/>
    <w:basedOn w:val="DefaultParagraphFont"/>
    <w:rsid w:val="00A81998"/>
    <w:rPr>
      <w:rFonts w:cs="Times New Roman"/>
      <w:rtl w:val="0"/>
      <w:cs w:val="0"/>
    </w:rPr>
  </w:style>
  <w:style w:type="paragraph" w:styleId="ListParagraph">
    <w:name w:val="List Paragraph"/>
    <w:basedOn w:val="Normal"/>
    <w:link w:val="ListParagraphChar"/>
    <w:uiPriority w:val="34"/>
    <w:qFormat/>
    <w:rsid w:val="008F5DAE"/>
    <w:pPr>
      <w:ind w:left="720"/>
      <w:contextualSpacing/>
      <w:jc w:val="left"/>
    </w:pPr>
  </w:style>
  <w:style w:type="character" w:customStyle="1" w:styleId="ListParagraphChar">
    <w:name w:val="List Paragraph Char"/>
    <w:link w:val="ListParagraph"/>
    <w:uiPriority w:val="34"/>
    <w:locked/>
    <w:rsid w:val="0090542A"/>
  </w:style>
  <w:style w:type="character" w:styleId="Strong">
    <w:name w:val="Strong"/>
    <w:basedOn w:val="DefaultParagraphFont"/>
    <w:uiPriority w:val="22"/>
    <w:qFormat/>
    <w:rsid w:val="00EF7042"/>
    <w:rPr>
      <w:rFonts w:cs="Times New Roman"/>
      <w:b/>
      <w:bCs/>
      <w:rtl w:val="0"/>
      <w:cs w:val="0"/>
    </w:rPr>
  </w:style>
  <w:style w:type="paragraph" w:styleId="BalloonText">
    <w:name w:val="Balloon Text"/>
    <w:basedOn w:val="Normal"/>
    <w:link w:val="BalloonTextChar"/>
    <w:uiPriority w:val="99"/>
    <w:semiHidden/>
    <w:unhideWhenUsed/>
    <w:rsid w:val="0090542A"/>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542A"/>
    <w:rPr>
      <w:rFonts w:ascii="Tahoma" w:hAnsi="Tahoma" w:cs="Tahoma"/>
      <w:sz w:val="16"/>
      <w:szCs w:val="16"/>
      <w:rtl w:val="0"/>
      <w:cs w:val="0"/>
    </w:rPr>
  </w:style>
  <w:style w:type="paragraph" w:styleId="Footer">
    <w:name w:val="footer"/>
    <w:basedOn w:val="Normal"/>
    <w:link w:val="FooterChar"/>
    <w:uiPriority w:val="99"/>
    <w:rsid w:val="0090542A"/>
    <w:pPr>
      <w:tabs>
        <w:tab w:val="center" w:pos="4536"/>
        <w:tab w:val="right" w:pos="9072"/>
      </w:tabs>
      <w:spacing w:after="0" w:line="240" w:lineRule="auto"/>
      <w:jc w:val="left"/>
    </w:pPr>
    <w:rPr>
      <w:rFonts w:ascii="Times New Roman" w:hAnsi="Times New Roman" w:cs="Times New Roman"/>
      <w:sz w:val="24"/>
      <w:szCs w:val="20"/>
      <w:lang w:eastAsia="sk-SK"/>
    </w:rPr>
  </w:style>
  <w:style w:type="character" w:customStyle="1" w:styleId="FooterChar">
    <w:name w:val="Footer Char"/>
    <w:basedOn w:val="DefaultParagraphFont"/>
    <w:link w:val="Footer"/>
    <w:uiPriority w:val="99"/>
    <w:locked/>
    <w:rsid w:val="0090542A"/>
    <w:rPr>
      <w:rFonts w:ascii="Times New Roman" w:hAnsi="Times New Roman" w:cs="Times New Roman"/>
      <w:sz w:val="20"/>
      <w:szCs w:val="20"/>
      <w:rtl w:val="0"/>
      <w:cs w:val="0"/>
      <w:lang w:val="x-none" w:eastAsia="sk-SK"/>
    </w:rPr>
  </w:style>
  <w:style w:type="character" w:styleId="PageNumber">
    <w:name w:val="page number"/>
    <w:basedOn w:val="DefaultParagraphFont"/>
    <w:uiPriority w:val="99"/>
    <w:rsid w:val="0090542A"/>
    <w:rPr>
      <w:rFonts w:cs="Times New Roman"/>
      <w:rtl w:val="0"/>
      <w:cs w:val="0"/>
    </w:rPr>
  </w:style>
  <w:style w:type="paragraph" w:styleId="BlockText">
    <w:name w:val="Block Text"/>
    <w:basedOn w:val="Normal"/>
    <w:uiPriority w:val="99"/>
    <w:rsid w:val="0090542A"/>
    <w:pPr>
      <w:tabs>
        <w:tab w:val="left" w:pos="851"/>
        <w:tab w:val="left" w:pos="5103"/>
        <w:tab w:val="left" w:pos="8222"/>
      </w:tabs>
      <w:spacing w:after="0" w:line="240" w:lineRule="auto"/>
      <w:ind w:left="113" w:right="113"/>
      <w:jc w:val="center"/>
    </w:pPr>
    <w:rPr>
      <w:rFonts w:ascii="Times New Roman" w:hAnsi="Times New Roman" w:cs="Times New Roman"/>
      <w:sz w:val="24"/>
      <w:szCs w:val="20"/>
      <w:lang w:eastAsia="sk-SK"/>
    </w:rPr>
  </w:style>
  <w:style w:type="paragraph" w:styleId="Title">
    <w:name w:val="Title"/>
    <w:basedOn w:val="Normal"/>
    <w:link w:val="TitleChar"/>
    <w:uiPriority w:val="10"/>
    <w:qFormat/>
    <w:rsid w:val="0090542A"/>
    <w:pPr>
      <w:spacing w:after="0" w:line="240" w:lineRule="auto"/>
      <w:jc w:val="center"/>
    </w:pPr>
    <w:rPr>
      <w:rFonts w:ascii="Times New Roman" w:hAnsi="Times New Roman" w:cs="Times New Roman"/>
      <w:b/>
      <w:caps/>
      <w:w w:val="93"/>
      <w:sz w:val="24"/>
      <w:szCs w:val="20"/>
      <w:u w:val="single"/>
      <w:lang w:eastAsia="sk-SK"/>
    </w:rPr>
  </w:style>
  <w:style w:type="character" w:customStyle="1" w:styleId="TitleChar">
    <w:name w:val="Title Char"/>
    <w:basedOn w:val="DefaultParagraphFont"/>
    <w:link w:val="Title"/>
    <w:uiPriority w:val="10"/>
    <w:locked/>
    <w:rsid w:val="0090542A"/>
    <w:rPr>
      <w:rFonts w:ascii="Times New Roman" w:hAnsi="Times New Roman" w:cs="Times New Roman"/>
      <w:b/>
      <w:caps/>
      <w:w w:val="93"/>
      <w:sz w:val="20"/>
      <w:szCs w:val="20"/>
      <w:u w:val="single"/>
      <w:rtl w:val="0"/>
      <w:cs w:val="0"/>
      <w:lang w:val="x-none" w:eastAsia="sk-SK"/>
    </w:rPr>
  </w:style>
  <w:style w:type="character" w:customStyle="1" w:styleId="FootnoteTextChar">
    <w:name w:val="Footnote Text Char"/>
    <w:aliases w:val="Text poznámky pod èiarou 007 Char,Text poznámky pod čiarou 007 Char,_Poznámka pod čiarou Char"/>
    <w:basedOn w:val="DefaultParagraphFont"/>
    <w:link w:val="FootnoteText"/>
    <w:uiPriority w:val="99"/>
    <w:locked/>
    <w:rsid w:val="0090542A"/>
    <w:rPr>
      <w:rFonts w:ascii="Times New Roman" w:hAnsi="Times New Roman" w:cs="Times New Roman"/>
      <w:sz w:val="20"/>
      <w:szCs w:val="20"/>
      <w:rtl w:val="0"/>
      <w:cs w:val="0"/>
      <w:lang w:val="x-none" w:eastAsia="sk-SK"/>
    </w:rPr>
  </w:style>
  <w:style w:type="paragraph" w:styleId="FootnoteText">
    <w:name w:val="footnote text"/>
    <w:aliases w:val="Text poznámky pod èiarou 007,Text poznámky pod čiarou 007,_Poznámka pod čiarou"/>
    <w:basedOn w:val="Normal"/>
    <w:link w:val="FootnoteTextChar"/>
    <w:uiPriority w:val="99"/>
    <w:unhideWhenUsed/>
    <w:rsid w:val="0090542A"/>
    <w:pPr>
      <w:spacing w:after="0" w:line="240" w:lineRule="auto"/>
      <w:jc w:val="left"/>
    </w:pPr>
    <w:rPr>
      <w:rFonts w:ascii="Times New Roman" w:hAnsi="Times New Roman" w:cs="Times New Roman"/>
      <w:sz w:val="20"/>
      <w:szCs w:val="20"/>
      <w:lang w:eastAsia="sk-SK"/>
    </w:rPr>
  </w:style>
  <w:style w:type="character" w:customStyle="1" w:styleId="TextpoznmkypodiarouChar1">
    <w:name w:val="Text poznámky pod čiarou Char1"/>
    <w:basedOn w:val="DefaultParagraphFont"/>
    <w:uiPriority w:val="99"/>
    <w:semiHidden/>
    <w:rsid w:val="0090542A"/>
    <w:rPr>
      <w:rFonts w:cs="Times New Roman"/>
      <w:sz w:val="20"/>
      <w:szCs w:val="20"/>
      <w:rtl w:val="0"/>
      <w:cs w:val="0"/>
    </w:rPr>
  </w:style>
  <w:style w:type="paragraph" w:styleId="Header">
    <w:name w:val="header"/>
    <w:basedOn w:val="Normal"/>
    <w:link w:val="HeaderChar"/>
    <w:uiPriority w:val="99"/>
    <w:unhideWhenUsed/>
    <w:rsid w:val="0090542A"/>
    <w:pPr>
      <w:tabs>
        <w:tab w:val="center" w:pos="4536"/>
        <w:tab w:val="right" w:pos="9072"/>
      </w:tabs>
      <w:spacing w:after="0" w:line="240" w:lineRule="auto"/>
      <w:jc w:val="left"/>
    </w:pPr>
    <w:rPr>
      <w:rFonts w:ascii="Times New Roman" w:hAnsi="Times New Roman" w:cs="Times New Roman"/>
      <w:sz w:val="24"/>
      <w:szCs w:val="20"/>
      <w:lang w:eastAsia="sk-SK"/>
    </w:rPr>
  </w:style>
  <w:style w:type="character" w:customStyle="1" w:styleId="HeaderChar">
    <w:name w:val="Header Char"/>
    <w:basedOn w:val="DefaultParagraphFont"/>
    <w:link w:val="Header"/>
    <w:uiPriority w:val="99"/>
    <w:locked/>
    <w:rsid w:val="0090542A"/>
    <w:rPr>
      <w:rFonts w:ascii="Times New Roman" w:hAnsi="Times New Roman" w:cs="Times New Roman"/>
      <w:sz w:val="20"/>
      <w:szCs w:val="20"/>
      <w:rtl w:val="0"/>
      <w:cs w:val="0"/>
      <w:lang w:val="x-none" w:eastAsia="sk-SK"/>
    </w:rPr>
  </w:style>
  <w:style w:type="paragraph" w:customStyle="1" w:styleId="Bezriadkovania1">
    <w:name w:val="Bez riadkovania1"/>
    <w:rsid w:val="0090542A"/>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table" w:styleId="TableGrid">
    <w:name w:val="Table Grid"/>
    <w:basedOn w:val="TableNormal"/>
    <w:uiPriority w:val="59"/>
    <w:rsid w:val="0090542A"/>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4CharCharChar4CharCharChar">
    <w:name w:val="Char Char Char Char Char Char Char Char4 Char Char Char4 Char Char Char"/>
    <w:basedOn w:val="Normal"/>
    <w:uiPriority w:val="99"/>
    <w:rsid w:val="0090542A"/>
    <w:pPr>
      <w:spacing w:after="160" w:line="240" w:lineRule="exact"/>
      <w:ind w:firstLine="720"/>
      <w:jc w:val="left"/>
    </w:pPr>
    <w:rPr>
      <w:rFonts w:ascii="Tahoma" w:hAnsi="Tahoma" w:cs="Tahoma"/>
      <w:sz w:val="20"/>
      <w:szCs w:val="20"/>
      <w:lang w:val="en-US"/>
    </w:rPr>
  </w:style>
  <w:style w:type="paragraph" w:styleId="NormalWeb">
    <w:name w:val="Normal (Web)"/>
    <w:basedOn w:val="Normal"/>
    <w:uiPriority w:val="99"/>
    <w:rsid w:val="0090542A"/>
    <w:pPr>
      <w:spacing w:before="100" w:beforeAutospacing="1" w:after="100" w:afterAutospacing="1" w:line="240" w:lineRule="auto"/>
      <w:jc w:val="left"/>
    </w:pPr>
    <w:rPr>
      <w:rFonts w:ascii="Times New Roman" w:hAnsi="Times New Roman" w:cs="Times New Roman"/>
      <w:sz w:val="24"/>
      <w:szCs w:val="24"/>
      <w:lang w:eastAsia="sk-SK"/>
    </w:rPr>
  </w:style>
  <w:style w:type="paragraph" w:styleId="CommentText">
    <w:name w:val="annotation text"/>
    <w:basedOn w:val="Normal"/>
    <w:link w:val="CommentTextChar"/>
    <w:uiPriority w:val="99"/>
    <w:semiHidden/>
    <w:unhideWhenUsed/>
    <w:rsid w:val="0090542A"/>
    <w:pPr>
      <w:spacing w:after="0" w:line="240" w:lineRule="auto"/>
      <w:jc w:val="left"/>
    </w:pPr>
    <w:rPr>
      <w:rFonts w:ascii="Times New Roman" w:hAnsi="Times New Roman" w:cs="Times New Roman"/>
      <w:sz w:val="20"/>
      <w:szCs w:val="20"/>
      <w:lang w:eastAsia="sk-SK"/>
    </w:rPr>
  </w:style>
  <w:style w:type="character" w:customStyle="1" w:styleId="CommentTextChar">
    <w:name w:val="Comment Text Char"/>
    <w:basedOn w:val="DefaultParagraphFont"/>
    <w:link w:val="CommentText"/>
    <w:uiPriority w:val="99"/>
    <w:semiHidden/>
    <w:locked/>
    <w:rsid w:val="0090542A"/>
    <w:rPr>
      <w:rFonts w:ascii="Times New Roman" w:hAnsi="Times New Roman" w:cs="Times New Roman"/>
      <w:sz w:val="20"/>
      <w:szCs w:val="20"/>
      <w:rtl w:val="0"/>
      <w:cs w:val="0"/>
      <w:lang w:val="x-none" w:eastAsia="sk-SK"/>
    </w:rPr>
  </w:style>
  <w:style w:type="paragraph" w:styleId="CommentSubject">
    <w:name w:val="annotation subject"/>
    <w:basedOn w:val="CommentText"/>
    <w:next w:val="CommentText"/>
    <w:link w:val="CommentSubjectChar"/>
    <w:uiPriority w:val="99"/>
    <w:semiHidden/>
    <w:unhideWhenUsed/>
    <w:rsid w:val="0090542A"/>
    <w:pPr>
      <w:spacing w:after="0" w:line="240" w:lineRule="auto"/>
      <w:jc w:val="left"/>
    </w:pPr>
    <w:rPr>
      <w:rFonts w:ascii="Times New Roman" w:hAnsi="Times New Roman"/>
      <w:b/>
      <w:bCs/>
    </w:rPr>
  </w:style>
  <w:style w:type="character" w:customStyle="1" w:styleId="CommentSubjectChar">
    <w:name w:val="Comment Subject Char"/>
    <w:basedOn w:val="CommentTextChar"/>
    <w:link w:val="CommentSubject"/>
    <w:uiPriority w:val="99"/>
    <w:semiHidden/>
    <w:locked/>
    <w:rsid w:val="0090542A"/>
    <w:rPr>
      <w:b/>
      <w:bCs/>
    </w:rPr>
  </w:style>
  <w:style w:type="paragraph" w:styleId="NoSpacing">
    <w:name w:val="No Spacing"/>
    <w:uiPriority w:val="1"/>
    <w:qFormat/>
    <w:rsid w:val="0090542A"/>
    <w:pPr>
      <w:framePr w:wrap="auto"/>
      <w:widowControl/>
      <w:autoSpaceDE/>
      <w:autoSpaceDN/>
      <w:adjustRightInd/>
      <w:ind w:left="0" w:right="0"/>
      <w:jc w:val="left"/>
      <w:textAlignment w:val="auto"/>
    </w:pPr>
    <w:rPr>
      <w:rFonts w:asciiTheme="minorHAnsi" w:hAnsiTheme="minorHAnsi" w:cstheme="minorBidi"/>
      <w:sz w:val="22"/>
      <w:szCs w:val="22"/>
      <w:rtl w:val="0"/>
      <w:cs w:val="0"/>
      <w:lang w:val="sk-SK" w:eastAsia="en-US" w:bidi="ar-SA"/>
    </w:rPr>
  </w:style>
  <w:style w:type="paragraph" w:styleId="PlainText">
    <w:name w:val="Plain Text"/>
    <w:basedOn w:val="Normal"/>
    <w:link w:val="PlainTextChar"/>
    <w:uiPriority w:val="99"/>
    <w:semiHidden/>
    <w:unhideWhenUsed/>
    <w:rsid w:val="0090542A"/>
    <w:pPr>
      <w:spacing w:after="0" w:line="240" w:lineRule="auto"/>
      <w:jc w:val="left"/>
    </w:pPr>
    <w:rPr>
      <w:rFonts w:ascii="Calibri" w:hAnsi="Calibri" w:cs="Consolas"/>
      <w:szCs w:val="21"/>
    </w:rPr>
  </w:style>
  <w:style w:type="character" w:customStyle="1" w:styleId="PlainTextChar">
    <w:name w:val="Plain Text Char"/>
    <w:basedOn w:val="DefaultParagraphFont"/>
    <w:link w:val="PlainText"/>
    <w:uiPriority w:val="99"/>
    <w:semiHidden/>
    <w:locked/>
    <w:rsid w:val="0090542A"/>
    <w:rPr>
      <w:rFonts w:ascii="Calibri" w:hAnsi="Calibri" w:cs="Consolas"/>
      <w:sz w:val="21"/>
      <w:szCs w:val="21"/>
      <w:rtl w:val="0"/>
      <w:cs w:val="0"/>
    </w:rPr>
  </w:style>
  <w:style w:type="paragraph" w:customStyle="1" w:styleId="Text1">
    <w:name w:val="Text1"/>
    <w:basedOn w:val="Normal"/>
    <w:uiPriority w:val="99"/>
    <w:rsid w:val="0090542A"/>
    <w:pPr>
      <w:spacing w:after="120" w:line="240" w:lineRule="auto"/>
      <w:jc w:val="both"/>
    </w:pPr>
    <w:rPr>
      <w:rFonts w:ascii="Calibri" w:hAnsi="Calibri" w:eastAsiaTheme="minorEastAsia" w:cs="Calibri"/>
      <w:sz w:val="24"/>
      <w:szCs w:val="24"/>
      <w:lang w:eastAsia="sk-SK"/>
    </w:rPr>
  </w:style>
  <w:style w:type="paragraph" w:styleId="BodyText">
    <w:name w:val="Body Text"/>
    <w:basedOn w:val="Normal"/>
    <w:link w:val="BodyTextChar"/>
    <w:uiPriority w:val="99"/>
    <w:semiHidden/>
    <w:unhideWhenUsed/>
    <w:rsid w:val="0090542A"/>
    <w:pPr>
      <w:spacing w:after="120" w:line="240" w:lineRule="auto"/>
      <w:jc w:val="left"/>
    </w:pPr>
    <w:rPr>
      <w:rFonts w:ascii="Times New Roman" w:hAnsi="Times New Roman" w:cs="Times New Roman"/>
      <w:sz w:val="24"/>
      <w:szCs w:val="24"/>
      <w:lang w:eastAsia="sk-SK"/>
    </w:rPr>
  </w:style>
  <w:style w:type="character" w:customStyle="1" w:styleId="BodyTextChar">
    <w:name w:val="Body Text Char"/>
    <w:basedOn w:val="DefaultParagraphFont"/>
    <w:link w:val="BodyText"/>
    <w:uiPriority w:val="99"/>
    <w:semiHidden/>
    <w:locked/>
    <w:rsid w:val="0090542A"/>
    <w:rPr>
      <w:rFonts w:ascii="Times New Roman" w:hAnsi="Times New Roman" w:cs="Times New Roman"/>
      <w:sz w:val="24"/>
      <w:szCs w:val="24"/>
      <w:rtl w:val="0"/>
      <w:cs w:val="0"/>
      <w:lang w:val="x-none" w:eastAsia="sk-SK"/>
    </w:rPr>
  </w:style>
  <w:style w:type="character" w:customStyle="1" w:styleId="Heading3Char">
    <w:name w:val="Heading 3 Char"/>
    <w:basedOn w:val="DefaultParagraphFont"/>
    <w:link w:val="Heading3"/>
    <w:uiPriority w:val="9"/>
    <w:locked/>
    <w:rsid w:val="00FE1661"/>
    <w:rPr>
      <w:rFonts w:asciiTheme="majorHAnsi" w:eastAsiaTheme="majorEastAsia" w:hAnsiTheme="majorHAnsi" w:cstheme="majorBidi"/>
      <w:b/>
      <w:bCs/>
      <w:color w:val="4F81BD" w:themeColor="accent1" w:themeShade="FF"/>
      <w:rtl w:val="0"/>
      <w:cs w:val="0"/>
    </w:rPr>
  </w:style>
  <w:style w:type="character" w:styleId="CommentReference">
    <w:name w:val="annotation reference"/>
    <w:basedOn w:val="DefaultParagraphFont"/>
    <w:uiPriority w:val="99"/>
    <w:semiHidden/>
    <w:unhideWhenUsed/>
    <w:rsid w:val="00BA1FAA"/>
    <w:rPr>
      <w:rFonts w:cs="Times New Roman"/>
      <w:sz w:val="16"/>
      <w:szCs w:val="16"/>
      <w:rtl w:val="0"/>
      <w:cs w:val="0"/>
    </w:rPr>
  </w:style>
  <w:style w:type="character" w:styleId="FootnoteReference">
    <w:name w:val="footnote reference"/>
    <w:basedOn w:val="DefaultParagraphFont"/>
    <w:uiPriority w:val="99"/>
    <w:semiHidden/>
    <w:unhideWhenUsed/>
    <w:rsid w:val="00192C33"/>
    <w:rPr>
      <w:rFonts w:cs="Times New Roman"/>
      <w:vertAlign w:val="superscript"/>
      <w:rtl w:val="0"/>
      <w:cs w:val="0"/>
    </w:rPr>
  </w:style>
  <w:style w:type="paragraph" w:styleId="TOCHeading">
    <w:name w:val="TOC Heading"/>
    <w:basedOn w:val="Heading1"/>
    <w:next w:val="Normal"/>
    <w:uiPriority w:val="39"/>
    <w:semiHidden/>
    <w:unhideWhenUsed/>
    <w:qFormat/>
    <w:rsid w:val="00EC0FC3"/>
    <w:pPr>
      <w:keepLines/>
      <w:tabs>
        <w:tab w:val="clear" w:pos="851"/>
        <w:tab w:val="clear" w:pos="5103"/>
        <w:tab w:val="clear" w:pos="8222"/>
      </w:tabs>
      <w:spacing w:before="480" w:after="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unhideWhenUsed/>
    <w:rsid w:val="00186957"/>
    <w:pPr>
      <w:tabs>
        <w:tab w:val="left" w:pos="660"/>
        <w:tab w:val="right" w:leader="dot" w:pos="9062"/>
      </w:tabs>
      <w:spacing w:after="100"/>
      <w:ind w:left="709" w:hanging="489"/>
      <w:jc w:val="left"/>
    </w:pPr>
  </w:style>
  <w:style w:type="paragraph" w:styleId="TOC3">
    <w:name w:val="toc 3"/>
    <w:basedOn w:val="Normal"/>
    <w:next w:val="Normal"/>
    <w:autoRedefine/>
    <w:uiPriority w:val="39"/>
    <w:unhideWhenUsed/>
    <w:rsid w:val="00186957"/>
    <w:pPr>
      <w:tabs>
        <w:tab w:val="right" w:leader="dot" w:pos="9062"/>
      </w:tabs>
      <w:spacing w:after="100"/>
      <w:ind w:left="709"/>
      <w:jc w:val="left"/>
    </w:pPr>
  </w:style>
  <w:style w:type="paragraph" w:customStyle="1" w:styleId="Default">
    <w:name w:val="Default"/>
    <w:rsid w:val="00D50BA3"/>
    <w:pPr>
      <w:framePr w:wrap="auto"/>
      <w:widowControl/>
      <w:autoSpaceDE w:val="0"/>
      <w:autoSpaceDN w:val="0"/>
      <w:adjustRightInd w:val="0"/>
      <w:ind w:left="0" w:right="0"/>
      <w:jc w:val="left"/>
      <w:textAlignment w:val="auto"/>
    </w:pPr>
    <w:rPr>
      <w:rFonts w:ascii="Arial" w:hAnsi="Arial" w:cs="Arial"/>
      <w:color w:val="000000"/>
      <w:sz w:val="24"/>
      <w:szCs w:val="24"/>
      <w:rtl w:val="0"/>
      <w:cs w:val="0"/>
      <w:lang w:val="sk-SK" w:eastAsia="en-US" w:bidi="ar-SA"/>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footer" Target="footer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F4BF6-B365-4D79-A994-1855D83B6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15</Pages>
  <Words>4764</Words>
  <Characters>27160</Characters>
  <Application>Microsoft Office Word</Application>
  <DocSecurity>0</DocSecurity>
  <Lines>0</Lines>
  <Paragraphs>0</Paragraphs>
  <ScaleCrop>false</ScaleCrop>
  <Company>Hewlett-Packard Company</Company>
  <LinksUpToDate>false</LinksUpToDate>
  <CharactersWithSpaces>31861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Štefány Peter</dc:creator>
  <cp:lastModifiedBy>Gašparíková, Jarmila</cp:lastModifiedBy>
  <cp:revision>2</cp:revision>
  <cp:lastPrinted>2015-05-15T18:36:00Z</cp:lastPrinted>
  <dcterms:created xsi:type="dcterms:W3CDTF">2015-05-18T16:00:00Z</dcterms:created>
  <dcterms:modified xsi:type="dcterms:W3CDTF">2015-05-18T16:00:00Z</dcterms:modified>
</cp:coreProperties>
</file>