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177AAF" w:rsidP="002E0F39">
      <w:pPr>
        <w:pStyle w:val="Heading2"/>
        <w:bidi w:val="0"/>
        <w:ind w:hanging="3649"/>
        <w:rPr>
          <w:rFonts w:hint="default"/>
        </w:rPr>
      </w:pPr>
      <w:r w:rsidRPr="00177AAF" w:rsidR="00296777">
        <w:t xml:space="preserve"> </w:t>
      </w:r>
      <w:r w:rsidRPr="00177AAF">
        <w:rPr>
          <w:rFonts w:hint="default"/>
        </w:rPr>
        <w:t>Ú</w:t>
      </w:r>
      <w:r w:rsidRPr="00177AAF">
        <w:rPr>
          <w:rFonts w:hint="default"/>
        </w:rPr>
        <w:t>STAVNOPRÁ</w:t>
      </w:r>
      <w:r w:rsidRPr="00177AAF">
        <w:rPr>
          <w:rFonts w:hint="default"/>
        </w:rPr>
        <w:t>VNY VÝ</w:t>
      </w:r>
      <w:r w:rsidRPr="00177AAF">
        <w:rPr>
          <w:rFonts w:hint="default"/>
        </w:rPr>
        <w:t>BOR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  <w:r w:rsidRPr="00177AAF" w:rsidR="002E0F39">
        <w:rPr>
          <w:rFonts w:ascii="Times New Roman" w:hAnsi="Times New Roman"/>
          <w:b/>
        </w:rPr>
        <w:t>NÁR</w:t>
      </w:r>
      <w:r w:rsidR="00617A60">
        <w:rPr>
          <w:rFonts w:ascii="Times New Roman" w:hAnsi="Times New Roman"/>
          <w:b/>
        </w:rPr>
        <w:t>ODNEJ RADY SLOVENSKEJ REPUBLIKY</w:t>
      </w:r>
    </w:p>
    <w:p w:rsidR="00617A60" w:rsidRPr="00177AAF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177AAF" w:rsidP="002E0F39">
      <w:pPr>
        <w:bidi w:val="0"/>
        <w:rPr>
          <w:rFonts w:ascii="Times New Roman" w:hAnsi="Times New Roman"/>
        </w:rPr>
      </w:pPr>
      <w:r w:rsidRPr="00177AAF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177AAF" w:rsidR="00784751">
        <w:rPr>
          <w:rFonts w:ascii="Times New Roman" w:hAnsi="Times New Roman"/>
        </w:rPr>
        <w:t>10</w:t>
      </w:r>
      <w:r w:rsidRPr="00177AAF" w:rsidR="00427EDF">
        <w:rPr>
          <w:rFonts w:ascii="Times New Roman" w:hAnsi="Times New Roman"/>
        </w:rPr>
        <w:t>2</w:t>
      </w:r>
      <w:r w:rsidRPr="00177AAF">
        <w:rPr>
          <w:rFonts w:ascii="Times New Roman" w:hAnsi="Times New Roman"/>
        </w:rPr>
        <w:t xml:space="preserve"> schôdza</w:t>
      </w:r>
    </w:p>
    <w:p w:rsidR="00D73B41" w:rsidRPr="00177AAF" w:rsidP="00FC2785">
      <w:pPr>
        <w:bidi w:val="0"/>
        <w:ind w:left="5592" w:hanging="12"/>
        <w:rPr>
          <w:rFonts w:ascii="Times New Roman" w:hAnsi="Times New Roman"/>
        </w:rPr>
      </w:pPr>
      <w:r w:rsidRPr="00177AAF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A5515F">
        <w:rPr>
          <w:rFonts w:ascii="Times New Roman" w:hAnsi="Times New Roman"/>
        </w:rPr>
        <w:t>CRD-341/2015</w:t>
      </w:r>
    </w:p>
    <w:p w:rsidR="00FC2785" w:rsidRPr="00177AAF" w:rsidP="00617A60">
      <w:pPr>
        <w:bidi w:val="0"/>
        <w:ind w:left="5592" w:hanging="12"/>
        <w:rPr>
          <w:rFonts w:ascii="Times New Roman" w:hAnsi="Times New Roman"/>
        </w:rPr>
      </w:pPr>
    </w:p>
    <w:p w:rsidR="00F40540" w:rsidRPr="00204494" w:rsidP="00617A60">
      <w:pPr>
        <w:bidi w:val="0"/>
        <w:jc w:val="center"/>
        <w:rPr>
          <w:rFonts w:ascii="Times New Roman" w:hAnsi="Times New Roman"/>
          <w:sz w:val="36"/>
        </w:rPr>
      </w:pPr>
      <w:r w:rsidRPr="00204494" w:rsidR="00204494">
        <w:rPr>
          <w:rFonts w:ascii="Times New Roman" w:hAnsi="Times New Roman"/>
          <w:sz w:val="36"/>
        </w:rPr>
        <w:t>583</w:t>
      </w:r>
    </w:p>
    <w:p w:rsidR="002E0F39" w:rsidRPr="00177AAF" w:rsidP="00937E90">
      <w:pPr>
        <w:bidi w:val="0"/>
        <w:jc w:val="center"/>
        <w:rPr>
          <w:rFonts w:ascii="Times New Roman" w:hAnsi="Times New Roman"/>
          <w:b/>
        </w:rPr>
      </w:pPr>
      <w:r w:rsidRPr="00177AAF">
        <w:rPr>
          <w:rFonts w:ascii="Times New Roman" w:hAnsi="Times New Roman"/>
          <w:b/>
        </w:rPr>
        <w:t>U z n e s e n i e</w:t>
      </w:r>
    </w:p>
    <w:p w:rsidR="002E0F39" w:rsidRPr="00177AAF" w:rsidP="00937E90">
      <w:pPr>
        <w:bidi w:val="0"/>
        <w:jc w:val="center"/>
        <w:rPr>
          <w:rFonts w:ascii="Times New Roman" w:hAnsi="Times New Roman"/>
          <w:b/>
        </w:rPr>
      </w:pPr>
      <w:r w:rsidRPr="00177AAF">
        <w:rPr>
          <w:rFonts w:ascii="Times New Roman" w:hAnsi="Times New Roman"/>
          <w:b/>
        </w:rPr>
        <w:t>Ústavnoprávneho výboru Národnej rady Slovenskej republiky</w:t>
      </w:r>
    </w:p>
    <w:p w:rsidR="002E0F39" w:rsidRPr="00177AAF" w:rsidP="00937E90">
      <w:pPr>
        <w:bidi w:val="0"/>
        <w:jc w:val="center"/>
        <w:rPr>
          <w:rFonts w:ascii="Times New Roman" w:hAnsi="Times New Roman"/>
          <w:b/>
        </w:rPr>
      </w:pPr>
      <w:r w:rsidRPr="00177AAF" w:rsidR="00B252E1">
        <w:rPr>
          <w:rFonts w:ascii="Times New Roman" w:hAnsi="Times New Roman"/>
          <w:b/>
        </w:rPr>
        <w:t>z</w:t>
      </w:r>
      <w:r w:rsidRPr="00177AAF" w:rsidR="003D2166">
        <w:rPr>
          <w:rFonts w:ascii="Times New Roman" w:hAnsi="Times New Roman"/>
          <w:b/>
        </w:rPr>
        <w:t> </w:t>
      </w:r>
      <w:r w:rsidR="00A5515F">
        <w:rPr>
          <w:rFonts w:ascii="Times New Roman" w:hAnsi="Times New Roman"/>
          <w:b/>
        </w:rPr>
        <w:t>30</w:t>
      </w:r>
      <w:r w:rsidRPr="00177AAF" w:rsidR="0068156B">
        <w:rPr>
          <w:rFonts w:ascii="Times New Roman" w:hAnsi="Times New Roman"/>
          <w:b/>
        </w:rPr>
        <w:t>.</w:t>
      </w:r>
      <w:r w:rsidRPr="00177AAF" w:rsidR="008C74B6">
        <w:rPr>
          <w:rFonts w:ascii="Times New Roman" w:hAnsi="Times New Roman"/>
          <w:b/>
        </w:rPr>
        <w:t xml:space="preserve"> </w:t>
      </w:r>
      <w:r w:rsidRPr="00177AAF" w:rsidR="00784751">
        <w:rPr>
          <w:rFonts w:ascii="Times New Roman" w:hAnsi="Times New Roman"/>
          <w:b/>
        </w:rPr>
        <w:t>apríla</w:t>
      </w:r>
      <w:r w:rsidRPr="00177AAF">
        <w:rPr>
          <w:rFonts w:ascii="Times New Roman" w:hAnsi="Times New Roman"/>
          <w:b/>
        </w:rPr>
        <w:t xml:space="preserve"> 201</w:t>
      </w:r>
      <w:r w:rsidRPr="00177AAF" w:rsidR="00F02EE6">
        <w:rPr>
          <w:rFonts w:ascii="Times New Roman" w:hAnsi="Times New Roman"/>
          <w:b/>
        </w:rPr>
        <w:t>5</w:t>
      </w:r>
    </w:p>
    <w:p w:rsidR="002E0F39" w:rsidRPr="00177AAF" w:rsidP="00937E90">
      <w:pPr>
        <w:pStyle w:val="BodyText"/>
        <w:bidi w:val="0"/>
        <w:rPr>
          <w:rFonts w:ascii="Times New Roman" w:hAnsi="Times New Roman"/>
        </w:rPr>
      </w:pPr>
    </w:p>
    <w:p w:rsidR="00721A4B" w:rsidRPr="00177AAF" w:rsidP="00177AAF">
      <w:pPr>
        <w:pStyle w:val="ListParagraph"/>
        <w:bidi w:val="0"/>
        <w:ind w:left="0"/>
        <w:jc w:val="both"/>
        <w:rPr>
          <w:rFonts w:ascii="Times New Roman" w:hAnsi="Times New Roman" w:cs="Arial"/>
          <w:noProof/>
        </w:rPr>
      </w:pPr>
      <w:r w:rsidRPr="00177AAF" w:rsidR="00556936">
        <w:rPr>
          <w:rFonts w:ascii="Times New Roman" w:hAnsi="Times New Roman" w:cs="Arial"/>
          <w:noProof/>
        </w:rPr>
        <w:t xml:space="preserve">k </w:t>
      </w:r>
      <w:r w:rsidRPr="00177AAF" w:rsidR="00784751">
        <w:rPr>
          <w:rFonts w:ascii="Times New Roman" w:hAnsi="Times New Roman" w:cs="Arial"/>
          <w:noProof/>
        </w:rPr>
        <w:t>vládnemu</w:t>
      </w:r>
      <w:r w:rsidRPr="00177AAF" w:rsidR="00784751">
        <w:rPr>
          <w:rFonts w:ascii="Times New Roman" w:hAnsi="Times New Roman"/>
        </w:rPr>
        <w:t xml:space="preserve"> </w:t>
      </w:r>
      <w:r w:rsidRPr="00177AAF" w:rsidR="00784751">
        <w:rPr>
          <w:rFonts w:ascii="Times New Roman" w:hAnsi="Times New Roman" w:cs="Arial"/>
          <w:noProof/>
        </w:rPr>
        <w:t>návrhu zákona o knižniciach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</w:t>
      </w:r>
    </w:p>
    <w:p w:rsidR="00027E71" w:rsidRPr="00177AAF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177AAF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7AAF">
        <w:rPr>
          <w:rFonts w:ascii="Times New Roman" w:hAnsi="Times New Roman"/>
          <w:color w:val="auto"/>
        </w:rPr>
        <w:tab/>
      </w:r>
      <w:r w:rsidRPr="00177AAF">
        <w:rPr>
          <w:rFonts w:ascii="Times New Roman" w:hAnsi="Times New Roman" w:hint="default"/>
          <w:color w:val="auto"/>
        </w:rPr>
        <w:t>Ú</w:t>
      </w:r>
      <w:r w:rsidRPr="00177AAF">
        <w:rPr>
          <w:rFonts w:ascii="Times New Roman" w:hAnsi="Times New Roman" w:hint="default"/>
          <w:color w:val="auto"/>
        </w:rPr>
        <w:t>stavnoprá</w:t>
      </w:r>
      <w:r w:rsidRPr="00177AAF">
        <w:rPr>
          <w:rFonts w:ascii="Times New Roman" w:hAnsi="Times New Roman" w:hint="default"/>
          <w:color w:val="auto"/>
        </w:rPr>
        <w:t>vny vý</w:t>
      </w:r>
      <w:r w:rsidRPr="00177AAF">
        <w:rPr>
          <w:rFonts w:ascii="Times New Roman" w:hAnsi="Times New Roman" w:hint="default"/>
          <w:color w:val="auto"/>
        </w:rPr>
        <w:t>bor Ná</w:t>
      </w:r>
      <w:r w:rsidRPr="00177AAF">
        <w:rPr>
          <w:rFonts w:ascii="Times New Roman" w:hAnsi="Times New Roman" w:hint="default"/>
          <w:color w:val="auto"/>
        </w:rPr>
        <w:t>rodnej rady Slovenskej republiky</w:t>
      </w:r>
    </w:p>
    <w:p w:rsidR="002E0F39" w:rsidRPr="00177AAF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177AAF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177AAF">
        <w:rPr>
          <w:rFonts w:ascii="Times New Roman" w:hAnsi="Times New Roman"/>
          <w:b/>
        </w:rPr>
        <w:t>s ú h l a s í</w:t>
      </w:r>
    </w:p>
    <w:p w:rsidR="002E0F39" w:rsidRPr="00177AAF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177AAF" w:rsidP="00800AD5">
      <w:pPr>
        <w:bidi w:val="0"/>
        <w:ind w:firstLine="1134"/>
        <w:jc w:val="both"/>
        <w:rPr>
          <w:rFonts w:ascii="Times New Roman" w:hAnsi="Times New Roman"/>
        </w:rPr>
      </w:pPr>
      <w:r w:rsidRPr="00177AAF" w:rsidR="00397B4E">
        <w:rPr>
          <w:rFonts w:ascii="Times New Roman" w:hAnsi="Times New Roman" w:cs="Arial"/>
          <w:noProof/>
        </w:rPr>
        <w:t>s</w:t>
      </w:r>
      <w:r w:rsidRPr="00177AAF" w:rsidR="00C516A7">
        <w:rPr>
          <w:rFonts w:ascii="Times New Roman" w:hAnsi="Times New Roman" w:cs="Arial"/>
          <w:noProof/>
        </w:rPr>
        <w:t> </w:t>
      </w:r>
      <w:r w:rsidRPr="00177AAF" w:rsidR="00784751">
        <w:rPr>
          <w:rFonts w:ascii="Times New Roman" w:hAnsi="Times New Roman"/>
        </w:rPr>
        <w:t xml:space="preserve">vládnym </w:t>
      </w:r>
      <w:r w:rsidRPr="00177AAF" w:rsidR="00784751">
        <w:rPr>
          <w:rFonts w:ascii="Times New Roman" w:hAnsi="Times New Roman" w:cs="Arial"/>
          <w:noProof/>
        </w:rPr>
        <w:t xml:space="preserve">návrhom zákona o knižniciach a o zmene a doplnení zákona č. 206/2009 Z. z. o múzeách a o galériách a o ochrane predmetov kultúrnej hodnoty  a o zmene zákona Slovenskej národnej rady </w:t>
      </w:r>
      <w:r w:rsidR="00D332D1">
        <w:rPr>
          <w:rFonts w:ascii="Times New Roman" w:hAnsi="Times New Roman" w:cs="Arial"/>
          <w:noProof/>
        </w:rPr>
        <w:t>č</w:t>
      </w:r>
      <w:r w:rsidRPr="00177AAF" w:rsidR="00784751">
        <w:rPr>
          <w:rFonts w:ascii="Times New Roman" w:hAnsi="Times New Roman" w:cs="Arial"/>
          <w:noProof/>
        </w:rPr>
        <w:t>. 372/1990 Zb. o priestupkoch v znení neskorších predpisov v znení zákona č. 38/2014 Z. z. (tlač</w:t>
      </w:r>
      <w:r w:rsidRPr="00177AAF" w:rsidR="00784751">
        <w:rPr>
          <w:rFonts w:ascii="Times New Roman" w:hAnsi="Times New Roman"/>
        </w:rPr>
        <w:t xml:space="preserve"> 1359)</w:t>
      </w:r>
      <w:r w:rsidRPr="00177AAF" w:rsidR="00397B4E">
        <w:rPr>
          <w:rFonts w:ascii="Times New Roman" w:hAnsi="Times New Roman" w:cs="Arial"/>
        </w:rPr>
        <w:t>;</w:t>
      </w:r>
    </w:p>
    <w:p w:rsidR="002C748C" w:rsidRPr="00177AAF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177AAF" w:rsidP="002E0F39">
      <w:pPr>
        <w:bidi w:val="0"/>
        <w:rPr>
          <w:rFonts w:ascii="Times New Roman" w:hAnsi="Times New Roman"/>
          <w:b/>
        </w:rPr>
      </w:pPr>
      <w:r w:rsidRPr="00177AAF">
        <w:rPr>
          <w:rFonts w:ascii="Times New Roman" w:hAnsi="Times New Roman"/>
        </w:rPr>
        <w:tab/>
      </w:r>
      <w:r w:rsidRPr="00177AAF">
        <w:rPr>
          <w:rFonts w:ascii="Times New Roman" w:hAnsi="Times New Roman"/>
          <w:b/>
        </w:rPr>
        <w:t>B.   o d p o r ú č a</w:t>
      </w:r>
    </w:p>
    <w:p w:rsidR="002E0F39" w:rsidRPr="00177AAF" w:rsidP="002E0F39">
      <w:pPr>
        <w:bidi w:val="0"/>
        <w:rPr>
          <w:rFonts w:ascii="Times New Roman" w:hAnsi="Times New Roman"/>
        </w:rPr>
      </w:pPr>
    </w:p>
    <w:p w:rsidR="002E0F39" w:rsidRPr="00177AAF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177AAF">
        <w:rPr>
          <w:rFonts w:ascii="Times New Roman" w:hAnsi="Times New Roman"/>
        </w:rPr>
        <w:tab/>
        <w:t>Národnej rade Slovenskej republiky</w:t>
      </w:r>
    </w:p>
    <w:p w:rsidR="002D7999" w:rsidRPr="00177AAF" w:rsidP="002D7999">
      <w:pPr>
        <w:bidi w:val="0"/>
        <w:jc w:val="both"/>
        <w:rPr>
          <w:rFonts w:ascii="Times New Roman" w:hAnsi="Times New Roman"/>
        </w:rPr>
      </w:pPr>
    </w:p>
    <w:p w:rsidR="002E0F39" w:rsidRPr="00177AAF" w:rsidP="002D7999">
      <w:pPr>
        <w:bidi w:val="0"/>
        <w:ind w:firstLine="1134"/>
        <w:jc w:val="both"/>
        <w:rPr>
          <w:rFonts w:ascii="Times New Roman" w:hAnsi="Times New Roman"/>
        </w:rPr>
      </w:pPr>
      <w:r w:rsidRPr="00177AAF" w:rsidR="00784751">
        <w:rPr>
          <w:rFonts w:ascii="Times New Roman" w:hAnsi="Times New Roman"/>
        </w:rPr>
        <w:t xml:space="preserve">vládny návrh zákona o knižniciach  a o zmene a doplnení zákona č. 206/2009 Z. z. o múzeách a o galériách a o ochrane predmetov kultúrnej hodnoty a o zmene zákona Slovenskej národnej rady č. 372/1990 Zb. o priestupkoch v znení neskorších predpisov v znení zákona č. 38/2014 Z. z. (tlač 1359) </w:t>
      </w:r>
      <w:r w:rsidRPr="00177AAF">
        <w:rPr>
          <w:rFonts w:ascii="Times New Roman" w:hAnsi="Times New Roman"/>
          <w:b/>
        </w:rPr>
        <w:t>schváliť</w:t>
      </w:r>
      <w:r w:rsidRPr="00177AAF">
        <w:rPr>
          <w:rFonts w:ascii="Times New Roman" w:hAnsi="Times New Roman"/>
        </w:rPr>
        <w:t xml:space="preserve"> so zmenami a doplnkami uvedenými v prílohe tohto uznesenia;  </w:t>
      </w:r>
    </w:p>
    <w:p w:rsidR="00AD570A" w:rsidRPr="00177AAF" w:rsidP="002E0F39">
      <w:pPr>
        <w:bidi w:val="0"/>
        <w:jc w:val="both"/>
        <w:rPr>
          <w:rFonts w:ascii="Times New Roman" w:hAnsi="Times New Roman"/>
        </w:rPr>
      </w:pPr>
    </w:p>
    <w:p w:rsidR="002E0F39" w:rsidRPr="00177AAF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177AAF">
        <w:rPr>
          <w:rFonts w:ascii="Times New Roman" w:hAnsi="Times New Roman"/>
          <w:b/>
        </w:rPr>
        <w:t>C.</w:t>
        <w:tab/>
        <w:t>p o v e r u j e</w:t>
      </w:r>
    </w:p>
    <w:p w:rsidR="002E0F39" w:rsidRPr="00177AAF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177AAF">
        <w:rPr>
          <w:rFonts w:ascii="Times New Roman" w:hAnsi="Times New Roman"/>
        </w:rPr>
        <w:tab/>
      </w:r>
    </w:p>
    <w:p w:rsidR="002E0F39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177AAF">
        <w:rPr>
          <w:rFonts w:ascii="Times New Roman" w:hAnsi="Times New Roman"/>
        </w:rPr>
        <w:tab/>
        <w:t xml:space="preserve">predsedu výboru </w:t>
      </w:r>
    </w:p>
    <w:p w:rsidR="002E0F39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177AAF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="00D95079">
        <w:rPr>
          <w:rFonts w:ascii="Times New Roman" w:hAnsi="Times New Roman"/>
        </w:rPr>
        <w:t xml:space="preserve">kultúru a médiá. </w:t>
      </w:r>
    </w:p>
    <w:p w:rsidR="00DA58E8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17A60" w:rsidRPr="00177A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177AAF" w:rsidP="002E0F39">
      <w:pPr>
        <w:bidi w:val="0"/>
        <w:jc w:val="both"/>
        <w:rPr>
          <w:rFonts w:ascii="Times New Roman" w:hAnsi="Times New Roman"/>
        </w:rPr>
      </w:pPr>
      <w:r w:rsidRPr="00177AAF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177AAF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177AAF">
        <w:rPr>
          <w:rFonts w:ascii="Times New Roman" w:hAnsi="Times New Roman"/>
        </w:rPr>
        <w:t xml:space="preserve">  predseda výboru</w:t>
      </w:r>
    </w:p>
    <w:p w:rsidR="002E0F39" w:rsidRPr="00177AAF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77AAF">
        <w:rPr>
          <w:rFonts w:ascii="Times New Roman" w:hAnsi="Times New Roman"/>
        </w:rPr>
        <w:t>overovate</w:t>
      </w:r>
      <w:r w:rsidR="00BC1766">
        <w:rPr>
          <w:rFonts w:ascii="Times New Roman" w:hAnsi="Times New Roman"/>
        </w:rPr>
        <w:t>ľ</w:t>
      </w:r>
      <w:r w:rsidRPr="00177AAF">
        <w:rPr>
          <w:rFonts w:ascii="Times New Roman" w:hAnsi="Times New Roman"/>
        </w:rPr>
        <w:t xml:space="preserve">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177AAF">
        <w:rPr>
          <w:rFonts w:ascii="Times New Roman" w:hAnsi="Times New Roman"/>
        </w:rPr>
        <w:t>Anton Martvoň</w:t>
      </w:r>
    </w:p>
    <w:p w:rsidR="00BC1766" w:rsidRPr="00177AAF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177AAF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177AAF">
        <w:rPr>
          <w:rFonts w:ascii="Times New Roman" w:hAnsi="Times New Roman"/>
          <w:b/>
        </w:rPr>
        <w:t>P r í l o h a</w:t>
      </w:r>
    </w:p>
    <w:p w:rsidR="002E0F39" w:rsidRPr="00177AAF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177AAF">
        <w:rPr>
          <w:rFonts w:ascii="Times New Roman" w:hAnsi="Times New Roman"/>
          <w:b/>
          <w:bCs/>
        </w:rPr>
        <w:t xml:space="preserve">k uzneseniu Ústavnoprávneho </w:t>
      </w:r>
    </w:p>
    <w:p w:rsidR="00204494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177AAF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583</w:t>
      </w:r>
    </w:p>
    <w:p w:rsidR="002E0F39" w:rsidRPr="00177AAF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177AAF" w:rsidR="00B252E1">
        <w:rPr>
          <w:rFonts w:ascii="Times New Roman" w:hAnsi="Times New Roman"/>
          <w:b/>
        </w:rPr>
        <w:t>z</w:t>
      </w:r>
      <w:r w:rsidRPr="00177AAF" w:rsidR="00CB548A">
        <w:rPr>
          <w:rFonts w:ascii="Times New Roman" w:hAnsi="Times New Roman"/>
          <w:b/>
        </w:rPr>
        <w:t> </w:t>
      </w:r>
      <w:r w:rsidR="00D95079">
        <w:rPr>
          <w:rFonts w:ascii="Times New Roman" w:hAnsi="Times New Roman"/>
          <w:b/>
        </w:rPr>
        <w:t>30</w:t>
      </w:r>
      <w:r w:rsidRPr="00177AAF" w:rsidR="00F02EE6">
        <w:rPr>
          <w:rFonts w:ascii="Times New Roman" w:hAnsi="Times New Roman"/>
          <w:b/>
        </w:rPr>
        <w:t xml:space="preserve">. </w:t>
      </w:r>
      <w:r w:rsidRPr="00177AAF" w:rsidR="00784751">
        <w:rPr>
          <w:rFonts w:ascii="Times New Roman" w:hAnsi="Times New Roman"/>
          <w:b/>
        </w:rPr>
        <w:t>apríla</w:t>
      </w:r>
      <w:r w:rsidRPr="00177AAF" w:rsidR="00F02EE6">
        <w:rPr>
          <w:rFonts w:ascii="Times New Roman" w:hAnsi="Times New Roman"/>
          <w:b/>
        </w:rPr>
        <w:t xml:space="preserve"> 2015</w:t>
      </w:r>
    </w:p>
    <w:p w:rsidR="002E0F39" w:rsidRPr="00177AAF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177AAF">
        <w:rPr>
          <w:rFonts w:ascii="Times New Roman" w:hAnsi="Times New Roman"/>
          <w:b/>
          <w:bCs/>
        </w:rPr>
        <w:t>___________________________</w:t>
      </w:r>
      <w:r w:rsidRPr="00177AAF" w:rsidR="00386D14">
        <w:rPr>
          <w:rFonts w:ascii="Times New Roman" w:hAnsi="Times New Roman"/>
          <w:b/>
          <w:bCs/>
        </w:rPr>
        <w:t>_</w:t>
      </w:r>
    </w:p>
    <w:p w:rsidR="002E0F39" w:rsidRPr="00177AAF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177AAF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177AAF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177AAF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177AAF">
        <w:rPr>
          <w:rFonts w:hint="default"/>
        </w:rPr>
        <w:t>Pozmeň</w:t>
      </w:r>
      <w:r w:rsidRPr="00177AAF">
        <w:rPr>
          <w:rFonts w:hint="default"/>
        </w:rPr>
        <w:t>ujú</w:t>
      </w:r>
      <w:r w:rsidRPr="00177AAF">
        <w:rPr>
          <w:rFonts w:hint="default"/>
        </w:rPr>
        <w:t>ce a </w:t>
      </w:r>
      <w:r w:rsidRPr="00177AAF">
        <w:rPr>
          <w:rFonts w:hint="default"/>
        </w:rPr>
        <w:t>doplň</w:t>
      </w:r>
      <w:r w:rsidRPr="00177AAF">
        <w:rPr>
          <w:rFonts w:hint="default"/>
        </w:rPr>
        <w:t>ujú</w:t>
      </w:r>
      <w:r w:rsidRPr="00177AAF">
        <w:rPr>
          <w:rFonts w:hint="default"/>
        </w:rPr>
        <w:t>ce ná</w:t>
      </w:r>
      <w:r w:rsidRPr="00177AAF">
        <w:rPr>
          <w:rFonts w:hint="default"/>
        </w:rPr>
        <w:t>vrhy</w:t>
      </w:r>
    </w:p>
    <w:p w:rsidR="002E0F39" w:rsidRPr="00177AAF" w:rsidP="002E0F39">
      <w:pPr>
        <w:bidi w:val="0"/>
        <w:rPr>
          <w:rFonts w:ascii="Times New Roman" w:hAnsi="Times New Roman"/>
          <w:b/>
          <w:lang w:eastAsia="en-US"/>
        </w:rPr>
      </w:pPr>
      <w:r w:rsidRPr="00177AAF">
        <w:rPr>
          <w:rFonts w:ascii="Times New Roman" w:hAnsi="Times New Roman"/>
          <w:b/>
          <w:lang w:eastAsia="en-US"/>
        </w:rPr>
        <w:t xml:space="preserve"> </w:t>
      </w:r>
    </w:p>
    <w:p w:rsidR="003B43AC" w:rsidP="00F02EE6">
      <w:pPr>
        <w:bidi w:val="0"/>
        <w:jc w:val="both"/>
        <w:rPr>
          <w:rFonts w:ascii="Times New Roman" w:hAnsi="Times New Roman"/>
        </w:rPr>
      </w:pPr>
      <w:r w:rsidRPr="00177AAF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177AAF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177AAF" w:rsidR="00784751">
        <w:rPr>
          <w:rFonts w:ascii="Times New Roman" w:eastAsia="Arial Unicode MS" w:hAnsi="Times New Roman"/>
          <w:b/>
          <w:bCs/>
          <w:lang w:eastAsia="en-US"/>
        </w:rPr>
        <w:t>v</w:t>
      </w:r>
      <w:r w:rsidRPr="00177AAF" w:rsidR="00784751">
        <w:rPr>
          <w:rFonts w:ascii="Times New Roman" w:hAnsi="Times New Roman"/>
          <w:b/>
        </w:rPr>
        <w:t>ládnemu návrhu zákona o knižniciach  a o zmene a doplnení zákona č. 206/2009 Z. z. o múzeách a o galériách a o ochrane predmetov kultúrnej hodnoty  a o zmene zákona Slovenskej národnej rady č. 372/1990 Zb. o priestupkoch v znení neskorších predpisov v znení zákona č. 38/2014 Z. z. (tlač 1359)</w:t>
      </w:r>
      <w:r w:rsidRPr="00177AAF" w:rsidR="00784751">
        <w:rPr>
          <w:rFonts w:ascii="Times New Roman" w:hAnsi="Times New Roman"/>
        </w:rPr>
        <w:t xml:space="preserve"> </w:t>
      </w:r>
    </w:p>
    <w:p w:rsidR="00A937C3" w:rsidRPr="00177AAF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177AAF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</w:t>
      </w:r>
      <w:r w:rsidRPr="00177AAF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D17828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3B43AC" w:rsidP="00D17828">
      <w:pPr>
        <w:bidi w:val="0"/>
        <w:jc w:val="both"/>
        <w:rPr>
          <w:rFonts w:ascii="Times New Roman" w:hAnsi="Times New Roman"/>
        </w:rPr>
      </w:pPr>
    </w:p>
    <w:p w:rsidR="003B43AC" w:rsidP="00D17828">
      <w:pPr>
        <w:numPr>
          <w:numId w:val="8"/>
        </w:num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 ods. 1 sa za slová „Slovenskej republiky“ vkladajú slová „(ďalej len „knižničný systém“)“, v nadpise nad § 5 sa vypúšťajú slová „Slovenskej republiky“, v § 5 ods. 1 sa vypúšťajú slová „Slovenskej republiky (ďalej len „knižničný systém“), v § 6 ods. 2 písm. w) sa vypúšťajú slová „Slovenskej republiky““.</w:t>
      </w:r>
    </w:p>
    <w:p w:rsidR="003B43AC" w:rsidP="00D17828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3B43AC" w:rsidP="00D17828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súlade s legislatívno-technickými pokynmi (8. bod), ktoré  tvoria prílohu č. 2 Legislatívnych pravidiel tvorby zákonov (č. 19/1997 Z. z.), zaradenie legislatívnej skratky pre pojem „knižničný systém Slovenskej republiky“ na miesto, kde sa skracované slová používajú prvý raz (§ 1 ods. 1, čl. I) a súvisiaca legislatívno-technická úprava (nadpis nad § 5, § 5 ods. 1, a § 6 ods. 2 písm. w, čl. I).</w:t>
      </w:r>
    </w:p>
    <w:p w:rsidR="003B43AC" w:rsidP="00D17828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3B43AC" w:rsidP="00D17828">
      <w:pPr>
        <w:numPr>
          <w:numId w:val="8"/>
        </w:num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2 ods. 9 sa za slová „je knižničný fond“ vkladá slovo „knižničných“.</w:t>
      </w:r>
    </w:p>
    <w:p w:rsidR="003B43AC" w:rsidP="00D17828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3B43AC" w:rsidP="00D17828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za účelom zjednotenia zavedenej terminológie; knižničný fond je súbor knižničných dokumentov.</w:t>
      </w:r>
    </w:p>
    <w:p w:rsidR="003B43AC" w:rsidP="00D17828">
      <w:pPr>
        <w:bidi w:val="0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ods. 2 písm. i) časť vety za bodkočiarkou znie:</w:t>
      </w:r>
    </w:p>
    <w:p w:rsidR="003B43AC" w:rsidP="00D17828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„prednostné právo na získanie vyradených knižničných dokumentov majú knižnice, ktoré ako právnické osoby určené podľa osobitného predpisu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uchovávajú konzervačný fond,“.</w:t>
      </w:r>
    </w:p>
    <w:p w:rsidR="003B43AC" w:rsidP="00D17828">
      <w:pPr>
        <w:pStyle w:val="ListParagraph"/>
        <w:bidi w:val="0"/>
        <w:ind w:left="3828"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úprava.</w:t>
      </w:r>
    </w:p>
    <w:p w:rsidR="003B43AC" w:rsidP="00D17828">
      <w:pPr>
        <w:pStyle w:val="ListParagraph"/>
        <w:bidi w:val="0"/>
        <w:ind w:left="3828" w:firstLine="141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6 ods. 2 písm. x) sa vypúšťa bodkočiarka a časť vety za bodkočiarkou.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splnomocňovacie ustanovenie v § 30 sa vypúšťa duplicitná úprava v § 6 ods. 2 písm. x), čl. I.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8 ods. 1 písmená d) a e) znejú: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„d) je pracoviskom evidencie publikačnej činnosti podľa osobitného predpisu,</w:t>
      </w:r>
      <w:r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>)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e) je pracoviskom evidencie umeleckej činnosti podľa osobitného predpisu,</w:t>
      </w:r>
      <w:r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>)“.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17 ods. 5 sa za slová „moment vrátenia“ vkladajú slová „vypožičaného dokumentu požiadanej knižnici“.</w:t>
      </w:r>
    </w:p>
    <w:p w:rsidR="003B43AC" w:rsidP="00D17828">
      <w:pPr>
        <w:pStyle w:val="ListParagraph"/>
        <w:bidi w:val="0"/>
        <w:ind w:firstLine="324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jednoznačnosti výkladu.</w:t>
      </w:r>
    </w:p>
    <w:p w:rsidR="003B43AC" w:rsidP="00D17828">
      <w:pPr>
        <w:pStyle w:val="ListParagraph"/>
        <w:bidi w:val="0"/>
        <w:ind w:firstLine="324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18 písm. d) sa slovo „budovať“ nahrádza slovom „vytvárať“ a za slová „zriaďovateľa knižnice“ sa vkladajú slová „alebo zakladateľa knižnice“.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precizácia; knižnicu možno v súlade s § 3 (čl. I) založiť alebo zriadiť.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19 ods. 1 sa za slovo „Odborné“ vkladá slovo „knižničné“.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v súlade so zavedenou terminológiou v návrhu zákona.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20 ods. 2 písmeno a) znie:</w:t>
      </w:r>
    </w:p>
    <w:p w:rsidR="003B43AC" w:rsidP="00D17828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„a) dotácie zo štátneho rozpočtu</w:t>
      </w:r>
      <w:r>
        <w:rPr>
          <w:rFonts w:ascii="Times New Roman" w:hAnsi="Times New Roman"/>
          <w:vertAlign w:val="superscript"/>
        </w:rPr>
        <w:t>19</w:t>
      </w:r>
      <w:r>
        <w:rPr>
          <w:rFonts w:ascii="Times New Roman" w:hAnsi="Times New Roman"/>
        </w:rPr>
        <w:t>), dotácie z rozpočtu obce alebo dotácie z rozpočtu vyššieho územného celku,“.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21 ods. 2 sa za slovom „súbore“ vypúšťa slovo „knižničných“.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súlade s definíciou zavedenou v § 2 ods. 8, čl. I.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21 ods. 4 písm. b) sa slovo „zdôvodnenie“ nahrádza slovom „odôvodnenie“.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úprava.</w:t>
      </w:r>
    </w:p>
    <w:p w:rsidR="00D17828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21 ods. 9 sa vypúšťajú slová „podľa osobitného predpisu“.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vypustením nadbytočných slov vzhľadom na to, že na osobitné predpisy sa už odkazuje pri jednotlivých pojmoch.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V čl. I § 23 ods. 2 písm. a) a § 24 ods. 5 sa slovo „neodkladne“ nahrádza slovom „bezodkladne“.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úprava.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D17828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D17828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 poznámke pod čiarou k odkazu 27 druhá veta znie: </w:t>
      </w:r>
    </w:p>
    <w:p w:rsidR="003B43AC" w:rsidP="00D17828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„Vykonávacie nariadenie Komisie (EÚ) č. 1081/2012 z 9. novembra 2012 k nariadeniu Rady (ES) č. 116/2009 o vývoze tovaru kultúrneho charakteru (kodifikované znenie) v platnom znení (Ú.v. EÚ L 93, 28.3.2014).“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Technická úprava z dôvodu uverejnenia opravy vykonávacieho nariadenia č. 1081/2012 v Úradnom vestníku.  </w:t>
      </w:r>
    </w:p>
    <w:p w:rsidR="003B43AC" w:rsidP="00D17828">
      <w:pPr>
        <w:pStyle w:val="ListParagraph"/>
        <w:bidi w:val="0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§ 30 sa za slová „odbornej evidencie“ vkladajú slová „knižničných dokumentov“ a za slovo „w)“ sa vkladajú slová  „a x)“.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Formulačná precizácia v súlade so zavedenou terminológiou (čl. I § 13) a úprava vnútorného odkazu aj na § 6 ods. 2 písm. x) v § 30 (čl. I, splnomocňovacie ustanovenie), podľa ktorého Slovenská národná knižnica prostredníctvom príslušnej organizácie kolektívnej správy uhrádza odmeny nositeľom práv za rozširovanie predmetov ochrany vypožičiavaním v rozsahu udelenej licencie pričom podľa § 30 podrobnosti o spôsobe úhrady odmeny nositeľom práv za rozširovanie predmetov ochrany vypožičiavaním v rozsahu udelenej licencie a jej rozsah ustanovia všeobecné záväzné právne predpisy, ktoré vydá ministerstvo. 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31 ods. 1 sa slová „nadobudnutím účinnosti tohto zákona“ nahrádzajú slovami „1. júlom 2015“.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prechodného ustanovenia za účelom jednoznačnosti výkladu.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31 ods. 2 sa slová „pred nadobudnutím účinnosti tohto zákona“ nahrádzajú slovami „podľa predpisov účinných pred 1. júlom 2015“  a za slovo „evidovanú“ sa vkladajú slová „v zozname knižníc“.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prechodného ustanovenia za účelom jednoznačnosti výkladu.</w:t>
      </w: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 prílohe č. 2 sa v názve prílohy vypúšťajú slová „Slovenskej republiky“.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 súlade s legislatívnou skratkou zavedenou v § 1 ods. 2 písm. a), čl. I.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čl. I prílohe č. 2 sa slová „E-mail“ nahrádzajú slovami „E-mailová“ tri krát.</w:t>
      </w:r>
    </w:p>
    <w:p w:rsidR="003B43AC" w:rsidP="00D17828">
      <w:pPr>
        <w:bidi w:val="0"/>
        <w:ind w:firstLine="3969"/>
        <w:rPr>
          <w:rFonts w:ascii="Times New Roman" w:hAnsi="Times New Roman"/>
        </w:rPr>
      </w:pPr>
    </w:p>
    <w:p w:rsidR="003B43AC" w:rsidP="00D17828">
      <w:pPr>
        <w:bidi w:val="0"/>
        <w:ind w:firstLine="3969"/>
        <w:rPr>
          <w:rFonts w:ascii="Times New Roman" w:hAnsi="Times New Roman"/>
        </w:rPr>
      </w:pPr>
      <w:r>
        <w:rPr>
          <w:rFonts w:ascii="Times New Roman" w:hAnsi="Times New Roman"/>
        </w:rPr>
        <w:t>Gramatická úprava.</w:t>
      </w:r>
    </w:p>
    <w:p w:rsidR="003B43AC" w:rsidP="00D17828">
      <w:pPr>
        <w:bidi w:val="0"/>
        <w:ind w:firstLine="3969"/>
        <w:rPr>
          <w:rFonts w:ascii="Times New Roman" w:hAnsi="Times New Roman"/>
        </w:rPr>
      </w:pPr>
    </w:p>
    <w:p w:rsidR="003B43AC" w:rsidP="00D1782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prílohe č. 2 sa slová „knižničného zákona“ nahrádzajú slovami „zákona č. .../2015 Z. z. </w:t>
      </w:r>
      <w:r>
        <w:rPr>
          <w:rFonts w:ascii="Times New Roman" w:hAnsi="Times New Roman"/>
          <w:bCs/>
        </w:rPr>
        <w:t>o knižniciach a o zmene a doplnení zákona č. 206/2009 Z. z. o múzeách a o galériách a o ochrane predmetov kultúrnej hodnoty a o zmene zákona Slovenskej národnej rady č. 372/1990 Zb. o priestupkoch v znení neskorších predpisov v znení zákona č. 38/2014 Z. z.</w:t>
      </w:r>
      <w:r>
        <w:rPr>
          <w:rFonts w:ascii="Times New Roman" w:hAnsi="Times New Roman"/>
        </w:rPr>
        <w:t>“.</w:t>
      </w: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</w:p>
    <w:p w:rsidR="003B43AC" w:rsidP="00D17828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Formulačná úprava prílohy; knižničným zákonom je tento návrh zákona.</w:t>
      </w:r>
    </w:p>
    <w:p w:rsidR="003B43AC" w:rsidP="00D17828">
      <w:pPr>
        <w:bidi w:val="0"/>
        <w:rPr>
          <w:rFonts w:ascii="Times New Roman" w:hAnsi="Times New Roman"/>
        </w:rPr>
      </w:pPr>
    </w:p>
    <w:p w:rsidR="003B43AC" w:rsidP="00D17828">
      <w:pPr>
        <w:bidi w:val="0"/>
        <w:rPr>
          <w:rFonts w:ascii="Times New Roman" w:hAnsi="Times New Roman"/>
        </w:rPr>
      </w:pPr>
    </w:p>
    <w:p w:rsidR="003B43AC" w:rsidRPr="00177AAF" w:rsidP="00D17828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6D162152"/>
    <w:multiLevelType w:val="hybridMultilevel"/>
    <w:tmpl w:val="7C427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80BDB"/>
    <w:rsid w:val="000A27DF"/>
    <w:rsid w:val="000B57E9"/>
    <w:rsid w:val="000C238A"/>
    <w:rsid w:val="000D11D5"/>
    <w:rsid w:val="000F4A21"/>
    <w:rsid w:val="00106C01"/>
    <w:rsid w:val="00106E7E"/>
    <w:rsid w:val="00111796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77AAF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04494"/>
    <w:rsid w:val="00224F3D"/>
    <w:rsid w:val="002271A1"/>
    <w:rsid w:val="0023079A"/>
    <w:rsid w:val="00236746"/>
    <w:rsid w:val="00252908"/>
    <w:rsid w:val="00286433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354B"/>
    <w:rsid w:val="00383D18"/>
    <w:rsid w:val="00386D14"/>
    <w:rsid w:val="0039460E"/>
    <w:rsid w:val="00396B2B"/>
    <w:rsid w:val="0039792F"/>
    <w:rsid w:val="00397B4E"/>
    <w:rsid w:val="003B43AC"/>
    <w:rsid w:val="003D2166"/>
    <w:rsid w:val="003F22CE"/>
    <w:rsid w:val="003F7533"/>
    <w:rsid w:val="003F7815"/>
    <w:rsid w:val="00413C8B"/>
    <w:rsid w:val="0042443B"/>
    <w:rsid w:val="00427EDF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17A60"/>
    <w:rsid w:val="00625A09"/>
    <w:rsid w:val="006423F7"/>
    <w:rsid w:val="00654129"/>
    <w:rsid w:val="00654497"/>
    <w:rsid w:val="006622BA"/>
    <w:rsid w:val="006709E5"/>
    <w:rsid w:val="0068156B"/>
    <w:rsid w:val="006820ED"/>
    <w:rsid w:val="006B70F3"/>
    <w:rsid w:val="006D4392"/>
    <w:rsid w:val="006E10D6"/>
    <w:rsid w:val="006E4115"/>
    <w:rsid w:val="00721A4B"/>
    <w:rsid w:val="00721DFB"/>
    <w:rsid w:val="00741BD4"/>
    <w:rsid w:val="007629EA"/>
    <w:rsid w:val="00780216"/>
    <w:rsid w:val="00784751"/>
    <w:rsid w:val="007B3E77"/>
    <w:rsid w:val="007B6BB9"/>
    <w:rsid w:val="007C14C9"/>
    <w:rsid w:val="007F0517"/>
    <w:rsid w:val="007F3316"/>
    <w:rsid w:val="00800AD5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5515F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B6825"/>
    <w:rsid w:val="00BC1766"/>
    <w:rsid w:val="00BC7941"/>
    <w:rsid w:val="00BD73AB"/>
    <w:rsid w:val="00BD7ED2"/>
    <w:rsid w:val="00BE2A9D"/>
    <w:rsid w:val="00BF23D2"/>
    <w:rsid w:val="00BF5636"/>
    <w:rsid w:val="00C14623"/>
    <w:rsid w:val="00C34375"/>
    <w:rsid w:val="00C352F8"/>
    <w:rsid w:val="00C4630E"/>
    <w:rsid w:val="00C516A7"/>
    <w:rsid w:val="00C5317B"/>
    <w:rsid w:val="00C97D6B"/>
    <w:rsid w:val="00CA5557"/>
    <w:rsid w:val="00CA61B5"/>
    <w:rsid w:val="00CB548A"/>
    <w:rsid w:val="00CE06F8"/>
    <w:rsid w:val="00CE2E18"/>
    <w:rsid w:val="00D1764E"/>
    <w:rsid w:val="00D17828"/>
    <w:rsid w:val="00D214CA"/>
    <w:rsid w:val="00D21E16"/>
    <w:rsid w:val="00D259F2"/>
    <w:rsid w:val="00D332D1"/>
    <w:rsid w:val="00D418FD"/>
    <w:rsid w:val="00D73B41"/>
    <w:rsid w:val="00D908DD"/>
    <w:rsid w:val="00D95079"/>
    <w:rsid w:val="00DA58E8"/>
    <w:rsid w:val="00DC2F88"/>
    <w:rsid w:val="00DC4441"/>
    <w:rsid w:val="00DD1A2C"/>
    <w:rsid w:val="00DE1017"/>
    <w:rsid w:val="00DE7FC9"/>
    <w:rsid w:val="00DF4708"/>
    <w:rsid w:val="00E04F5E"/>
    <w:rsid w:val="00E17959"/>
    <w:rsid w:val="00E37EA3"/>
    <w:rsid w:val="00E4006E"/>
    <w:rsid w:val="00E43FC5"/>
    <w:rsid w:val="00E5361E"/>
    <w:rsid w:val="00E66789"/>
    <w:rsid w:val="00E917CF"/>
    <w:rsid w:val="00EA3DF0"/>
    <w:rsid w:val="00EE706F"/>
    <w:rsid w:val="00EE709D"/>
    <w:rsid w:val="00EF5242"/>
    <w:rsid w:val="00F02EE6"/>
    <w:rsid w:val="00F06130"/>
    <w:rsid w:val="00F35942"/>
    <w:rsid w:val="00F40540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60CC-C730-491F-812A-F115FF2E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5</Pages>
  <Words>1089</Words>
  <Characters>6211</Characters>
  <Application>Microsoft Office Word</Application>
  <DocSecurity>0</DocSecurity>
  <Lines>0</Lines>
  <Paragraphs>0</Paragraphs>
  <ScaleCrop>false</ScaleCrop>
  <Company>Kancelaria NR SR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18</cp:revision>
  <cp:lastPrinted>2015-04-30T12:02:00Z</cp:lastPrinted>
  <dcterms:created xsi:type="dcterms:W3CDTF">2014-12-12T11:16:00Z</dcterms:created>
  <dcterms:modified xsi:type="dcterms:W3CDTF">2015-04-30T12:02:00Z</dcterms:modified>
</cp:coreProperties>
</file>