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C5790F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806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5790F">
        <w:t>1541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5790F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5790F">
        <w:rPr>
          <w:rFonts w:cs="Arial"/>
          <w:szCs w:val="22"/>
        </w:rPr>
        <w:t>Miroslava BEBLAVÉHO a Martina FEDORA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C5790F">
        <w:rPr>
          <w:rFonts w:cs="Arial"/>
          <w:szCs w:val="22"/>
        </w:rPr>
        <w:t xml:space="preserve"> o majetkových priznaniach niektorých verejných činiteľov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5790F">
        <w:rPr>
          <w:rFonts w:cs="Arial"/>
          <w:szCs w:val="22"/>
        </w:rPr>
        <w:t>1531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5790F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405A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 nezlučiteľnosť funkcií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F405A5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405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F405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F405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405A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405A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5006C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579C5"/>
    <w:rsid w:val="00AA3DED"/>
    <w:rsid w:val="00AB4082"/>
    <w:rsid w:val="00B20ACA"/>
    <w:rsid w:val="00BE56B2"/>
    <w:rsid w:val="00C11306"/>
    <w:rsid w:val="00C5790F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05A5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2015-04-20T15:10:00Z</cp:lastPrinted>
  <dcterms:created xsi:type="dcterms:W3CDTF">2015-04-22T09:24:00Z</dcterms:created>
  <dcterms:modified xsi:type="dcterms:W3CDTF">2015-04-22T09:24:00Z</dcterms:modified>
</cp:coreProperties>
</file>