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953AC">
        <w:rPr>
          <w:sz w:val="22"/>
          <w:szCs w:val="22"/>
        </w:rPr>
        <w:t>789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953A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953AC">
        <w:t>1528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953AC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0953AC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0953A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953A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953AC">
        <w:rPr>
          <w:rFonts w:cs="Arial"/>
          <w:szCs w:val="22"/>
        </w:rPr>
        <w:t>zákon č. 211/2000 Z. z. o slobodnom prístupe k informáciám a o zmene a doplnení niektorých zákonov (zákon o slobode informácií)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953AC">
        <w:rPr>
          <w:rFonts w:cs="Arial"/>
          <w:szCs w:val="22"/>
        </w:rPr>
        <w:t>1518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953AC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953A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0953A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0953A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953AC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953A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953AC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424E2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D0386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2015-04-20T09:59:00Z</cp:lastPrinted>
  <dcterms:created xsi:type="dcterms:W3CDTF">2015-04-22T09:21:00Z</dcterms:created>
  <dcterms:modified xsi:type="dcterms:W3CDTF">2015-04-22T09:21:00Z</dcterms:modified>
</cp:coreProperties>
</file>