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B2F69">
        <w:rPr>
          <w:sz w:val="22"/>
          <w:szCs w:val="22"/>
        </w:rPr>
        <w:t>781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B2F6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B2F69">
        <w:t>1526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2F69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B2F6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B2F6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9B2F6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9B2F69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9B2F69">
        <w:rPr>
          <w:rFonts w:cs="Arial"/>
          <w:szCs w:val="22"/>
        </w:rPr>
        <w:t xml:space="preserve"> o hospodárení nezávislých poslancov Národnej rady Slovenskej republiky a financovaní ich činnosti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B2F69">
        <w:rPr>
          <w:rFonts w:cs="Arial"/>
          <w:szCs w:val="22"/>
        </w:rPr>
        <w:t>1515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B2F69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B2F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9B2F6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B2F6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2F69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C37C7"/>
    <w:rsid w:val="008A0C9B"/>
    <w:rsid w:val="008B1A45"/>
    <w:rsid w:val="00992885"/>
    <w:rsid w:val="009B2F69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2296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2015-04-20T09:39:00Z</cp:lastPrinted>
  <dcterms:created xsi:type="dcterms:W3CDTF">2015-04-22T09:20:00Z</dcterms:created>
  <dcterms:modified xsi:type="dcterms:W3CDTF">2015-04-22T09:20:00Z</dcterms:modified>
</cp:coreProperties>
</file>