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13045">
        <w:rPr>
          <w:sz w:val="22"/>
          <w:szCs w:val="22"/>
        </w:rPr>
        <w:t>775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1304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13045">
        <w:t>1522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13045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13045">
        <w:rPr>
          <w:rFonts w:cs="Arial"/>
          <w:szCs w:val="22"/>
        </w:rPr>
        <w:t xml:space="preserve">Jozefa VISKUPIČA a Lucie NICHOLSONOVEJ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013045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013045">
        <w:rPr>
          <w:rFonts w:cs="Arial"/>
          <w:szCs w:val="22"/>
        </w:rPr>
        <w:t xml:space="preserve"> zákon č. 657/2004 Z. z. o tepelnej energetike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13045">
        <w:rPr>
          <w:rFonts w:cs="Arial"/>
          <w:szCs w:val="22"/>
        </w:rPr>
        <w:t>1511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13045">
        <w:rPr>
          <w:rFonts w:cs="Arial"/>
          <w:szCs w:val="22"/>
        </w:rPr>
        <w:t>16.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1304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1304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13045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1304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3045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188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937EC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2015-04-20T08:59:00Z</cp:lastPrinted>
  <dcterms:created xsi:type="dcterms:W3CDTF">2015-04-22T09:20:00Z</dcterms:created>
  <dcterms:modified xsi:type="dcterms:W3CDTF">2015-04-22T09:20:00Z</dcterms:modified>
</cp:coreProperties>
</file>