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1573" w:rsidP="000E1573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0E1573" w:rsidP="000E1573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0E1573" w:rsidP="000E1573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0E1573" w:rsidRPr="00C51179" w:rsidP="000E1573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0E1573" w:rsidRPr="00C51179" w:rsidP="000E1573">
      <w:pPr>
        <w:bidi w:val="0"/>
        <w:jc w:val="center"/>
        <w:rPr>
          <w:rFonts w:hint="default"/>
          <w:b/>
          <w:spacing w:val="30"/>
        </w:rPr>
      </w:pPr>
    </w:p>
    <w:p w:rsidR="000E1573" w:rsidRPr="00C51179" w:rsidP="000E1573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0E1573" w:rsidRPr="00C51179" w:rsidP="000E1573">
      <w:pPr>
        <w:bidi w:val="0"/>
        <w:jc w:val="center"/>
      </w:pPr>
    </w:p>
    <w:p w:rsidR="000E1573" w:rsidRPr="00C51179" w:rsidP="000E1573">
      <w:pPr>
        <w:bidi w:val="0"/>
        <w:jc w:val="center"/>
      </w:pPr>
      <w:r w:rsidRPr="00C51179">
        <w:t>z ... 201</w:t>
      </w:r>
      <w:r>
        <w:t>5</w:t>
      </w:r>
      <w:r w:rsidRPr="00C51179">
        <w:t>,</w:t>
      </w:r>
    </w:p>
    <w:p w:rsidR="000E1573" w:rsidRPr="00C51179" w:rsidP="000E1573">
      <w:pPr>
        <w:bidi w:val="0"/>
        <w:jc w:val="center"/>
      </w:pPr>
    </w:p>
    <w:p w:rsidR="000E1573" w:rsidP="000E1573">
      <w:pPr>
        <w:bidi w:val="0"/>
        <w:jc w:val="center"/>
        <w:rPr>
          <w:b/>
        </w:rPr>
      </w:pPr>
      <w:r w:rsidRPr="00BB7CF8">
        <w:rPr>
          <w:rFonts w:hint="default"/>
          <w:b/>
        </w:rPr>
        <w:t>o majetkový</w:t>
      </w:r>
      <w:r w:rsidRPr="00BB7CF8">
        <w:rPr>
          <w:rFonts w:hint="default"/>
          <w:b/>
        </w:rPr>
        <w:t xml:space="preserve">ch priznaniach </w:t>
      </w:r>
      <w:r>
        <w:rPr>
          <w:rFonts w:hint="default"/>
          <w:b/>
        </w:rPr>
        <w:t>niektorý</w:t>
      </w:r>
      <w:r>
        <w:rPr>
          <w:rFonts w:hint="default"/>
          <w:b/>
        </w:rPr>
        <w:t xml:space="preserve">ch </w:t>
      </w:r>
      <w:r w:rsidRPr="00BB7CF8">
        <w:rPr>
          <w:rFonts w:hint="default"/>
          <w:b/>
        </w:rPr>
        <w:t>verejný</w:t>
      </w:r>
      <w:r w:rsidRPr="00BB7CF8">
        <w:rPr>
          <w:rFonts w:hint="default"/>
          <w:b/>
        </w:rPr>
        <w:t xml:space="preserve">ch </w:t>
      </w:r>
      <w:r>
        <w:rPr>
          <w:rFonts w:hint="default"/>
          <w:b/>
        </w:rPr>
        <w:t>č</w:t>
      </w:r>
      <w:r>
        <w:rPr>
          <w:rFonts w:hint="default"/>
          <w:b/>
        </w:rPr>
        <w:t>initeľ</w:t>
      </w:r>
      <w:r>
        <w:rPr>
          <w:rFonts w:hint="default"/>
          <w:b/>
        </w:rPr>
        <w:t xml:space="preserve">ov </w:t>
      </w:r>
      <w:r w:rsidRPr="00BB7CF8">
        <w:rPr>
          <w:rFonts w:hint="default"/>
          <w:b/>
        </w:rPr>
        <w:t>a o zmene a doplnení</w:t>
      </w:r>
      <w:r w:rsidRPr="00BB7CF8">
        <w:rPr>
          <w:rFonts w:hint="default"/>
          <w:b/>
        </w:rPr>
        <w:t xml:space="preserve"> niektorý</w:t>
      </w:r>
      <w:r w:rsidRPr="00BB7CF8">
        <w:rPr>
          <w:rFonts w:hint="default"/>
          <w:b/>
        </w:rPr>
        <w:t>ch zá</w:t>
      </w:r>
      <w:r w:rsidRPr="00BB7CF8">
        <w:rPr>
          <w:rFonts w:hint="default"/>
          <w:b/>
        </w:rPr>
        <w:t>konov</w:t>
      </w:r>
    </w:p>
    <w:p w:rsidR="000E1573" w:rsidP="000E1573">
      <w:pPr>
        <w:bidi w:val="0"/>
        <w:ind w:firstLine="708"/>
        <w:jc w:val="center"/>
      </w:pPr>
    </w:p>
    <w:p w:rsidR="000E1573" w:rsidP="000E1573">
      <w:pPr>
        <w:bidi w:val="0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zá</w:t>
      </w:r>
      <w:r w:rsidRPr="00C51179">
        <w:rPr>
          <w:rFonts w:hint="default"/>
        </w:rPr>
        <w:t>kone:</w:t>
      </w:r>
    </w:p>
    <w:p w:rsidR="000E1573" w:rsidP="000E1573">
      <w:pPr>
        <w:bidi w:val="0"/>
        <w:jc w:val="center"/>
      </w:pPr>
    </w:p>
    <w:p w:rsidR="000E1573" w:rsidP="000E1573">
      <w:pPr>
        <w:bidi w:val="0"/>
        <w:jc w:val="center"/>
      </w:pPr>
    </w:p>
    <w:p w:rsidR="000E1573" w:rsidRPr="00E65B71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I</w:t>
      </w:r>
    </w:p>
    <w:p w:rsidR="000E1573" w:rsidP="000E1573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0E1573" w:rsidRPr="00D60839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D60839">
        <w:rPr>
          <w:rFonts w:eastAsia="Times New Roman" w:cs="Times New Roman"/>
          <w:kern w:val="0"/>
          <w:lang w:eastAsia="en-US" w:bidi="ar-SA"/>
        </w:rPr>
        <w:t>§ 1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D60839">
        <w:rPr>
          <w:rFonts w:eastAsia="Times New Roman" w:cs="Times New Roman"/>
          <w:kern w:val="0"/>
          <w:lang w:eastAsia="en-US" w:bidi="ar-SA"/>
        </w:rPr>
        <w:t>Predmet úpravy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Tento zákon upravuje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a) povinnosti niektorých verejných činiteľov súvisiace s podávaním majetkového priznania a uvádzaním vymedzených údajov,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b) náležitosti majetkového priznania podávaného niektorými verejnými činiteľmi a podmienky zverejňovania jeho obsahu,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b) </w:t>
      </w:r>
      <w:r w:rsidRPr="00DA270D">
        <w:rPr>
          <w:rFonts w:eastAsia="Times New Roman" w:cs="Times New Roman"/>
          <w:kern w:val="0"/>
          <w:lang w:eastAsia="en-US" w:bidi="ar-SA"/>
        </w:rPr>
        <w:t>zo</w:t>
      </w:r>
      <w:r>
        <w:rPr>
          <w:rFonts w:eastAsia="Times New Roman" w:cs="Times New Roman"/>
          <w:kern w:val="0"/>
          <w:lang w:eastAsia="en-US" w:bidi="ar-SA"/>
        </w:rPr>
        <w:t xml:space="preserve">dpovednosť niektorých verejných činiteľov </w:t>
      </w:r>
      <w:r w:rsidRPr="00DA270D">
        <w:rPr>
          <w:rFonts w:eastAsia="Times New Roman" w:cs="Times New Roman"/>
          <w:kern w:val="0"/>
          <w:lang w:eastAsia="en-US" w:bidi="ar-SA"/>
        </w:rPr>
        <w:t xml:space="preserve">za nesplnenie alebo porušenie povinností </w:t>
      </w:r>
      <w:r>
        <w:rPr>
          <w:rFonts w:eastAsia="Times New Roman" w:cs="Times New Roman"/>
          <w:kern w:val="0"/>
          <w:lang w:eastAsia="en-US" w:bidi="ar-SA"/>
        </w:rPr>
        <w:t>us</w:t>
      </w:r>
      <w:r w:rsidRPr="00DA270D">
        <w:rPr>
          <w:rFonts w:eastAsia="Times New Roman" w:cs="Times New Roman"/>
          <w:kern w:val="0"/>
          <w:lang w:eastAsia="en-US" w:bidi="ar-SA"/>
        </w:rPr>
        <w:t xml:space="preserve">tanovených týmto zákonom vrátane sankcií, ktoré </w:t>
      </w:r>
      <w:r>
        <w:rPr>
          <w:rFonts w:eastAsia="Times New Roman" w:cs="Times New Roman"/>
          <w:kern w:val="0"/>
          <w:lang w:eastAsia="en-US" w:bidi="ar-SA"/>
        </w:rPr>
        <w:t>sa niektorým verejným činiteľom z</w:t>
      </w:r>
      <w:r w:rsidRPr="00DA270D">
        <w:rPr>
          <w:rFonts w:eastAsia="Times New Roman" w:cs="Times New Roman"/>
          <w:kern w:val="0"/>
          <w:lang w:eastAsia="en-US" w:bidi="ar-SA"/>
        </w:rPr>
        <w:t xml:space="preserve">a také nesplnenie alebo porušenie povinností </w:t>
      </w:r>
      <w:r>
        <w:rPr>
          <w:rFonts w:eastAsia="Times New Roman" w:cs="Times New Roman"/>
          <w:kern w:val="0"/>
          <w:lang w:eastAsia="en-US" w:bidi="ar-SA"/>
        </w:rPr>
        <w:t>ukladajú.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2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Pôsobnosť zákona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(1) Tento zákon sa vzťahuje na funkcie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a) sudcov,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b) prokurátorov,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c) právnych čakateľov prokuratúry,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d) policajtov,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2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e) colníkov,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3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f) nadriadených príslušníkov </w:t>
      </w:r>
      <w:r w:rsidRPr="00057722">
        <w:rPr>
          <w:rFonts w:eastAsia="Times New Roman" w:cs="Times New Roman"/>
          <w:kern w:val="0"/>
          <w:lang w:eastAsia="en-US" w:bidi="ar-SA"/>
        </w:rPr>
        <w:t xml:space="preserve">Hasičského a záchranného zboru a </w:t>
      </w:r>
      <w:r>
        <w:rPr>
          <w:rFonts w:eastAsia="Times New Roman" w:cs="Times New Roman"/>
          <w:kern w:val="0"/>
          <w:lang w:eastAsia="en-US" w:bidi="ar-SA"/>
        </w:rPr>
        <w:t>Horskej záchrannej služby,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4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g) niektorých veliteľov,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5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h) vedúcich štátnych zamestnancov,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6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i) štátnych zamestnancov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7"/>
      </w:r>
      <w:r>
        <w:rPr>
          <w:rFonts w:eastAsia="Times New Roman" w:cs="Times New Roman"/>
          <w:kern w:val="0"/>
          <w:lang w:eastAsia="en-US" w:bidi="ar-SA"/>
        </w:rPr>
        <w:t>) určených príslušným vedúcim štátnym zamestnancom,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j) vedúcich zamestnancov, ktorí vykonávajú funkciu štatutárneho orgánu u zamestnávateľa uvedeného v osobitnom zákone,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8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k) zamestnancov podľa osobitného zákona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9"/>
      </w:r>
      <w:r>
        <w:rPr>
          <w:rFonts w:eastAsia="Times New Roman" w:cs="Times New Roman"/>
          <w:kern w:val="0"/>
          <w:lang w:eastAsia="en-US" w:bidi="ar-SA"/>
        </w:rPr>
        <w:t>) určených príslušným ved</w:t>
      </w:r>
      <w:r w:rsidR="001A0784">
        <w:rPr>
          <w:rFonts w:eastAsia="Times New Roman" w:cs="Times New Roman"/>
          <w:kern w:val="0"/>
          <w:lang w:eastAsia="en-US" w:bidi="ar-SA"/>
        </w:rPr>
        <w:t>úcim zamestnancom podľa písm. j)</w:t>
      </w:r>
      <w:r>
        <w:rPr>
          <w:rFonts w:eastAsia="Times New Roman" w:cs="Times New Roman"/>
          <w:kern w:val="0"/>
          <w:lang w:eastAsia="en-US" w:bidi="ar-SA"/>
        </w:rPr>
        <w:t>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(2) Verejným činiteľom je na účely tohto zákona každý, kto vykonáva funkciu uvedenú v odseku 1.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RPr="006E2361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6E2361">
        <w:rPr>
          <w:rFonts w:eastAsia="Times New Roman" w:cs="Times New Roman"/>
          <w:kern w:val="0"/>
          <w:lang w:eastAsia="en-US" w:bidi="ar-SA"/>
        </w:rPr>
        <w:t>§ 3</w:t>
      </w:r>
    </w:p>
    <w:p w:rsidR="000E1573" w:rsidRPr="006E2361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6E2361">
        <w:rPr>
          <w:rFonts w:eastAsia="Times New Roman" w:cs="Times New Roman"/>
          <w:kern w:val="0"/>
          <w:lang w:eastAsia="en-US" w:bidi="ar-SA"/>
        </w:rPr>
        <w:t>Majetkové priznanie</w:t>
      </w:r>
    </w:p>
    <w:p w:rsidR="000E1573" w:rsidRPr="006E2361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6E2361">
        <w:rPr>
          <w:rFonts w:eastAsia="Times New Roman" w:cs="Times New Roman"/>
          <w:kern w:val="0"/>
          <w:lang w:eastAsia="en-US" w:bidi="ar-SA"/>
        </w:rPr>
        <w:t xml:space="preserve">(1) Verejný </w:t>
      </w:r>
      <w:r>
        <w:rPr>
          <w:rFonts w:eastAsia="Times New Roman" w:cs="Times New Roman"/>
          <w:kern w:val="0"/>
          <w:lang w:eastAsia="en-US" w:bidi="ar-SA"/>
        </w:rPr>
        <w:t xml:space="preserve">činiteľ </w:t>
      </w:r>
      <w:r w:rsidRPr="006E2361">
        <w:rPr>
          <w:rFonts w:eastAsia="Times New Roman" w:cs="Times New Roman"/>
          <w:kern w:val="0"/>
          <w:lang w:eastAsia="en-US" w:bidi="ar-SA"/>
        </w:rPr>
        <w:t>je povinný</w:t>
      </w:r>
      <w:r>
        <w:rPr>
          <w:rFonts w:eastAsia="Times New Roman" w:cs="Times New Roman"/>
          <w:kern w:val="0"/>
          <w:lang w:eastAsia="en-US" w:bidi="ar-SA"/>
        </w:rPr>
        <w:t xml:space="preserve"> do 30 dní od ujatia sa výkonu funkcie alebo vzniku služobného pomeru, a počas výkonu funkcie alebo trvania služobného pomeru do 30. apríla každého kalendárneho roka podať majetkové priznanie podľa stavu k 31. decembru predchádzajúceho kalendárneho roka </w:t>
      </w:r>
      <w:r w:rsidRPr="007B2761">
        <w:rPr>
          <w:rFonts w:eastAsia="Times New Roman" w:cs="Times New Roman"/>
          <w:kern w:val="0"/>
          <w:lang w:eastAsia="en-US" w:bidi="ar-SA"/>
        </w:rPr>
        <w:t>na tlačive, ktorého vzor j</w:t>
      </w:r>
      <w:r>
        <w:rPr>
          <w:rFonts w:eastAsia="Times New Roman" w:cs="Times New Roman"/>
          <w:kern w:val="0"/>
          <w:lang w:eastAsia="en-US" w:bidi="ar-SA"/>
        </w:rPr>
        <w:t>e uvedený v prílohe č. 1</w:t>
      </w:r>
      <w:r w:rsidRPr="007B2761">
        <w:rPr>
          <w:rFonts w:eastAsia="Times New Roman" w:cs="Times New Roman"/>
          <w:kern w:val="0"/>
          <w:lang w:eastAsia="en-US" w:bidi="ar-SA"/>
        </w:rPr>
        <w:t>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(2) </w:t>
      </w:r>
      <w:r w:rsidRPr="00723A1C">
        <w:rPr>
          <w:rFonts w:eastAsia="Times New Roman" w:cs="Times New Roman"/>
          <w:kern w:val="0"/>
          <w:lang w:eastAsia="en-US" w:bidi="ar-SA"/>
        </w:rPr>
        <w:t xml:space="preserve">Povinnosť podať </w:t>
      </w:r>
      <w:r>
        <w:rPr>
          <w:rFonts w:eastAsia="Times New Roman" w:cs="Times New Roman"/>
          <w:kern w:val="0"/>
          <w:lang w:eastAsia="en-US" w:bidi="ar-SA"/>
        </w:rPr>
        <w:t xml:space="preserve">majetkové priznanie </w:t>
      </w:r>
      <w:r w:rsidRPr="00723A1C">
        <w:rPr>
          <w:rFonts w:eastAsia="Times New Roman" w:cs="Times New Roman"/>
          <w:kern w:val="0"/>
          <w:lang w:eastAsia="en-US" w:bidi="ar-SA"/>
        </w:rPr>
        <w:t xml:space="preserve">podľa odseku 1 je splnená aj vtedy, ak bolo </w:t>
      </w:r>
      <w:r>
        <w:rPr>
          <w:rFonts w:eastAsia="Times New Roman" w:cs="Times New Roman"/>
          <w:kern w:val="0"/>
          <w:lang w:eastAsia="en-US" w:bidi="ar-SA"/>
        </w:rPr>
        <w:t xml:space="preserve">majetkové priznanie </w:t>
      </w:r>
      <w:r w:rsidRPr="00723A1C">
        <w:rPr>
          <w:rFonts w:eastAsia="Times New Roman" w:cs="Times New Roman"/>
          <w:kern w:val="0"/>
          <w:lang w:eastAsia="en-US" w:bidi="ar-SA"/>
        </w:rPr>
        <w:t xml:space="preserve">podané elektronickými prostriedkami </w:t>
      </w:r>
      <w:r>
        <w:rPr>
          <w:rFonts w:eastAsia="Times New Roman" w:cs="Times New Roman"/>
          <w:kern w:val="0"/>
          <w:lang w:eastAsia="en-US" w:bidi="ar-SA"/>
        </w:rPr>
        <w:t xml:space="preserve">a verejný činiteľ písomne oznámil podanie majetkového priznania týmto spôsobom orgánu, ktorému sa podávajú majetkové priznania podľa § 4 ods. 1 do 30. apríla príslušného kalendárneho roka. 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(3) Ak verejný činiteľ podal majetkové priznanie oboma spôsobmi uvedenými v odsekoch 1 a 2, rozhodujúci je obsah majetkového priznania, ktoré bolo podané neskoršie, najneskôr však do 30. apríla príslušného kalendárneho roka.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(4) Majetkové priznanie obsahuje údaje o majetkových pomeroch verejného činiteľa. Majetkovými pomermi sa rozumejú údaje o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7B2761">
        <w:rPr>
          <w:rFonts w:eastAsia="Times New Roman" w:cs="Times New Roman"/>
          <w:kern w:val="0"/>
          <w:lang w:eastAsia="en-US" w:bidi="ar-SA"/>
        </w:rPr>
        <w:t>a) právnom dôvode a o dátume nadobudnutia nehnuteľného majetku a cene jeho obstarania, pri bezodplatnom nadobudnutí o cen</w:t>
      </w:r>
      <w:r>
        <w:rPr>
          <w:rFonts w:eastAsia="Times New Roman" w:cs="Times New Roman"/>
          <w:kern w:val="0"/>
          <w:lang w:eastAsia="en-US" w:bidi="ar-SA"/>
        </w:rPr>
        <w:t>e podľa osobitného predpisu,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10"/>
      </w:r>
      <w:r>
        <w:rPr>
          <w:rFonts w:eastAsia="Times New Roman" w:cs="Times New Roman"/>
          <w:kern w:val="0"/>
          <w:lang w:eastAsia="en-US" w:bidi="ar-SA"/>
        </w:rPr>
        <w:t>) s uvedením druhu nehnuteľného majetku, katastrálneho územia a podielu,</w:t>
      </w:r>
    </w:p>
    <w:p w:rsidR="000E1573" w:rsidRPr="007B2761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7B2761">
        <w:rPr>
          <w:rFonts w:eastAsia="Times New Roman" w:cs="Times New Roman"/>
          <w:kern w:val="0"/>
          <w:lang w:eastAsia="en-US" w:bidi="ar-SA"/>
        </w:rPr>
        <w:t xml:space="preserve">b) každej hnuteľnej veci, ktorej hodnota presahuje </w:t>
      </w:r>
      <w:r>
        <w:rPr>
          <w:rFonts w:eastAsia="Times New Roman" w:cs="Times New Roman"/>
          <w:kern w:val="0"/>
          <w:lang w:eastAsia="en-US" w:bidi="ar-SA"/>
        </w:rPr>
        <w:t xml:space="preserve">10 000 </w:t>
      </w:r>
      <w:r w:rsidRPr="007B2761">
        <w:rPr>
          <w:rFonts w:eastAsia="Times New Roman" w:cs="Times New Roman"/>
          <w:kern w:val="0"/>
          <w:lang w:eastAsia="en-US" w:bidi="ar-SA"/>
        </w:rPr>
        <w:t>eur, právny dôvod a dátum nadobudnutia tejto veci, cenu obstarania, pri vlastnom zhotovení výdavky na zhotovenie, pri bezodplatnom nadobudnutí cenu obvyklú,</w:t>
      </w:r>
    </w:p>
    <w:p w:rsidR="000E1573" w:rsidRPr="007B2761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7B2761">
        <w:rPr>
          <w:rFonts w:eastAsia="Times New Roman" w:cs="Times New Roman"/>
          <w:kern w:val="0"/>
          <w:lang w:eastAsia="en-US" w:bidi="ar-SA"/>
        </w:rPr>
        <w:t>c) každom majetkovom práve a inej majetkovej hodnote, ktorej hodnota presahuje</w:t>
      </w:r>
      <w:r>
        <w:rPr>
          <w:rFonts w:eastAsia="Times New Roman" w:cs="Times New Roman"/>
          <w:kern w:val="0"/>
          <w:lang w:eastAsia="en-US" w:bidi="ar-SA"/>
        </w:rPr>
        <w:t xml:space="preserve"> 10 000</w:t>
      </w:r>
      <w:r w:rsidRPr="007B2761">
        <w:rPr>
          <w:rFonts w:eastAsia="Times New Roman" w:cs="Times New Roman"/>
          <w:kern w:val="0"/>
          <w:lang w:eastAsia="en-US" w:bidi="ar-SA"/>
        </w:rPr>
        <w:t xml:space="preserve"> eur, právny dôvod a dátum nadobudnutia tohto majetkového práva alebo inej majetkovej hodnoty, pri odplatnom prevode cenu obstarania, pri bezodplatnom nadobudnutí cenu obvyklú,</w:t>
      </w:r>
    </w:p>
    <w:p w:rsidR="000E1573" w:rsidRPr="007B2761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7B2761">
        <w:rPr>
          <w:rFonts w:eastAsia="Times New Roman" w:cs="Times New Roman"/>
          <w:kern w:val="0"/>
          <w:lang w:eastAsia="en-US" w:bidi="ar-SA"/>
        </w:rPr>
        <w:t xml:space="preserve">d) </w:t>
      </w:r>
      <w:r>
        <w:rPr>
          <w:rFonts w:eastAsia="Times New Roman" w:cs="Times New Roman"/>
          <w:kern w:val="0"/>
          <w:lang w:eastAsia="en-US" w:bidi="ar-SA"/>
        </w:rPr>
        <w:t>existencii záväzku, ak jeho predmetom je peňažné plnenie v hodnote nad 10 000 eur,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e) prí</w:t>
      </w:r>
      <w:r>
        <w:rPr>
          <w:rFonts w:hint="default"/>
        </w:rPr>
        <w:t>jm</w:t>
      </w:r>
      <w:r>
        <w:rPr>
          <w:rFonts w:hint="default"/>
        </w:rPr>
        <w:t>och, vrá</w:t>
      </w:r>
      <w:r>
        <w:rPr>
          <w:rFonts w:hint="default"/>
        </w:rPr>
        <w:t>tane paušá</w:t>
      </w:r>
      <w:r>
        <w:rPr>
          <w:rFonts w:hint="default"/>
        </w:rPr>
        <w:t>lnych ná</w:t>
      </w:r>
      <w:r>
        <w:rPr>
          <w:rFonts w:hint="default"/>
        </w:rPr>
        <w:t>hrad dosiahnutý</w:t>
      </w:r>
      <w:r>
        <w:rPr>
          <w:rFonts w:hint="default"/>
        </w:rPr>
        <w:t>ch v uplynulom kalendá</w:t>
      </w:r>
      <w:r>
        <w:rPr>
          <w:rFonts w:hint="default"/>
        </w:rPr>
        <w:t>rnom roku za vý</w:t>
      </w:r>
      <w:r>
        <w:rPr>
          <w:rFonts w:hint="default"/>
        </w:rPr>
        <w:t>kon funkcie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a za vý</w:t>
      </w:r>
      <w:r>
        <w:rPr>
          <w:rFonts w:hint="default"/>
        </w:rPr>
        <w:t>kon iný</w:t>
      </w:r>
      <w:r>
        <w:rPr>
          <w:rFonts w:hint="default"/>
        </w:rPr>
        <w:t>ch funkcií</w:t>
      </w:r>
      <w:r>
        <w:rPr>
          <w:rFonts w:hint="default"/>
        </w:rPr>
        <w:t>, zamestnaní</w:t>
      </w:r>
      <w:r>
        <w:rPr>
          <w:rFonts w:hint="default"/>
        </w:rPr>
        <w:t xml:space="preserve"> a č</w:t>
      </w:r>
      <w:r>
        <w:rPr>
          <w:rFonts w:hint="default"/>
        </w:rPr>
        <w:t>inností</w:t>
      </w:r>
      <w:r>
        <w:rPr>
          <w:rFonts w:hint="default"/>
        </w:rPr>
        <w:t>, ktoré</w:t>
      </w:r>
      <w:r>
        <w:rPr>
          <w:rFonts w:hint="default"/>
        </w:rPr>
        <w:t xml:space="preserve"> verejný</w:t>
      </w:r>
      <w:r>
        <w:rPr>
          <w:rFonts w:hint="default"/>
        </w:rPr>
        <w:t xml:space="preserve"> č</w:t>
      </w:r>
      <w:r>
        <w:rPr>
          <w:rFonts w:hint="default"/>
        </w:rPr>
        <w:t>initeľ</w:t>
      </w:r>
      <w:r>
        <w:rPr>
          <w:rFonts w:hint="default"/>
        </w:rPr>
        <w:t xml:space="preserve"> v </w:t>
      </w:r>
      <w:r>
        <w:rPr>
          <w:rFonts w:hint="default"/>
        </w:rPr>
        <w:t>uvedenom období</w:t>
      </w:r>
      <w:r>
        <w:rPr>
          <w:rFonts w:hint="default"/>
        </w:rPr>
        <w:t xml:space="preserve"> vykoná</w:t>
      </w:r>
      <w:r>
        <w:rPr>
          <w:rFonts w:hint="default"/>
        </w:rPr>
        <w:t>val, ako aj ď</w:t>
      </w:r>
      <w:r>
        <w:rPr>
          <w:rFonts w:hint="default"/>
        </w:rPr>
        <w:t>alš</w:t>
      </w:r>
      <w:r>
        <w:rPr>
          <w:rFonts w:hint="default"/>
        </w:rPr>
        <w:t>ie prí</w:t>
      </w:r>
      <w:r>
        <w:rPr>
          <w:rFonts w:hint="default"/>
        </w:rPr>
        <w:t>jmy, ktoré</w:t>
      </w:r>
      <w:r>
        <w:rPr>
          <w:rFonts w:hint="default"/>
        </w:rPr>
        <w:t xml:space="preserve"> sa uvá</w:t>
      </w:r>
      <w:r>
        <w:rPr>
          <w:rFonts w:hint="default"/>
        </w:rPr>
        <w:t>dzajú</w:t>
      </w:r>
      <w:r>
        <w:rPr>
          <w:rFonts w:hint="default"/>
        </w:rPr>
        <w:t xml:space="preserve"> v </w:t>
      </w:r>
      <w:r>
        <w:rPr>
          <w:rFonts w:hint="default"/>
        </w:rPr>
        <w:t>daň</w:t>
      </w:r>
      <w:r>
        <w:rPr>
          <w:rFonts w:hint="default"/>
        </w:rPr>
        <w:t>o</w:t>
      </w:r>
      <w:r>
        <w:rPr>
          <w:rFonts w:hint="default"/>
        </w:rPr>
        <w:t>v</w:t>
      </w:r>
      <w:r>
        <w:rPr>
          <w:rFonts w:hint="default"/>
        </w:rPr>
        <w:t>om priznaní</w:t>
      </w:r>
      <w:r>
        <w:rPr>
          <w:rFonts w:hint="default"/>
        </w:rPr>
        <w:t xml:space="preserve"> a </w:t>
      </w:r>
      <w:r>
        <w:rPr>
          <w:rFonts w:hint="default"/>
        </w:rPr>
        <w:t>ostatné</w:t>
      </w:r>
      <w:r>
        <w:rPr>
          <w:rFonts w:hint="default"/>
        </w:rPr>
        <w:t xml:space="preserve"> finanč</w:t>
      </w:r>
      <w:r>
        <w:rPr>
          <w:rFonts w:hint="default"/>
        </w:rPr>
        <w:t>né</w:t>
      </w:r>
      <w:r>
        <w:rPr>
          <w:rFonts w:hint="default"/>
        </w:rPr>
        <w:t xml:space="preserve"> prí</w:t>
      </w:r>
      <w:r>
        <w:rPr>
          <w:rFonts w:hint="default"/>
        </w:rPr>
        <w:t>jmy, ktoré</w:t>
      </w:r>
      <w:r>
        <w:rPr>
          <w:rFonts w:hint="default"/>
        </w:rPr>
        <w:t xml:space="preserve"> podliehajú</w:t>
      </w:r>
      <w:r>
        <w:rPr>
          <w:rFonts w:hint="default"/>
        </w:rPr>
        <w:t xml:space="preserve"> dani z </w:t>
      </w:r>
      <w:r>
        <w:rPr>
          <w:rFonts w:hint="default"/>
        </w:rPr>
        <w:t>prí</w:t>
      </w:r>
      <w:r>
        <w:rPr>
          <w:rFonts w:hint="default"/>
        </w:rPr>
        <w:t>jmov, ak sú</w:t>
      </w:r>
      <w:r>
        <w:rPr>
          <w:rFonts w:hint="default"/>
        </w:rPr>
        <w:t xml:space="preserve"> vyšš</w:t>
      </w:r>
      <w:r>
        <w:rPr>
          <w:rFonts w:hint="default"/>
        </w:rPr>
        <w:t>ie ako 100 eur roč</w:t>
      </w:r>
      <w:r>
        <w:rPr>
          <w:rFonts w:hint="default"/>
        </w:rPr>
        <w:t>ne,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f) dare, inej vý</w:t>
      </w:r>
      <w:r>
        <w:rPr>
          <w:rFonts w:hint="default"/>
        </w:rPr>
        <w:t>hode alebo sume finanč</w:t>
      </w:r>
      <w:r>
        <w:rPr>
          <w:rFonts w:hint="default"/>
        </w:rPr>
        <w:t>né</w:t>
      </w:r>
      <w:r>
        <w:rPr>
          <w:rFonts w:hint="default"/>
        </w:rPr>
        <w:t>ho daru spolu s menom, priezviskom a </w:t>
      </w:r>
      <w:r>
        <w:rPr>
          <w:rFonts w:hint="default"/>
        </w:rPr>
        <w:t>adresou trvalé</w:t>
      </w:r>
      <w:r>
        <w:rPr>
          <w:rFonts w:hint="default"/>
        </w:rPr>
        <w:t>ho bydliska alebo obchodný</w:t>
      </w:r>
      <w:r>
        <w:rPr>
          <w:rFonts w:hint="default"/>
        </w:rPr>
        <w:t>m menom a </w:t>
      </w:r>
      <w:r>
        <w:rPr>
          <w:rFonts w:hint="default"/>
        </w:rPr>
        <w:t>adresou sí</w:t>
      </w:r>
      <w:r>
        <w:rPr>
          <w:rFonts w:hint="default"/>
        </w:rPr>
        <w:t>dla darcu aleb</w:t>
      </w:r>
      <w:r>
        <w:rPr>
          <w:rFonts w:hint="default"/>
        </w:rPr>
        <w:t>o osoby, ktorá</w:t>
      </w:r>
      <w:r>
        <w:rPr>
          <w:rFonts w:hint="default"/>
        </w:rPr>
        <w:t xml:space="preserve"> vý</w:t>
      </w:r>
      <w:r>
        <w:rPr>
          <w:rFonts w:hint="default"/>
        </w:rPr>
        <w:t>hodu poskytla, a ktorý</w:t>
      </w:r>
      <w:r>
        <w:rPr>
          <w:rFonts w:hint="default"/>
        </w:rPr>
        <w:t xml:space="preserve"> prijal verejný</w:t>
      </w:r>
      <w:r>
        <w:rPr>
          <w:rFonts w:hint="default"/>
        </w:rPr>
        <w:t xml:space="preserve"> č</w:t>
      </w:r>
      <w:r>
        <w:rPr>
          <w:rFonts w:hint="default"/>
        </w:rPr>
        <w:t>initeľ</w:t>
      </w:r>
      <w:r>
        <w:rPr>
          <w:rFonts w:hint="default"/>
        </w:rPr>
        <w:t xml:space="preserve"> v </w:t>
      </w:r>
      <w:r>
        <w:rPr>
          <w:rFonts w:hint="default"/>
        </w:rPr>
        <w:t>roku, za ktorý</w:t>
      </w:r>
      <w:r>
        <w:rPr>
          <w:rFonts w:hint="default"/>
        </w:rPr>
        <w:t xml:space="preserve"> sa majetkové</w:t>
      </w:r>
      <w:r>
        <w:rPr>
          <w:rFonts w:hint="default"/>
        </w:rPr>
        <w:t xml:space="preserve"> priznanie podá</w:t>
      </w:r>
      <w:r>
        <w:rPr>
          <w:rFonts w:hint="default"/>
        </w:rPr>
        <w:t>va, ak hodnota darov alebo iný</w:t>
      </w:r>
      <w:r>
        <w:rPr>
          <w:rFonts w:hint="default"/>
        </w:rPr>
        <w:t>ch vý</w:t>
      </w:r>
      <w:r>
        <w:rPr>
          <w:rFonts w:hint="default"/>
        </w:rPr>
        <w:t>hod od jedné</w:t>
      </w:r>
      <w:r>
        <w:rPr>
          <w:rFonts w:hint="default"/>
        </w:rPr>
        <w:t>ho darcu alebo hodnota jedné</w:t>
      </w:r>
      <w:r>
        <w:rPr>
          <w:rFonts w:hint="default"/>
        </w:rPr>
        <w:t>ho daru presiahne 4 000 eur.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</w:pPr>
      <w:r>
        <w:rPr>
          <w:rFonts w:hint="default"/>
        </w:rPr>
        <w:t>(5) Verejný</w:t>
      </w:r>
      <w:r>
        <w:rPr>
          <w:rFonts w:hint="default"/>
        </w:rPr>
        <w:t xml:space="preserve"> č</w:t>
      </w:r>
      <w:r>
        <w:rPr>
          <w:rFonts w:hint="default"/>
        </w:rPr>
        <w:t>initeľ</w:t>
      </w:r>
      <w:r>
        <w:rPr>
          <w:rFonts w:hint="default"/>
        </w:rPr>
        <w:t xml:space="preserve"> uvedie v majetkovom priz</w:t>
      </w:r>
      <w:r>
        <w:rPr>
          <w:rFonts w:hint="default"/>
        </w:rPr>
        <w:t>naní</w:t>
      </w:r>
      <w:r>
        <w:rPr>
          <w:rFonts w:hint="default"/>
        </w:rPr>
        <w:t xml:space="preserve"> aj majetkové</w:t>
      </w:r>
      <w:r>
        <w:rPr>
          <w:rFonts w:hint="default"/>
        </w:rPr>
        <w:t xml:space="preserve"> pomery svojho neplnoleté</w:t>
      </w:r>
      <w:r>
        <w:rPr>
          <w:rFonts w:hint="default"/>
        </w:rPr>
        <w:t>ho dieť</w:t>
      </w:r>
      <w:r>
        <w:rPr>
          <w:rFonts w:hint="default"/>
        </w:rPr>
        <w:t>ať</w:t>
      </w:r>
      <w:r>
        <w:rPr>
          <w:rFonts w:hint="default"/>
        </w:rPr>
        <w:t>a a </w:t>
      </w:r>
      <w:r>
        <w:rPr>
          <w:rFonts w:hint="default"/>
        </w:rPr>
        <w:t>manž</w:t>
      </w:r>
      <w:r>
        <w:rPr>
          <w:rFonts w:hint="default"/>
        </w:rPr>
        <w:t>ela, ktorý</w:t>
      </w:r>
      <w:r>
        <w:rPr>
          <w:rFonts w:hint="default"/>
        </w:rPr>
        <w:t xml:space="preserve"> s </w:t>
      </w:r>
      <w:r>
        <w:rPr>
          <w:rFonts w:hint="default"/>
        </w:rPr>
        <w:t>ní</w:t>
      </w:r>
      <w:r>
        <w:rPr>
          <w:rFonts w:hint="default"/>
        </w:rPr>
        <w:t>m ž</w:t>
      </w:r>
      <w:r>
        <w:rPr>
          <w:rFonts w:hint="default"/>
        </w:rPr>
        <w:t>ije v </w:t>
      </w:r>
      <w:r>
        <w:rPr>
          <w:rFonts w:hint="default"/>
        </w:rPr>
        <w:t>domá</w:t>
      </w:r>
      <w:r>
        <w:rPr>
          <w:rFonts w:hint="default"/>
        </w:rPr>
        <w:t>cnosti, a </w:t>
      </w:r>
      <w:r>
        <w:rPr>
          <w:rFonts w:hint="default"/>
        </w:rPr>
        <w:t>to aj vtedy, ak manž</w:t>
      </w:r>
      <w:r>
        <w:rPr>
          <w:rFonts w:hint="default"/>
        </w:rPr>
        <w:t xml:space="preserve">elia </w:t>
      </w:r>
      <w:r w:rsidRPr="00F165FB">
        <w:rPr>
          <w:rFonts w:hint="default"/>
        </w:rPr>
        <w:t>uzavreli dohodu o zúž</w:t>
      </w:r>
      <w:r w:rsidRPr="00F165FB">
        <w:rPr>
          <w:rFonts w:hint="default"/>
        </w:rPr>
        <w:t>ení</w:t>
      </w:r>
      <w:r w:rsidRPr="00F165FB">
        <w:rPr>
          <w:rFonts w:hint="default"/>
        </w:rPr>
        <w:t xml:space="preserve"> alebo rozší</w:t>
      </w:r>
      <w:r w:rsidRPr="00F165FB">
        <w:rPr>
          <w:rFonts w:hint="default"/>
        </w:rPr>
        <w:t>rení</w:t>
      </w:r>
      <w:r w:rsidRPr="00F165FB">
        <w:rPr>
          <w:rFonts w:hint="default"/>
        </w:rPr>
        <w:t xml:space="preserve"> zá</w:t>
      </w:r>
      <w:r w:rsidRPr="00F165FB">
        <w:rPr>
          <w:rFonts w:hint="default"/>
        </w:rPr>
        <w:t>konom urč</w:t>
      </w:r>
      <w:r w:rsidRPr="00F165FB">
        <w:rPr>
          <w:rFonts w:hint="default"/>
        </w:rPr>
        <w:t>ené</w:t>
      </w:r>
      <w:r w:rsidRPr="00F165FB">
        <w:rPr>
          <w:rFonts w:hint="default"/>
        </w:rPr>
        <w:t>ho rozsahu bezpodielové</w:t>
      </w:r>
      <w:r w:rsidRPr="00F165FB">
        <w:rPr>
          <w:rFonts w:hint="default"/>
        </w:rPr>
        <w:t>ho spoluvlastní</w:t>
      </w:r>
      <w:r w:rsidRPr="00F165FB">
        <w:rPr>
          <w:rFonts w:hint="default"/>
        </w:rPr>
        <w:t>ctva alebo o sprá</w:t>
      </w:r>
      <w:r w:rsidRPr="00F165FB">
        <w:rPr>
          <w:rFonts w:hint="default"/>
        </w:rPr>
        <w:t>ve spoloč</w:t>
      </w:r>
      <w:r w:rsidRPr="00F165FB">
        <w:rPr>
          <w:rFonts w:hint="default"/>
        </w:rPr>
        <w:t>né</w:t>
      </w:r>
      <w:r w:rsidRPr="00F165FB">
        <w:rPr>
          <w:rFonts w:hint="default"/>
        </w:rPr>
        <w:t>ho majetku. A</w:t>
      </w:r>
      <w:r w:rsidRPr="00F165FB">
        <w:rPr>
          <w:rFonts w:hint="default"/>
        </w:rPr>
        <w:t>k manž</w:t>
      </w:r>
      <w:r w:rsidRPr="00F165FB">
        <w:rPr>
          <w:rFonts w:hint="default"/>
        </w:rPr>
        <w:t>elia uzavreli dohodu o zúž</w:t>
      </w:r>
      <w:r w:rsidRPr="00F165FB">
        <w:rPr>
          <w:rFonts w:hint="default"/>
        </w:rPr>
        <w:t>ení</w:t>
      </w:r>
      <w:r w:rsidRPr="00F165FB">
        <w:rPr>
          <w:rFonts w:hint="default"/>
        </w:rPr>
        <w:t xml:space="preserve"> alebo rozší</w:t>
      </w:r>
      <w:r w:rsidRPr="00F165FB">
        <w:rPr>
          <w:rFonts w:hint="default"/>
        </w:rPr>
        <w:t>rení</w:t>
      </w:r>
      <w:r w:rsidRPr="00F165FB">
        <w:rPr>
          <w:rFonts w:hint="default"/>
        </w:rPr>
        <w:t xml:space="preserve"> zá</w:t>
      </w:r>
      <w:r w:rsidRPr="00F165FB">
        <w:rPr>
          <w:rFonts w:hint="default"/>
        </w:rPr>
        <w:t>konom urč</w:t>
      </w:r>
      <w:r w:rsidRPr="00F165FB">
        <w:rPr>
          <w:rFonts w:hint="default"/>
        </w:rPr>
        <w:t>ené</w:t>
      </w:r>
      <w:r w:rsidRPr="00F165FB">
        <w:rPr>
          <w:rFonts w:hint="default"/>
        </w:rPr>
        <w:t>ho rozsahu bezpodielové</w:t>
      </w:r>
      <w:r w:rsidRPr="00F165FB">
        <w:rPr>
          <w:rFonts w:hint="default"/>
        </w:rPr>
        <w:t>ho spoluvlastní</w:t>
      </w:r>
      <w:r w:rsidRPr="00F165FB">
        <w:rPr>
          <w:rFonts w:hint="default"/>
        </w:rPr>
        <w:t>ctva alebo o sprá</w:t>
      </w:r>
      <w:r w:rsidRPr="00F165FB">
        <w:rPr>
          <w:rFonts w:hint="default"/>
        </w:rPr>
        <w:t>ve spoloč</w:t>
      </w:r>
      <w:r w:rsidRPr="00F165FB">
        <w:rPr>
          <w:rFonts w:hint="default"/>
        </w:rPr>
        <w:t>né</w:t>
      </w:r>
      <w:r w:rsidRPr="00F165FB">
        <w:rPr>
          <w:rFonts w:hint="default"/>
        </w:rPr>
        <w:t xml:space="preserve">ho majetku, </w:t>
      </w:r>
      <w:r>
        <w:rPr>
          <w:rFonts w:hint="default"/>
        </w:rPr>
        <w:t>verejný</w:t>
      </w:r>
      <w:r>
        <w:rPr>
          <w:rFonts w:hint="default"/>
        </w:rPr>
        <w:t xml:space="preserve"> č</w:t>
      </w:r>
      <w:r>
        <w:rPr>
          <w:rFonts w:hint="default"/>
        </w:rPr>
        <w:t>initeľ</w:t>
      </w:r>
      <w:r>
        <w:rPr>
          <w:rFonts w:hint="default"/>
        </w:rPr>
        <w:t xml:space="preserve"> uvá</w:t>
      </w:r>
      <w:r>
        <w:rPr>
          <w:rFonts w:hint="default"/>
        </w:rPr>
        <w:t xml:space="preserve">dza </w:t>
      </w:r>
      <w:r w:rsidRPr="00F165FB">
        <w:rPr>
          <w:rFonts w:hint="default"/>
        </w:rPr>
        <w:t>majetkové</w:t>
      </w:r>
      <w:r w:rsidRPr="00F165FB">
        <w:rPr>
          <w:rFonts w:hint="default"/>
        </w:rPr>
        <w:t xml:space="preserve"> pomery svojho manž</w:t>
      </w:r>
      <w:r w:rsidRPr="00F165FB">
        <w:rPr>
          <w:rFonts w:hint="default"/>
        </w:rPr>
        <w:t>ela v majetkovom priznaní</w:t>
      </w:r>
      <w:r w:rsidRPr="00F165FB">
        <w:rPr>
          <w:rFonts w:hint="default"/>
        </w:rPr>
        <w:t xml:space="preserve"> oddelene od svojich majetkový</w:t>
      </w:r>
      <w:r w:rsidRPr="00F165FB">
        <w:rPr>
          <w:rFonts w:hint="default"/>
        </w:rPr>
        <w:t>ch pom</w:t>
      </w:r>
      <w:r w:rsidRPr="00F165FB">
        <w:rPr>
          <w:rFonts w:hint="default"/>
        </w:rPr>
        <w:t>erov.</w:t>
      </w:r>
    </w:p>
    <w:p w:rsidR="000E1573" w:rsidP="000E1573">
      <w:pPr>
        <w:bidi w:val="0"/>
        <w:jc w:val="both"/>
      </w:pPr>
    </w:p>
    <w:p w:rsidR="000E1573" w:rsidP="000E1573">
      <w:pPr>
        <w:bidi w:val="0"/>
        <w:jc w:val="both"/>
        <w:rPr>
          <w:rFonts w:hint="default"/>
        </w:rPr>
      </w:pPr>
      <w:r>
        <w:t>(6) K </w:t>
      </w:r>
      <w:r>
        <w:rPr>
          <w:rFonts w:hint="default"/>
        </w:rPr>
        <w:t>majetkové</w:t>
      </w:r>
      <w:r>
        <w:rPr>
          <w:rFonts w:hint="default"/>
        </w:rPr>
        <w:t>mu priznaniu priloží</w:t>
      </w:r>
      <w:r>
        <w:rPr>
          <w:rFonts w:hint="default"/>
        </w:rPr>
        <w:t xml:space="preserve"> verejný</w:t>
      </w:r>
      <w:r>
        <w:rPr>
          <w:rFonts w:hint="default"/>
        </w:rPr>
        <w:t xml:space="preserve"> č</w:t>
      </w:r>
      <w:r>
        <w:rPr>
          <w:rFonts w:hint="default"/>
        </w:rPr>
        <w:t>initeľ</w:t>
      </w:r>
      <w:r>
        <w:rPr>
          <w:rFonts w:hint="default"/>
        </w:rPr>
        <w:t xml:space="preserve"> kó</w:t>
      </w:r>
      <w:r>
        <w:rPr>
          <w:rFonts w:hint="default"/>
        </w:rPr>
        <w:t>piu</w:t>
      </w:r>
    </w:p>
    <w:p w:rsidR="000E1573" w:rsidP="000E1573">
      <w:pPr>
        <w:widowControl/>
        <w:suppressAutoHyphens w:val="0"/>
        <w:bidi w:val="0"/>
        <w:jc w:val="both"/>
      </w:pPr>
    </w:p>
    <w:p w:rsidR="000E1573" w:rsidP="000E1573">
      <w:pPr>
        <w:widowControl/>
        <w:suppressAutoHyphens w:val="0"/>
        <w:bidi w:val="0"/>
        <w:jc w:val="both"/>
      </w:pPr>
      <w:r>
        <w:t xml:space="preserve">a) </w:t>
      </w:r>
      <w:r w:rsidRPr="00723A1C">
        <w:rPr>
          <w:rFonts w:hint="default"/>
        </w:rPr>
        <w:t>podané</w:t>
      </w:r>
      <w:r w:rsidRPr="00723A1C">
        <w:rPr>
          <w:rFonts w:hint="default"/>
        </w:rPr>
        <w:t>ho daň</w:t>
      </w:r>
      <w:r w:rsidRPr="00723A1C">
        <w:rPr>
          <w:rFonts w:hint="default"/>
        </w:rPr>
        <w:t>ové</w:t>
      </w:r>
      <w:r w:rsidRPr="00723A1C">
        <w:rPr>
          <w:rFonts w:hint="default"/>
        </w:rPr>
        <w:t>ho priznania k dani z prí</w:t>
      </w:r>
      <w:r w:rsidRPr="00723A1C">
        <w:rPr>
          <w:rFonts w:hint="default"/>
        </w:rPr>
        <w:t>jmov fyzický</w:t>
      </w:r>
      <w:r w:rsidRPr="00723A1C">
        <w:rPr>
          <w:rFonts w:hint="default"/>
        </w:rPr>
        <w:t>ch osô</w:t>
      </w:r>
      <w:r w:rsidRPr="00723A1C">
        <w:rPr>
          <w:rFonts w:hint="default"/>
        </w:rPr>
        <w:t>b za predchá</w:t>
      </w:r>
      <w:r w:rsidRPr="00723A1C">
        <w:rPr>
          <w:rFonts w:hint="default"/>
        </w:rPr>
        <w:t>dzajú</w:t>
      </w:r>
      <w:r w:rsidRPr="00723A1C">
        <w:rPr>
          <w:rFonts w:hint="default"/>
        </w:rPr>
        <w:t>ci kalendá</w:t>
      </w:r>
      <w:r w:rsidRPr="00723A1C">
        <w:rPr>
          <w:rFonts w:hint="default"/>
        </w:rPr>
        <w:t xml:space="preserve">rny rok, alebo </w:t>
      </w:r>
    </w:p>
    <w:p w:rsidR="000E1573" w:rsidRPr="00723A1C" w:rsidP="000E1573">
      <w:pPr>
        <w:widowControl/>
        <w:suppressAutoHyphens w:val="0"/>
        <w:bidi w:val="0"/>
        <w:jc w:val="both"/>
      </w:pPr>
    </w:p>
    <w:p w:rsidR="000E1573" w:rsidP="000E1573">
      <w:pPr>
        <w:widowControl/>
        <w:suppressAutoHyphens w:val="0"/>
        <w:bidi w:val="0"/>
        <w:jc w:val="both"/>
        <w:rPr>
          <w:rFonts w:hint="default"/>
        </w:rPr>
      </w:pPr>
      <w:r>
        <w:t xml:space="preserve">b) </w:t>
      </w:r>
      <w:r w:rsidRPr="00723A1C">
        <w:rPr>
          <w:rFonts w:hint="default"/>
        </w:rPr>
        <w:t>iný</w:t>
      </w:r>
      <w:r w:rsidRPr="00723A1C">
        <w:rPr>
          <w:rFonts w:hint="default"/>
        </w:rPr>
        <w:t xml:space="preserve"> doklad  vydá</w:t>
      </w:r>
      <w:r w:rsidRPr="00723A1C">
        <w:rPr>
          <w:rFonts w:hint="default"/>
        </w:rPr>
        <w:t>vaný</w:t>
      </w:r>
      <w:r w:rsidRPr="00723A1C">
        <w:rPr>
          <w:rFonts w:hint="default"/>
        </w:rPr>
        <w:t xml:space="preserve"> na daň</w:t>
      </w:r>
      <w:r w:rsidRPr="00723A1C">
        <w:rPr>
          <w:rFonts w:hint="default"/>
        </w:rPr>
        <w:t>ové</w:t>
      </w:r>
      <w:r w:rsidRPr="00723A1C">
        <w:rPr>
          <w:rFonts w:hint="default"/>
        </w:rPr>
        <w:t xml:space="preserve"> úč</w:t>
      </w:r>
      <w:r w:rsidRPr="00723A1C">
        <w:rPr>
          <w:rFonts w:hint="default"/>
        </w:rPr>
        <w:t>ely obsahujú</w:t>
      </w:r>
      <w:r w:rsidRPr="00723A1C">
        <w:rPr>
          <w:rFonts w:hint="default"/>
        </w:rPr>
        <w:t>ci sumu prí</w:t>
      </w:r>
      <w:r w:rsidRPr="00723A1C">
        <w:rPr>
          <w:rFonts w:hint="default"/>
        </w:rPr>
        <w:t>jmov, ktoré</w:t>
      </w:r>
      <w:r w:rsidRPr="00723A1C">
        <w:rPr>
          <w:rFonts w:hint="default"/>
        </w:rPr>
        <w:t xml:space="preserve"> verejný</w:t>
      </w:r>
      <w:r w:rsidRPr="00723A1C">
        <w:rPr>
          <w:rFonts w:hint="default"/>
        </w:rPr>
        <w:t xml:space="preserve"> funkci</w:t>
      </w:r>
      <w:r w:rsidRPr="00723A1C">
        <w:rPr>
          <w:rFonts w:hint="default"/>
        </w:rPr>
        <w:t>oná</w:t>
      </w:r>
      <w:r w:rsidRPr="00723A1C">
        <w:rPr>
          <w:rFonts w:hint="default"/>
        </w:rPr>
        <w:t>r zí</w:t>
      </w:r>
      <w:r w:rsidRPr="00723A1C">
        <w:rPr>
          <w:rFonts w:hint="default"/>
        </w:rPr>
        <w:t xml:space="preserve">skal za </w:t>
      </w:r>
      <w:r>
        <w:rPr>
          <w:rFonts w:hint="default"/>
        </w:rPr>
        <w:t>predchá</w:t>
      </w:r>
      <w:r>
        <w:rPr>
          <w:rFonts w:hint="default"/>
        </w:rPr>
        <w:t>dzajú</w:t>
      </w:r>
      <w:r>
        <w:rPr>
          <w:rFonts w:hint="default"/>
        </w:rPr>
        <w:t>ci kalendá</w:t>
      </w:r>
      <w:r>
        <w:rPr>
          <w:rFonts w:hint="default"/>
        </w:rPr>
        <w:t>rny rok.</w:t>
      </w:r>
    </w:p>
    <w:p w:rsidR="000E1573" w:rsidP="000E1573">
      <w:pPr>
        <w:bidi w:val="0"/>
        <w:jc w:val="both"/>
      </w:pPr>
    </w:p>
    <w:p w:rsidR="000E1573" w:rsidP="000E1573">
      <w:pPr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4</w:t>
      </w:r>
    </w:p>
    <w:p w:rsidR="000E1573" w:rsidP="000E1573">
      <w:pPr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Podávanie a zverejňovanie majetkového priznania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(1) Majetkové priznanie podľa § 3 ods. 1 podáva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a) sudca Súdnej rade Slovenskej republiky,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b) prokurátor a právny čakateľ prokuratúry Generálnej prokuratúre Slovenskej republiky,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c) verejný činiteľ uvedený v § 2 ods. 1 písm. d) až k) Ministerstvu vnútra Slovenskej republiky.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(2) Orgán, ktorému sa podávajú majetkové priznania podľa odseku 1 (ďalej len „dohliadajúci orgán“) je povinný zabezpečiť uchovávanie majetkových priznaní po dobu najmenej 50 rokov. Údaje z majetkových priznaní 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a) vyhodnocuje,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b) písomne oznamuje službe finančnej polície Policajného zboru pri dôvodnom podozrení, že majetok verejného činiteľa bol nadobudnutý z nelegálnych príjmov,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11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c) poskytuje orgánom u</w:t>
      </w:r>
      <w:r w:rsidR="00593DB1">
        <w:rPr>
          <w:rFonts w:eastAsia="Times New Roman" w:cs="Times New Roman"/>
          <w:kern w:val="0"/>
          <w:lang w:eastAsia="en-US" w:bidi="ar-SA"/>
        </w:rPr>
        <w:t>vedeným v § 6 ods. 3 písm. c) a d</w:t>
      </w:r>
      <w:r>
        <w:rPr>
          <w:rFonts w:eastAsia="Times New Roman" w:cs="Times New Roman"/>
          <w:kern w:val="0"/>
          <w:lang w:eastAsia="en-US" w:bidi="ar-SA"/>
        </w:rPr>
        <w:t>), ak o tieto údaje požiadajú v súvislosti s výkonom ich pôsobnosti,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d) poskytuje iným orgánom verejnej moci na účely trestného konania alebo konania podľa osobitného zákona.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12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(3) Ak verejný činiteľ podal v kalendárnom roku majetkové priznanie, nie je povinný ho podať opätovne v prípade ujatia sa výkonu inej funkcie alebo vzniku iného služobného pomeru uvedených v § 2 ods. 1.</w:t>
      </w: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(4) Ak príjmy, ďalšie príjmy alebo ostatné finančné príjmy podľa § 3 ods. 4 písm. e) verejného činiteľa uvedené v majetkovom priznaní dosahujú aspoň výšku príjmov poslanca Národnej rady Slovenskej republiky z verejnej funkcie za predchádzajúci kalendárny rok, dohliadajúci orgán je povinný zabezpečiť zverejnenie majetkového priznania na voľne prístupnej webovej stránke v súlade s ochranou osobných údajov podľa osobitného zákona,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13"/>
      </w:r>
      <w:r>
        <w:rPr>
          <w:rFonts w:eastAsia="Times New Roman" w:cs="Times New Roman"/>
          <w:kern w:val="0"/>
          <w:lang w:eastAsia="en-US" w:bidi="ar-SA"/>
        </w:rPr>
        <w:t>) a to každoročne do 30. júna za predchádzajúci kalendárny rok. Zverejňovanie údajov uvedených v § 3 ods. 4 nie je ochranou osobných údajov dotknuté.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5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Konanie vo veci majetkového priznania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(1) Konanie vo veci majetkového priznania vykonáva dohliadajúci orgán príslušný podľa § 4 ods. 1.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(2)  Dohliadajúci orgán začne konanie</w:t>
      </w:r>
    </w:p>
    <w:p w:rsidR="000E1573" w:rsidRPr="00247AE9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247AE9">
        <w:rPr>
          <w:rFonts w:eastAsia="Times New Roman" w:cs="Times New Roman"/>
          <w:kern w:val="0"/>
          <w:lang w:eastAsia="en-US" w:bidi="ar-SA"/>
        </w:rPr>
        <w:t xml:space="preserve">a) z vlastnej iniciatívy, ak jeho zistenia nasvedčujú tomu, že verejný </w:t>
      </w:r>
      <w:r>
        <w:rPr>
          <w:rFonts w:eastAsia="Times New Roman" w:cs="Times New Roman"/>
          <w:kern w:val="0"/>
          <w:lang w:eastAsia="en-US" w:bidi="ar-SA"/>
        </w:rPr>
        <w:t xml:space="preserve">činiteľ nepodal majetkové priznanie v lehote ustanovenej týmto zákonom alebo v majetkovom priznaní </w:t>
      </w:r>
      <w:r w:rsidRPr="00247AE9">
        <w:rPr>
          <w:rFonts w:eastAsia="Times New Roman" w:cs="Times New Roman"/>
          <w:kern w:val="0"/>
          <w:lang w:eastAsia="en-US" w:bidi="ar-SA"/>
        </w:rPr>
        <w:t>uviedol</w:t>
      </w:r>
      <w:r>
        <w:rPr>
          <w:rFonts w:eastAsia="Times New Roman" w:cs="Times New Roman"/>
          <w:kern w:val="0"/>
          <w:lang w:eastAsia="en-US" w:bidi="ar-SA"/>
        </w:rPr>
        <w:t xml:space="preserve"> neúplné alebo nepravdivé údaje, </w:t>
      </w:r>
      <w:r w:rsidRPr="00247AE9">
        <w:rPr>
          <w:rFonts w:eastAsia="Times New Roman" w:cs="Times New Roman"/>
          <w:kern w:val="0"/>
          <w:lang w:eastAsia="en-US" w:bidi="ar-SA"/>
        </w:rPr>
        <w:t>alebo</w:t>
      </w:r>
    </w:p>
    <w:p w:rsidR="000E1573" w:rsidRPr="00247AE9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247AE9">
        <w:rPr>
          <w:rFonts w:eastAsia="Times New Roman" w:cs="Times New Roman"/>
          <w:kern w:val="0"/>
          <w:lang w:eastAsia="en-US" w:bidi="ar-SA"/>
        </w:rPr>
        <w:t xml:space="preserve">b) na základe riadne odôvodneného podnetu, z ktorého je zrejmé, kto ho podáva, ktorého verejného </w:t>
      </w:r>
      <w:r>
        <w:rPr>
          <w:rFonts w:eastAsia="Times New Roman" w:cs="Times New Roman"/>
          <w:kern w:val="0"/>
          <w:lang w:eastAsia="en-US" w:bidi="ar-SA"/>
        </w:rPr>
        <w:t xml:space="preserve">činiteľa </w:t>
      </w:r>
      <w:r w:rsidRPr="00247AE9">
        <w:rPr>
          <w:rFonts w:eastAsia="Times New Roman" w:cs="Times New Roman"/>
          <w:kern w:val="0"/>
          <w:lang w:eastAsia="en-US" w:bidi="ar-SA"/>
        </w:rPr>
        <w:t>sa týka, a čo sa namieta.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F1068F">
        <w:rPr>
          <w:rFonts w:eastAsia="Times New Roman" w:cs="Times New Roman"/>
          <w:kern w:val="0"/>
          <w:lang w:eastAsia="en-US" w:bidi="ar-SA"/>
        </w:rPr>
        <w:t>(3) Ak sa konanie začína na podnet, dňom začatia konania je deň doručenia podnetu</w:t>
      </w:r>
      <w:r>
        <w:rPr>
          <w:rFonts w:eastAsia="Times New Roman" w:cs="Times New Roman"/>
          <w:kern w:val="0"/>
          <w:lang w:eastAsia="en-US" w:bidi="ar-SA"/>
        </w:rPr>
        <w:t xml:space="preserve"> dohliadajúcemu </w:t>
      </w:r>
      <w:r w:rsidRPr="00F1068F">
        <w:rPr>
          <w:rFonts w:eastAsia="Times New Roman" w:cs="Times New Roman"/>
          <w:kern w:val="0"/>
          <w:lang w:eastAsia="en-US" w:bidi="ar-SA"/>
        </w:rPr>
        <w:t xml:space="preserve">orgánu príslušnému podľa </w:t>
      </w:r>
      <w:r>
        <w:rPr>
          <w:rFonts w:eastAsia="Times New Roman" w:cs="Times New Roman"/>
          <w:kern w:val="0"/>
          <w:lang w:eastAsia="en-US" w:bidi="ar-SA"/>
        </w:rPr>
        <w:t xml:space="preserve">§ 4 </w:t>
      </w:r>
      <w:r w:rsidRPr="00F1068F">
        <w:rPr>
          <w:rFonts w:eastAsia="Times New Roman" w:cs="Times New Roman"/>
          <w:kern w:val="0"/>
          <w:lang w:eastAsia="en-US" w:bidi="ar-SA"/>
        </w:rPr>
        <w:t>ods</w:t>
      </w:r>
      <w:r>
        <w:rPr>
          <w:rFonts w:eastAsia="Times New Roman" w:cs="Times New Roman"/>
          <w:kern w:val="0"/>
          <w:lang w:eastAsia="en-US" w:bidi="ar-SA"/>
        </w:rPr>
        <w:t xml:space="preserve">. </w:t>
      </w:r>
      <w:r w:rsidRPr="00F1068F">
        <w:rPr>
          <w:rFonts w:eastAsia="Times New Roman" w:cs="Times New Roman"/>
          <w:kern w:val="0"/>
          <w:lang w:eastAsia="en-US" w:bidi="ar-SA"/>
        </w:rPr>
        <w:t xml:space="preserve">1. Ak sa konanie začína z vlastnej iniciatívy </w:t>
      </w:r>
      <w:r>
        <w:rPr>
          <w:rFonts w:eastAsia="Times New Roman" w:cs="Times New Roman"/>
          <w:kern w:val="0"/>
          <w:lang w:eastAsia="en-US" w:bidi="ar-SA"/>
        </w:rPr>
        <w:t>dohliadajúceho orgánu,</w:t>
      </w:r>
      <w:r w:rsidRPr="00F1068F">
        <w:rPr>
          <w:rFonts w:eastAsia="Times New Roman" w:cs="Times New Roman"/>
          <w:kern w:val="0"/>
          <w:lang w:eastAsia="en-US" w:bidi="ar-SA"/>
        </w:rPr>
        <w:t xml:space="preserve"> konanie je začaté dňom, keď </w:t>
      </w:r>
      <w:r>
        <w:rPr>
          <w:rFonts w:eastAsia="Times New Roman" w:cs="Times New Roman"/>
          <w:kern w:val="0"/>
          <w:lang w:eastAsia="en-US" w:bidi="ar-SA"/>
        </w:rPr>
        <w:t xml:space="preserve">dohliadajúci </w:t>
      </w:r>
      <w:r w:rsidRPr="00F1068F">
        <w:rPr>
          <w:rFonts w:eastAsia="Times New Roman" w:cs="Times New Roman"/>
          <w:kern w:val="0"/>
          <w:lang w:eastAsia="en-US" w:bidi="ar-SA"/>
        </w:rPr>
        <w:t xml:space="preserve">orgán urobil prvý úkon voči verejnému </w:t>
      </w:r>
      <w:r>
        <w:rPr>
          <w:rFonts w:eastAsia="Times New Roman" w:cs="Times New Roman"/>
          <w:kern w:val="0"/>
          <w:lang w:eastAsia="en-US" w:bidi="ar-SA"/>
        </w:rPr>
        <w:t>činiteľovi,</w:t>
      </w:r>
      <w:r w:rsidRPr="00F1068F">
        <w:rPr>
          <w:rFonts w:eastAsia="Times New Roman" w:cs="Times New Roman"/>
          <w:kern w:val="0"/>
          <w:lang w:eastAsia="en-US" w:bidi="ar-SA"/>
        </w:rPr>
        <w:t xml:space="preserve"> proti ktorému sa vedie konanie.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(4) Dohliadajúci orgán </w:t>
      </w:r>
      <w:r w:rsidRPr="00F1068F">
        <w:rPr>
          <w:rFonts w:eastAsia="Times New Roman" w:cs="Times New Roman"/>
          <w:kern w:val="0"/>
          <w:lang w:eastAsia="en-US" w:bidi="ar-SA"/>
        </w:rPr>
        <w:t xml:space="preserve">umožní verejnému </w:t>
      </w:r>
      <w:r>
        <w:rPr>
          <w:rFonts w:eastAsia="Times New Roman" w:cs="Times New Roman"/>
          <w:kern w:val="0"/>
          <w:lang w:eastAsia="en-US" w:bidi="ar-SA"/>
        </w:rPr>
        <w:t>činiteľovi</w:t>
      </w:r>
      <w:r w:rsidRPr="00F1068F">
        <w:rPr>
          <w:rFonts w:eastAsia="Times New Roman" w:cs="Times New Roman"/>
          <w:kern w:val="0"/>
          <w:lang w:eastAsia="en-US" w:bidi="ar-SA"/>
        </w:rPr>
        <w:t xml:space="preserve">, proti ktorému sa vedie konanie, aby sa </w:t>
      </w:r>
      <w:r>
        <w:rPr>
          <w:rFonts w:eastAsia="Times New Roman" w:cs="Times New Roman"/>
          <w:kern w:val="0"/>
          <w:lang w:eastAsia="en-US" w:bidi="ar-SA"/>
        </w:rPr>
        <w:t>ku konaniu vyjadril</w:t>
      </w:r>
      <w:r w:rsidRPr="00F1068F">
        <w:rPr>
          <w:rFonts w:eastAsia="Times New Roman" w:cs="Times New Roman"/>
          <w:kern w:val="0"/>
          <w:lang w:eastAsia="en-US" w:bidi="ar-SA"/>
        </w:rPr>
        <w:t>; ak je to potrebné, vykoná dokazovanie.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6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(1</w:t>
      </w:r>
      <w:r w:rsidRPr="00160200">
        <w:rPr>
          <w:rFonts w:eastAsia="Times New Roman" w:cs="Times New Roman"/>
          <w:kern w:val="0"/>
          <w:lang w:eastAsia="en-US" w:bidi="ar-SA"/>
        </w:rPr>
        <w:t xml:space="preserve">) Ak sa v konaní nepreukázalo, že verejný </w:t>
      </w:r>
      <w:r>
        <w:rPr>
          <w:rFonts w:eastAsia="Times New Roman" w:cs="Times New Roman"/>
          <w:kern w:val="0"/>
          <w:lang w:eastAsia="en-US" w:bidi="ar-SA"/>
        </w:rPr>
        <w:t xml:space="preserve">činiteľ </w:t>
      </w:r>
      <w:r w:rsidRPr="00160200">
        <w:rPr>
          <w:rFonts w:eastAsia="Times New Roman" w:cs="Times New Roman"/>
          <w:kern w:val="0"/>
          <w:lang w:eastAsia="en-US" w:bidi="ar-SA"/>
        </w:rPr>
        <w:t>nesplnil alebo porušil povinnosť</w:t>
      </w:r>
      <w:r>
        <w:rPr>
          <w:rFonts w:eastAsia="Times New Roman" w:cs="Times New Roman"/>
          <w:kern w:val="0"/>
          <w:lang w:eastAsia="en-US" w:bidi="ar-SA"/>
        </w:rPr>
        <w:t xml:space="preserve"> ustanovenú </w:t>
      </w:r>
      <w:r w:rsidRPr="00160200">
        <w:rPr>
          <w:rFonts w:eastAsia="Times New Roman" w:cs="Times New Roman"/>
          <w:kern w:val="0"/>
          <w:lang w:eastAsia="en-US" w:bidi="ar-SA"/>
        </w:rPr>
        <w:t>týmto zákonom</w:t>
      </w:r>
      <w:r>
        <w:rPr>
          <w:rFonts w:eastAsia="Times New Roman" w:cs="Times New Roman"/>
          <w:kern w:val="0"/>
          <w:lang w:eastAsia="en-US" w:bidi="ar-SA"/>
        </w:rPr>
        <w:t xml:space="preserve">, dohliadajúci </w:t>
      </w:r>
      <w:r w:rsidRPr="00160200">
        <w:rPr>
          <w:rFonts w:eastAsia="Times New Roman" w:cs="Times New Roman"/>
          <w:kern w:val="0"/>
          <w:lang w:eastAsia="en-US" w:bidi="ar-SA"/>
        </w:rPr>
        <w:t>orgán rozhodne o zastavení konania.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AD2721">
        <w:rPr>
          <w:rFonts w:eastAsia="Times New Roman" w:cs="Times New Roman"/>
          <w:kern w:val="0"/>
          <w:lang w:eastAsia="en-US" w:bidi="ar-SA"/>
        </w:rPr>
        <w:t>(</w:t>
      </w:r>
      <w:r>
        <w:rPr>
          <w:rFonts w:eastAsia="Times New Roman" w:cs="Times New Roman"/>
          <w:kern w:val="0"/>
          <w:lang w:eastAsia="en-US" w:bidi="ar-SA"/>
        </w:rPr>
        <w:t>2</w:t>
      </w:r>
      <w:r w:rsidRPr="00AD2721">
        <w:rPr>
          <w:rFonts w:eastAsia="Times New Roman" w:cs="Times New Roman"/>
          <w:kern w:val="0"/>
          <w:lang w:eastAsia="en-US" w:bidi="ar-SA"/>
        </w:rPr>
        <w:t>) Ak sa v konaní preukázalo, že verejný</w:t>
      </w:r>
      <w:r>
        <w:rPr>
          <w:rFonts w:eastAsia="Times New Roman" w:cs="Times New Roman"/>
          <w:kern w:val="0"/>
          <w:lang w:eastAsia="en-US" w:bidi="ar-SA"/>
        </w:rPr>
        <w:t xml:space="preserve"> činiteľ nepodal majetkové priznanie v lehote ustanovenej týmto zákonom alebo </w:t>
      </w:r>
      <w:r w:rsidRPr="00DD335F">
        <w:rPr>
          <w:rFonts w:eastAsia="Times New Roman" w:cs="Times New Roman"/>
          <w:kern w:val="0"/>
          <w:lang w:eastAsia="en-US" w:bidi="ar-SA"/>
        </w:rPr>
        <w:t>v majetkovom priznaní uviedol neúpl</w:t>
      </w:r>
      <w:r>
        <w:rPr>
          <w:rFonts w:eastAsia="Times New Roman" w:cs="Times New Roman"/>
          <w:kern w:val="0"/>
          <w:lang w:eastAsia="en-US" w:bidi="ar-SA"/>
        </w:rPr>
        <w:t xml:space="preserve">né alebo nepravdivé údaje, </w:t>
      </w:r>
      <w:r w:rsidRPr="00AD2721">
        <w:rPr>
          <w:rFonts w:eastAsia="Times New Roman" w:cs="Times New Roman"/>
          <w:kern w:val="0"/>
          <w:lang w:eastAsia="en-US" w:bidi="ar-SA"/>
        </w:rPr>
        <w:t xml:space="preserve">rozhodnutie obsahuje výrok, v ktorom sa uvedie, v čom je konanie alebo opomenutie verejného </w:t>
      </w:r>
      <w:r>
        <w:rPr>
          <w:rFonts w:eastAsia="Times New Roman" w:cs="Times New Roman"/>
          <w:kern w:val="0"/>
          <w:lang w:eastAsia="en-US" w:bidi="ar-SA"/>
        </w:rPr>
        <w:t xml:space="preserve">činiteľa </w:t>
      </w:r>
      <w:r w:rsidRPr="00AD2721">
        <w:rPr>
          <w:rFonts w:eastAsia="Times New Roman" w:cs="Times New Roman"/>
          <w:kern w:val="0"/>
          <w:lang w:eastAsia="en-US" w:bidi="ar-SA"/>
        </w:rPr>
        <w:t xml:space="preserve">v rozpore s týmto </w:t>
      </w:r>
      <w:r>
        <w:rPr>
          <w:rFonts w:eastAsia="Times New Roman" w:cs="Times New Roman"/>
          <w:kern w:val="0"/>
          <w:lang w:eastAsia="en-US" w:bidi="ar-SA"/>
        </w:rPr>
        <w:t>zákonom</w:t>
      </w:r>
      <w:r w:rsidRPr="00AD2721">
        <w:rPr>
          <w:rFonts w:eastAsia="Times New Roman" w:cs="Times New Roman"/>
          <w:kern w:val="0"/>
          <w:lang w:eastAsia="en-US" w:bidi="ar-SA"/>
        </w:rPr>
        <w:t>, odôvodnenie a poučenie o opravnom prostriedku. Rozhodnutie obsahu</w:t>
      </w:r>
      <w:r>
        <w:rPr>
          <w:rFonts w:eastAsia="Times New Roman" w:cs="Times New Roman"/>
          <w:kern w:val="0"/>
          <w:lang w:eastAsia="en-US" w:bidi="ar-SA"/>
        </w:rPr>
        <w:t>je aj povinnosť zaplatiť pokutu.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(3) Dohliadajúci orgán rozhodne vo veci do 120</w:t>
      </w:r>
      <w:r w:rsidRPr="00AA1C81">
        <w:rPr>
          <w:rFonts w:eastAsia="Times New Roman" w:cs="Times New Roman"/>
          <w:kern w:val="0"/>
          <w:lang w:eastAsia="en-US" w:bidi="ar-SA"/>
        </w:rPr>
        <w:t xml:space="preserve"> dní odo dňa začatia konania. Toto rozhodnutie doručí 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a) </w:t>
      </w:r>
      <w:r w:rsidRPr="00AA1C81">
        <w:rPr>
          <w:rFonts w:eastAsia="Times New Roman" w:cs="Times New Roman"/>
          <w:kern w:val="0"/>
          <w:lang w:eastAsia="en-US" w:bidi="ar-SA"/>
        </w:rPr>
        <w:t xml:space="preserve">verejnému </w:t>
      </w:r>
      <w:r>
        <w:rPr>
          <w:rFonts w:eastAsia="Times New Roman" w:cs="Times New Roman"/>
          <w:kern w:val="0"/>
          <w:lang w:eastAsia="en-US" w:bidi="ar-SA"/>
        </w:rPr>
        <w:t>činiteľovi</w:t>
      </w:r>
      <w:r w:rsidRPr="00AA1C81">
        <w:rPr>
          <w:rFonts w:eastAsia="Times New Roman" w:cs="Times New Roman"/>
          <w:kern w:val="0"/>
          <w:lang w:eastAsia="en-US" w:bidi="ar-SA"/>
        </w:rPr>
        <w:t>, proti ktorému konanie smeruje</w:t>
      </w:r>
      <w:r>
        <w:rPr>
          <w:rFonts w:eastAsia="Times New Roman" w:cs="Times New Roman"/>
          <w:kern w:val="0"/>
          <w:lang w:eastAsia="en-US" w:bidi="ar-SA"/>
        </w:rPr>
        <w:t>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b) tomu, na čí podnet sa koná (ďalej len „oznamovateľ“),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c) príslušnému predsedovi súdu, ak sa konanie týka sudcu,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d) príslušnému služobnému úradu, ak sa konanie týka verejného činiteľa uvedeného v § 2 ods. 1 písm. b) až k).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</w:pPr>
      <w:r>
        <w:t xml:space="preserve">(4) </w:t>
      </w:r>
      <w:r>
        <w:rPr>
          <w:rFonts w:hint="default"/>
        </w:rPr>
        <w:t>Ak dohliadajú</w:t>
      </w:r>
      <w:r>
        <w:rPr>
          <w:rFonts w:hint="default"/>
        </w:rPr>
        <w:t>ci orgá</w:t>
      </w:r>
      <w:r>
        <w:rPr>
          <w:rFonts w:hint="default"/>
        </w:rPr>
        <w:t>n poruš</w:t>
      </w:r>
      <w:r>
        <w:rPr>
          <w:rFonts w:hint="default"/>
        </w:rPr>
        <w:t>il povinnosť</w:t>
      </w:r>
      <w:r>
        <w:rPr>
          <w:rFonts w:hint="default"/>
        </w:rPr>
        <w:t xml:space="preserve"> podľ</w:t>
      </w:r>
      <w:r>
        <w:rPr>
          <w:rFonts w:hint="default"/>
        </w:rPr>
        <w:t>a odseku 3 tý</w:t>
      </w:r>
      <w:r>
        <w:rPr>
          <w:rFonts w:hint="default"/>
        </w:rPr>
        <w:t>m, ž</w:t>
      </w:r>
      <w:r>
        <w:rPr>
          <w:rFonts w:hint="default"/>
        </w:rPr>
        <w:t>e nevydal rozhodnutie, predpokladá</w:t>
      </w:r>
      <w:r>
        <w:rPr>
          <w:rFonts w:hint="default"/>
        </w:rPr>
        <w:t xml:space="preserve"> sa, ž</w:t>
      </w:r>
      <w:r>
        <w:rPr>
          <w:rFonts w:hint="default"/>
        </w:rPr>
        <w:t>e vydal rozhodnutie, ktorý</w:t>
      </w:r>
      <w:r>
        <w:rPr>
          <w:rFonts w:hint="default"/>
        </w:rPr>
        <w:t>m rozhodol o </w:t>
      </w:r>
      <w:r>
        <w:rPr>
          <w:rFonts w:hint="default"/>
        </w:rPr>
        <w:t>zastavení</w:t>
      </w:r>
      <w:r>
        <w:rPr>
          <w:rFonts w:hint="default"/>
        </w:rPr>
        <w:t xml:space="preserve"> konania. </w:t>
      </w:r>
      <w:r w:rsidRPr="00E0350C">
        <w:rPr>
          <w:rFonts w:hint="default"/>
        </w:rPr>
        <w:t>Za deň</w:t>
      </w:r>
      <w:r w:rsidRPr="00E0350C">
        <w:rPr>
          <w:rFonts w:hint="default"/>
        </w:rPr>
        <w:t xml:space="preserve"> doruč</w:t>
      </w:r>
      <w:r w:rsidRPr="00E0350C">
        <w:rPr>
          <w:rFonts w:hint="default"/>
        </w:rPr>
        <w:t>enia rozhodnutia sa v tomto prí</w:t>
      </w:r>
      <w:r w:rsidRPr="00E0350C">
        <w:rPr>
          <w:rFonts w:hint="default"/>
        </w:rPr>
        <w:t>pade považ</w:t>
      </w:r>
      <w:r w:rsidRPr="00E0350C">
        <w:rPr>
          <w:rFonts w:hint="default"/>
        </w:rPr>
        <w:t>uje tretí</w:t>
      </w:r>
      <w:r w:rsidRPr="00E0350C">
        <w:rPr>
          <w:rFonts w:hint="default"/>
        </w:rPr>
        <w:t xml:space="preserve"> deň</w:t>
      </w:r>
      <w:r w:rsidRPr="00E0350C">
        <w:rPr>
          <w:rFonts w:hint="default"/>
        </w:rPr>
        <w:t xml:space="preserve"> od uplynutia lehoty na </w:t>
      </w:r>
      <w:r>
        <w:t>rozhodn</w:t>
      </w:r>
      <w:r>
        <w:t>utie vo veci.</w:t>
      </w:r>
    </w:p>
    <w:p w:rsidR="000E1573" w:rsidP="000E1573">
      <w:pPr>
        <w:bidi w:val="0"/>
        <w:jc w:val="both"/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(5) </w:t>
      </w:r>
      <w:r w:rsidRPr="00DB5E9A">
        <w:rPr>
          <w:rFonts w:eastAsia="Times New Roman" w:cs="Times New Roman"/>
          <w:kern w:val="0"/>
          <w:lang w:eastAsia="en-US" w:bidi="ar-SA"/>
        </w:rPr>
        <w:t xml:space="preserve">Rozhodnutie obsahuje osobné údaje verejného </w:t>
      </w:r>
      <w:r>
        <w:rPr>
          <w:rFonts w:eastAsia="Times New Roman" w:cs="Times New Roman"/>
          <w:kern w:val="0"/>
          <w:lang w:eastAsia="en-US" w:bidi="ar-SA"/>
        </w:rPr>
        <w:t xml:space="preserve">činiteľa </w:t>
      </w:r>
      <w:r w:rsidRPr="00DB5E9A">
        <w:rPr>
          <w:rFonts w:eastAsia="Times New Roman" w:cs="Times New Roman"/>
          <w:kern w:val="0"/>
          <w:lang w:eastAsia="en-US" w:bidi="ar-SA"/>
        </w:rPr>
        <w:t>v rozsahu titul, meno, priezvisko, adresa trvalého bydliska a funkcia.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7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Ukladanie pokút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(1) Pokutu ukladá dohliadajúci orgán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112614">
        <w:rPr>
          <w:rFonts w:eastAsia="Times New Roman" w:cs="Times New Roman"/>
          <w:kern w:val="0"/>
          <w:lang w:eastAsia="en-US" w:bidi="ar-SA"/>
        </w:rPr>
        <w:t xml:space="preserve">a) v sume zodpovedajúcej mesačnému platu verejného </w:t>
      </w:r>
      <w:r>
        <w:rPr>
          <w:rFonts w:eastAsia="Times New Roman" w:cs="Times New Roman"/>
          <w:kern w:val="0"/>
          <w:lang w:eastAsia="en-US" w:bidi="ar-SA"/>
        </w:rPr>
        <w:t>činiteľa</w:t>
      </w:r>
      <w:r w:rsidRPr="00112614">
        <w:rPr>
          <w:rFonts w:eastAsia="Times New Roman" w:cs="Times New Roman"/>
          <w:kern w:val="0"/>
          <w:lang w:eastAsia="en-US" w:bidi="ar-SA"/>
        </w:rPr>
        <w:t xml:space="preserve">, ak ide o porušenie povinnosti podať </w:t>
      </w:r>
      <w:r>
        <w:rPr>
          <w:rFonts w:eastAsia="Times New Roman" w:cs="Times New Roman"/>
          <w:kern w:val="0"/>
          <w:lang w:eastAsia="en-US" w:bidi="ar-SA"/>
        </w:rPr>
        <w:t>majetkové priznanie v lehote ustanovenej týmto zákonom</w:t>
      </w:r>
      <w:r w:rsidRPr="00112614">
        <w:rPr>
          <w:rFonts w:eastAsia="Times New Roman" w:cs="Times New Roman"/>
          <w:kern w:val="0"/>
          <w:lang w:eastAsia="en-US" w:bidi="ar-SA"/>
        </w:rPr>
        <w:t>,</w:t>
      </w:r>
    </w:p>
    <w:p w:rsidR="000E1573" w:rsidRPr="00112614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112614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112614">
        <w:rPr>
          <w:rFonts w:eastAsia="Times New Roman" w:cs="Times New Roman"/>
          <w:kern w:val="0"/>
          <w:lang w:eastAsia="en-US" w:bidi="ar-SA"/>
        </w:rPr>
        <w:t xml:space="preserve">b) v sume zodpovedajúcej trojnásobku mesačného platu verejného </w:t>
      </w:r>
      <w:r>
        <w:rPr>
          <w:rFonts w:eastAsia="Times New Roman" w:cs="Times New Roman"/>
          <w:kern w:val="0"/>
          <w:lang w:eastAsia="en-US" w:bidi="ar-SA"/>
        </w:rPr>
        <w:t>činiteľa</w:t>
      </w:r>
      <w:r w:rsidRPr="00112614">
        <w:rPr>
          <w:rFonts w:eastAsia="Times New Roman" w:cs="Times New Roman"/>
          <w:kern w:val="0"/>
          <w:lang w:eastAsia="en-US" w:bidi="ar-SA"/>
        </w:rPr>
        <w:t xml:space="preserve">, ak verejný </w:t>
      </w:r>
      <w:r>
        <w:rPr>
          <w:rFonts w:eastAsia="Times New Roman" w:cs="Times New Roman"/>
          <w:kern w:val="0"/>
          <w:lang w:eastAsia="en-US" w:bidi="ar-SA"/>
        </w:rPr>
        <w:t xml:space="preserve">činiteľ </w:t>
      </w:r>
      <w:r w:rsidRPr="00112614">
        <w:rPr>
          <w:rFonts w:eastAsia="Times New Roman" w:cs="Times New Roman"/>
          <w:kern w:val="0"/>
          <w:lang w:eastAsia="en-US" w:bidi="ar-SA"/>
        </w:rPr>
        <w:t>uvedie v</w:t>
      </w:r>
      <w:r>
        <w:rPr>
          <w:rFonts w:eastAsia="Times New Roman" w:cs="Times New Roman"/>
          <w:kern w:val="0"/>
          <w:lang w:eastAsia="en-US" w:bidi="ar-SA"/>
        </w:rPr>
        <w:t xml:space="preserve"> majetkovom priznaní </w:t>
      </w:r>
      <w:r w:rsidR="003D1BBA">
        <w:rPr>
          <w:rFonts w:eastAsia="Times New Roman" w:cs="Times New Roman"/>
          <w:kern w:val="0"/>
          <w:lang w:eastAsia="en-US" w:bidi="ar-SA"/>
        </w:rPr>
        <w:t>neúplné alebo nepravdivé údaje.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bidi w:val="0"/>
        <w:jc w:val="both"/>
      </w:pPr>
      <w:r>
        <w:rPr>
          <w:rFonts w:hint="default"/>
        </w:rPr>
        <w:t>(2) Pokutu podľ</w:t>
      </w:r>
      <w:r>
        <w:rPr>
          <w:rFonts w:hint="default"/>
        </w:rPr>
        <w:t xml:space="preserve">a odseku 1 </w:t>
      </w:r>
      <w:r w:rsidRPr="00F47F9A">
        <w:rPr>
          <w:rFonts w:hint="default"/>
        </w:rPr>
        <w:t>mož</w:t>
      </w:r>
      <w:r w:rsidRPr="00F47F9A">
        <w:rPr>
          <w:rFonts w:hint="default"/>
        </w:rPr>
        <w:t>no ulož</w:t>
      </w:r>
      <w:r w:rsidRPr="00F47F9A">
        <w:rPr>
          <w:rFonts w:hint="default"/>
        </w:rPr>
        <w:t>iť</w:t>
      </w:r>
      <w:r w:rsidRPr="00F47F9A">
        <w:rPr>
          <w:rFonts w:hint="default"/>
        </w:rPr>
        <w:t xml:space="preserve"> aj opakovane, a </w:t>
      </w:r>
      <w:r w:rsidRPr="00F47F9A">
        <w:rPr>
          <w:rFonts w:hint="default"/>
        </w:rPr>
        <w:t>to za kaž</w:t>
      </w:r>
      <w:r w:rsidRPr="00F47F9A">
        <w:rPr>
          <w:rFonts w:hint="default"/>
        </w:rPr>
        <w:t>dý</w:t>
      </w:r>
      <w:r w:rsidRPr="00F47F9A">
        <w:rPr>
          <w:rFonts w:hint="default"/>
        </w:rPr>
        <w:t>ch 180</w:t>
      </w:r>
      <w:r w:rsidRPr="00F47F9A">
        <w:rPr>
          <w:color w:val="FF0000"/>
        </w:rPr>
        <w:t xml:space="preserve"> </w:t>
      </w:r>
      <w:r w:rsidRPr="00F47F9A">
        <w:rPr>
          <w:rFonts w:hint="default"/>
        </w:rPr>
        <w:t>dní</w:t>
      </w:r>
      <w:r w:rsidRPr="00F47F9A">
        <w:rPr>
          <w:rFonts w:hint="default"/>
        </w:rPr>
        <w:t xml:space="preserve"> od prá</w:t>
      </w:r>
      <w:r w:rsidRPr="00F47F9A">
        <w:rPr>
          <w:rFonts w:hint="default"/>
        </w:rPr>
        <w:t>voplatnosti rozhodnutia, ak verejný</w:t>
      </w:r>
      <w:r w:rsidRPr="00F47F9A">
        <w:rPr>
          <w:rFonts w:hint="default"/>
        </w:rPr>
        <w:t xml:space="preserve"> </w:t>
      </w:r>
      <w:r>
        <w:rPr>
          <w:rFonts w:hint="default"/>
        </w:rPr>
        <w:t>č</w:t>
      </w:r>
      <w:r>
        <w:rPr>
          <w:rFonts w:hint="default"/>
        </w:rPr>
        <w:t>initeľ</w:t>
      </w:r>
      <w:r>
        <w:rPr>
          <w:rFonts w:hint="default"/>
        </w:rPr>
        <w:t xml:space="preserve"> </w:t>
      </w:r>
      <w:r w:rsidRPr="00F47F9A">
        <w:rPr>
          <w:rFonts w:hint="default"/>
        </w:rPr>
        <w:t>do 180 dní</w:t>
      </w:r>
      <w:r w:rsidRPr="00F47F9A">
        <w:rPr>
          <w:rFonts w:hint="default"/>
        </w:rPr>
        <w:t xml:space="preserve"> od prá</w:t>
      </w:r>
      <w:r w:rsidRPr="00F47F9A">
        <w:rPr>
          <w:rFonts w:hint="default"/>
        </w:rPr>
        <w:t>voplatnosti tohto rozhodnutia neurobil ž</w:t>
      </w:r>
      <w:r w:rsidRPr="00F47F9A">
        <w:rPr>
          <w:rFonts w:hint="default"/>
        </w:rPr>
        <w:t>iadne ú</w:t>
      </w:r>
      <w:r w:rsidRPr="00F47F9A">
        <w:rPr>
          <w:rFonts w:hint="default"/>
        </w:rPr>
        <w:t>kony smerujú</w:t>
      </w:r>
      <w:r w:rsidRPr="00F47F9A">
        <w:rPr>
          <w:rFonts w:hint="default"/>
        </w:rPr>
        <w:t>ce k </w:t>
      </w:r>
      <w:r w:rsidRPr="00F47F9A">
        <w:rPr>
          <w:rFonts w:hint="default"/>
        </w:rPr>
        <w:t>ná</w:t>
      </w:r>
      <w:r w:rsidRPr="00F47F9A">
        <w:rPr>
          <w:rFonts w:hint="default"/>
        </w:rPr>
        <w:t>prave protiprá</w:t>
      </w:r>
      <w:r w:rsidRPr="00F47F9A">
        <w:rPr>
          <w:rFonts w:hint="default"/>
        </w:rPr>
        <w:t>vneho stavu</w:t>
      </w:r>
      <w:r w:rsidRPr="00F47F9A">
        <w:rPr>
          <w:b/>
          <w:i/>
          <w:color w:val="FF0000"/>
        </w:rPr>
        <w:t xml:space="preserve"> </w:t>
      </w:r>
      <w:r w:rsidRPr="00F47F9A">
        <w:rPr>
          <w:rFonts w:hint="default"/>
        </w:rPr>
        <w:t>okrem prí</w:t>
      </w:r>
      <w:r w:rsidRPr="00F47F9A">
        <w:rPr>
          <w:rFonts w:hint="default"/>
        </w:rPr>
        <w:t>padov, ked</w:t>
      </w:r>
      <w:r w:rsidRPr="00F47F9A">
        <w:rPr>
          <w:rFonts w:hint="default"/>
        </w:rPr>
        <w:t>y verejný</w:t>
      </w:r>
      <w:r w:rsidRPr="00F47F9A">
        <w:rPr>
          <w:rFonts w:hint="default"/>
        </w:rPr>
        <w:t xml:space="preserve"> </w:t>
      </w:r>
      <w:r>
        <w:rPr>
          <w:rFonts w:hint="default"/>
        </w:rPr>
        <w:t>č</w:t>
      </w:r>
      <w:r>
        <w:rPr>
          <w:rFonts w:hint="default"/>
        </w:rPr>
        <w:t>initeľ</w:t>
      </w:r>
      <w:r>
        <w:rPr>
          <w:rFonts w:hint="default"/>
        </w:rPr>
        <w:t xml:space="preserve"> n</w:t>
      </w:r>
      <w:r w:rsidRPr="00F47F9A">
        <w:rPr>
          <w:rFonts w:hint="default"/>
        </w:rPr>
        <w:t>emôž</w:t>
      </w:r>
      <w:r w:rsidRPr="00F47F9A">
        <w:rPr>
          <w:rFonts w:hint="default"/>
        </w:rPr>
        <w:t>e odstrá</w:t>
      </w:r>
      <w:r w:rsidRPr="00F47F9A">
        <w:rPr>
          <w:rFonts w:hint="default"/>
        </w:rPr>
        <w:t>niť</w:t>
      </w:r>
      <w:r w:rsidRPr="00F47F9A">
        <w:rPr>
          <w:rFonts w:hint="default"/>
        </w:rPr>
        <w:t xml:space="preserve"> protiprá</w:t>
      </w:r>
      <w:r w:rsidRPr="00F47F9A">
        <w:rPr>
          <w:rFonts w:hint="default"/>
        </w:rPr>
        <w:t>vny stav z </w:t>
      </w:r>
      <w:r w:rsidRPr="00F47F9A">
        <w:rPr>
          <w:rFonts w:hint="default"/>
        </w:rPr>
        <w:t>váž</w:t>
      </w:r>
      <w:r w:rsidRPr="00F47F9A">
        <w:rPr>
          <w:rFonts w:hint="default"/>
        </w:rPr>
        <w:t>nych dô</w:t>
      </w:r>
      <w:r w:rsidRPr="00F47F9A">
        <w:rPr>
          <w:rFonts w:hint="default"/>
        </w:rPr>
        <w:t>vodov, ktoré</w:t>
      </w:r>
      <w:r w:rsidRPr="00F47F9A">
        <w:rPr>
          <w:rFonts w:hint="default"/>
        </w:rPr>
        <w:t xml:space="preserve"> posú</w:t>
      </w:r>
      <w:r w:rsidRPr="00F47F9A">
        <w:rPr>
          <w:rFonts w:hint="default"/>
        </w:rPr>
        <w:t xml:space="preserve">di </w:t>
      </w:r>
      <w:r>
        <w:rPr>
          <w:rFonts w:hint="default"/>
        </w:rPr>
        <w:t>dohliadajú</w:t>
      </w:r>
      <w:r>
        <w:rPr>
          <w:rFonts w:hint="default"/>
        </w:rPr>
        <w:t xml:space="preserve">ci </w:t>
      </w:r>
      <w:r w:rsidRPr="00F47F9A">
        <w:rPr>
          <w:rFonts w:hint="default"/>
        </w:rPr>
        <w:t>orgá</w:t>
      </w:r>
      <w:r w:rsidRPr="00F47F9A">
        <w:rPr>
          <w:rFonts w:hint="default"/>
        </w:rPr>
        <w:t>n.</w:t>
      </w:r>
    </w:p>
    <w:p w:rsidR="000E1573" w:rsidP="000E1573">
      <w:pPr>
        <w:bidi w:val="0"/>
        <w:jc w:val="both"/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(3) Vý</w:t>
      </w:r>
      <w:r>
        <w:rPr>
          <w:rFonts w:hint="default"/>
        </w:rPr>
        <w:t>nos z pokú</w:t>
      </w:r>
      <w:r>
        <w:rPr>
          <w:rFonts w:hint="default"/>
        </w:rPr>
        <w:t>t zaplatený</w:t>
      </w:r>
      <w:r>
        <w:rPr>
          <w:rFonts w:hint="default"/>
        </w:rPr>
        <w:t>ch verejný</w:t>
      </w:r>
      <w:r>
        <w:rPr>
          <w:rFonts w:hint="default"/>
        </w:rPr>
        <w:t>mi č</w:t>
      </w:r>
      <w:r>
        <w:rPr>
          <w:rFonts w:hint="default"/>
        </w:rPr>
        <w:t>initeľ</w:t>
      </w:r>
      <w:r>
        <w:rPr>
          <w:rFonts w:hint="default"/>
        </w:rPr>
        <w:t>mi je prí</w:t>
      </w:r>
      <w:r>
        <w:rPr>
          <w:rFonts w:hint="default"/>
        </w:rPr>
        <w:t>jmom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tu.</w:t>
      </w:r>
    </w:p>
    <w:p w:rsidR="000E1573" w:rsidP="000E1573">
      <w:pPr>
        <w:bidi w:val="0"/>
        <w:jc w:val="center"/>
      </w:pPr>
    </w:p>
    <w:p w:rsidR="000E1573" w:rsidP="000E1573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8</w:t>
      </w:r>
    </w:p>
    <w:p w:rsidR="000E1573" w:rsidP="000E1573">
      <w:pPr>
        <w:bidi w:val="0"/>
        <w:jc w:val="center"/>
        <w:rPr>
          <w:rFonts w:hint="default"/>
        </w:rPr>
      </w:pPr>
      <w:r>
        <w:rPr>
          <w:rFonts w:hint="default"/>
        </w:rPr>
        <w:t>Opravný</w:t>
      </w:r>
      <w:r>
        <w:rPr>
          <w:rFonts w:hint="default"/>
        </w:rPr>
        <w:t xml:space="preserve"> prostriedok</w:t>
      </w:r>
    </w:p>
    <w:p w:rsidR="000E1573" w:rsidP="000E1573">
      <w:pPr>
        <w:bidi w:val="0"/>
        <w:jc w:val="both"/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Proti rozhodnutiu dohliadajúceho orgánu môže verejný činiteľ a oznamovateľ podať opravný prostriedok podľa tretej hlavy piatej časti Občianskeho súdneho poriadku.</w:t>
      </w:r>
    </w:p>
    <w:p w:rsidR="000E1573" w:rsidP="000E1573">
      <w:pPr>
        <w:bidi w:val="0"/>
        <w:jc w:val="both"/>
      </w:pPr>
    </w:p>
    <w:p w:rsidR="000E1573" w:rsidP="000E1573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9</w:t>
      </w:r>
    </w:p>
    <w:p w:rsidR="000E1573" w:rsidP="000E1573">
      <w:pPr>
        <w:bidi w:val="0"/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(1) Prá</w:t>
      </w:r>
      <w:r>
        <w:rPr>
          <w:rFonts w:hint="default"/>
        </w:rPr>
        <w:t>voplatné</w:t>
      </w:r>
      <w:r>
        <w:rPr>
          <w:rFonts w:hint="default"/>
        </w:rPr>
        <w:t xml:space="preserve"> rozhodnutie, ktorý</w:t>
      </w:r>
      <w:r>
        <w:rPr>
          <w:rFonts w:hint="default"/>
        </w:rPr>
        <w:t>m bola verejné</w:t>
      </w:r>
      <w:r>
        <w:rPr>
          <w:rFonts w:hint="default"/>
        </w:rPr>
        <w:t>mu č</w:t>
      </w:r>
      <w:r>
        <w:rPr>
          <w:rFonts w:hint="default"/>
        </w:rPr>
        <w:t>initeľ</w:t>
      </w:r>
      <w:r>
        <w:rPr>
          <w:rFonts w:hint="default"/>
        </w:rPr>
        <w:t>ovi ulož</w:t>
      </w:r>
      <w:r>
        <w:rPr>
          <w:rFonts w:hint="default"/>
        </w:rPr>
        <w:t>ená</w:t>
      </w:r>
      <w:r>
        <w:rPr>
          <w:rFonts w:hint="default"/>
        </w:rPr>
        <w:t xml:space="preserve"> pokuta podľ</w:t>
      </w:r>
      <w:r>
        <w:rPr>
          <w:rFonts w:hint="default"/>
        </w:rPr>
        <w:t>a §</w:t>
      </w:r>
      <w:r>
        <w:rPr>
          <w:rFonts w:hint="default"/>
        </w:rPr>
        <w:t xml:space="preserve"> 7 ods. 1, predstavuje</w:t>
      </w:r>
    </w:p>
    <w:p w:rsidR="000E1573" w:rsidP="000E1573">
      <w:pPr>
        <w:bidi w:val="0"/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a) discipliná</w:t>
      </w:r>
      <w:r>
        <w:rPr>
          <w:rFonts w:hint="default"/>
        </w:rPr>
        <w:t xml:space="preserve">rne </w:t>
      </w:r>
      <w:r>
        <w:rPr>
          <w:rFonts w:hint="default"/>
        </w:rPr>
        <w:t>previnenie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a) až</w:t>
      </w:r>
      <w:r>
        <w:rPr>
          <w:rFonts w:hint="default"/>
        </w:rPr>
        <w:t xml:space="preserve"> c),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b) poruš</w:t>
      </w:r>
      <w:r>
        <w:rPr>
          <w:rFonts w:hint="default"/>
        </w:rPr>
        <w:t>enie služ</w:t>
      </w:r>
      <w:r>
        <w:rPr>
          <w:rFonts w:hint="default"/>
        </w:rPr>
        <w:t>obnej povinnosti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d) a e),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c) služ</w:t>
      </w:r>
      <w:r>
        <w:rPr>
          <w:rFonts w:hint="default"/>
        </w:rPr>
        <w:t>obné</w:t>
      </w:r>
      <w:r>
        <w:rPr>
          <w:rFonts w:hint="default"/>
        </w:rPr>
        <w:t xml:space="preserve"> previnenie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f),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d) poruš</w:t>
      </w:r>
      <w:r>
        <w:rPr>
          <w:rFonts w:hint="default"/>
        </w:rPr>
        <w:t>enie zá</w:t>
      </w:r>
      <w:r>
        <w:rPr>
          <w:rFonts w:hint="default"/>
        </w:rPr>
        <w:t>kla</w:t>
      </w:r>
      <w:r>
        <w:rPr>
          <w:rFonts w:hint="default"/>
        </w:rPr>
        <w:t>dnej povinnosti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g),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e) poruš</w:t>
      </w:r>
      <w:r>
        <w:rPr>
          <w:rFonts w:hint="default"/>
        </w:rPr>
        <w:t>enie služ</w:t>
      </w:r>
      <w:r>
        <w:rPr>
          <w:rFonts w:hint="default"/>
        </w:rPr>
        <w:t>obnej disciplí</w:t>
      </w:r>
      <w:r>
        <w:rPr>
          <w:rFonts w:hint="default"/>
        </w:rPr>
        <w:t>ny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h) až </w:t>
      </w:r>
      <w:r>
        <w:rPr>
          <w:rFonts w:hint="default"/>
        </w:rPr>
        <w:t>k).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(2) Prá</w:t>
      </w:r>
      <w:r>
        <w:rPr>
          <w:rFonts w:hint="default"/>
        </w:rPr>
        <w:t>voplatné</w:t>
      </w:r>
      <w:r>
        <w:rPr>
          <w:rFonts w:hint="default"/>
        </w:rPr>
        <w:t xml:space="preserve"> rozhodnutie, ktorý</w:t>
      </w:r>
      <w:r>
        <w:rPr>
          <w:rFonts w:hint="default"/>
        </w:rPr>
        <w:t>m bola verejné</w:t>
      </w:r>
      <w:r>
        <w:rPr>
          <w:rFonts w:hint="default"/>
        </w:rPr>
        <w:t>mu č</w:t>
      </w:r>
      <w:r>
        <w:rPr>
          <w:rFonts w:hint="default"/>
        </w:rPr>
        <w:t>initeľ</w:t>
      </w:r>
      <w:r>
        <w:rPr>
          <w:rFonts w:hint="default"/>
        </w:rPr>
        <w:t>ovi ulož</w:t>
      </w:r>
      <w:r>
        <w:rPr>
          <w:rFonts w:hint="default"/>
        </w:rPr>
        <w:t>ená</w:t>
      </w:r>
      <w:r>
        <w:rPr>
          <w:rFonts w:hint="default"/>
        </w:rPr>
        <w:t xml:space="preserve"> opä</w:t>
      </w:r>
      <w:r>
        <w:rPr>
          <w:rFonts w:hint="default"/>
        </w:rPr>
        <w:t>tovná</w:t>
      </w:r>
      <w:r>
        <w:rPr>
          <w:rFonts w:hint="default"/>
        </w:rPr>
        <w:t xml:space="preserve"> pokuta podľ</w:t>
      </w:r>
      <w:r>
        <w:rPr>
          <w:rFonts w:hint="default"/>
        </w:rPr>
        <w:t>a §</w:t>
      </w:r>
      <w:r>
        <w:rPr>
          <w:rFonts w:hint="default"/>
        </w:rPr>
        <w:t xml:space="preserve"> </w:t>
      </w:r>
      <w:r>
        <w:rPr>
          <w:rFonts w:hint="default"/>
        </w:rPr>
        <w:t>7 ods. 1 alebo pokuta podľ</w:t>
      </w:r>
      <w:r>
        <w:rPr>
          <w:rFonts w:hint="default"/>
        </w:rPr>
        <w:t>a §</w:t>
      </w:r>
      <w:r>
        <w:rPr>
          <w:rFonts w:hint="default"/>
        </w:rPr>
        <w:t xml:space="preserve"> 7 ods. 2 predstavuje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a)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discipliná</w:t>
      </w:r>
      <w:r>
        <w:rPr>
          <w:rFonts w:hint="default"/>
        </w:rPr>
        <w:t>rne previnenie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a) až</w:t>
      </w:r>
      <w:r>
        <w:rPr>
          <w:rFonts w:hint="default"/>
        </w:rPr>
        <w:t xml:space="preserve"> e),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b)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služ</w:t>
      </w:r>
      <w:r>
        <w:rPr>
          <w:rFonts w:hint="default"/>
        </w:rPr>
        <w:t>obné</w:t>
      </w:r>
      <w:r>
        <w:rPr>
          <w:rFonts w:hint="default"/>
        </w:rPr>
        <w:t xml:space="preserve"> previnenie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f),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c) z</w:t>
      </w:r>
      <w:r w:rsidRPr="00D00542">
        <w:rPr>
          <w:rFonts w:hint="default"/>
        </w:rPr>
        <w:t>á</w:t>
      </w:r>
      <w:r w:rsidRPr="00D00542">
        <w:rPr>
          <w:rFonts w:hint="default"/>
        </w:rPr>
        <w:t>važ</w:t>
      </w:r>
      <w:r w:rsidRPr="00D00542">
        <w:rPr>
          <w:rFonts w:hint="default"/>
        </w:rPr>
        <w:t>ný</w:t>
      </w:r>
      <w:r w:rsidRPr="00D00542">
        <w:rPr>
          <w:rFonts w:hint="default"/>
        </w:rPr>
        <w:t xml:space="preserve"> spô</w:t>
      </w:r>
      <w:r w:rsidRPr="00D00542">
        <w:rPr>
          <w:rFonts w:hint="default"/>
        </w:rPr>
        <w:t>sob poruš</w:t>
      </w:r>
      <w:r w:rsidRPr="00D00542">
        <w:rPr>
          <w:rFonts w:hint="default"/>
        </w:rPr>
        <w:t>en</w:t>
      </w:r>
      <w:r w:rsidRPr="00D00542">
        <w:rPr>
          <w:rFonts w:hint="default"/>
        </w:rPr>
        <w:t>ia zá</w:t>
      </w:r>
      <w:r w:rsidRPr="00D00542">
        <w:rPr>
          <w:rFonts w:hint="default"/>
        </w:rPr>
        <w:t>kladnej povinnosti</w:t>
      </w:r>
      <w:r>
        <w:rPr>
          <w:rFonts w:hint="default"/>
        </w:rPr>
        <w:t xml:space="preserve">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g),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d)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poruš</w:t>
      </w:r>
      <w:r>
        <w:rPr>
          <w:rFonts w:hint="default"/>
        </w:rPr>
        <w:t>enie služ</w:t>
      </w:r>
      <w:r>
        <w:rPr>
          <w:rFonts w:hint="default"/>
        </w:rPr>
        <w:t>obnej disciplí</w:t>
      </w:r>
      <w:r>
        <w:rPr>
          <w:rFonts w:hint="default"/>
        </w:rPr>
        <w:t>ny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uvedené</w:t>
      </w:r>
      <w:r>
        <w:rPr>
          <w:rFonts w:hint="default"/>
        </w:rPr>
        <w:t>ho v §</w:t>
      </w:r>
      <w:r>
        <w:rPr>
          <w:rFonts w:hint="default"/>
        </w:rPr>
        <w:t xml:space="preserve"> 2 ods. 1 pí</w:t>
      </w:r>
      <w:r>
        <w:rPr>
          <w:rFonts w:hint="default"/>
        </w:rPr>
        <w:t>sm. h) až</w:t>
      </w:r>
      <w:r>
        <w:rPr>
          <w:rFonts w:hint="default"/>
        </w:rPr>
        <w:t xml:space="preserve"> k).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10</w:t>
      </w:r>
    </w:p>
    <w:p w:rsidR="000E1573" w:rsidP="000E1573">
      <w:pPr>
        <w:bidi w:val="0"/>
        <w:jc w:val="center"/>
        <w:rPr>
          <w:rFonts w:hint="default"/>
        </w:rPr>
      </w:pPr>
      <w:r>
        <w:rPr>
          <w:rFonts w:hint="default"/>
        </w:rPr>
        <w:t>Spoloč</w:t>
      </w:r>
      <w:r>
        <w:rPr>
          <w:rFonts w:hint="default"/>
        </w:rPr>
        <w:t>né</w:t>
      </w:r>
      <w:r>
        <w:rPr>
          <w:rFonts w:hint="default"/>
        </w:rPr>
        <w:t xml:space="preserve"> ustanovenia</w:t>
      </w:r>
    </w:p>
    <w:p w:rsidR="000E1573" w:rsidP="000E1573">
      <w:pPr>
        <w:bidi w:val="0"/>
        <w:jc w:val="both"/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(1) Orgá</w:t>
      </w:r>
      <w:r>
        <w:rPr>
          <w:rFonts w:hint="default"/>
        </w:rPr>
        <w:t xml:space="preserve">ny verejnej moci </w:t>
      </w:r>
      <w:r w:rsidRPr="00DD1229">
        <w:rPr>
          <w:rFonts w:hint="default"/>
        </w:rPr>
        <w:t>a prá</w:t>
      </w:r>
      <w:r w:rsidRPr="00DD1229">
        <w:rPr>
          <w:rFonts w:hint="default"/>
        </w:rPr>
        <w:t>vnické</w:t>
      </w:r>
      <w:r w:rsidRPr="00DD1229">
        <w:rPr>
          <w:rFonts w:hint="default"/>
        </w:rPr>
        <w:t xml:space="preserve"> osoby sú</w:t>
      </w:r>
      <w:r w:rsidRPr="00DD1229">
        <w:rPr>
          <w:rFonts w:hint="default"/>
        </w:rPr>
        <w:t xml:space="preserve"> povin</w:t>
      </w:r>
      <w:r w:rsidRPr="00DD1229">
        <w:rPr>
          <w:rFonts w:hint="default"/>
        </w:rPr>
        <w:t>né</w:t>
      </w:r>
      <w:r w:rsidRPr="00DD1229">
        <w:rPr>
          <w:rFonts w:hint="default"/>
        </w:rPr>
        <w:t xml:space="preserve"> poskytnúť</w:t>
      </w:r>
      <w:r w:rsidRPr="00DD1229">
        <w:rPr>
          <w:rFonts w:hint="default"/>
        </w:rPr>
        <w:t xml:space="preserve"> súč</w:t>
      </w:r>
      <w:r w:rsidRPr="00DD1229">
        <w:rPr>
          <w:rFonts w:hint="default"/>
        </w:rPr>
        <w:t>innosť</w:t>
      </w:r>
      <w:r w:rsidRPr="00DD1229">
        <w:rPr>
          <w:rFonts w:hint="default"/>
        </w:rPr>
        <w:t xml:space="preserve"> </w:t>
      </w:r>
      <w:r>
        <w:rPr>
          <w:rFonts w:hint="default"/>
        </w:rPr>
        <w:t>dohliadajú</w:t>
      </w:r>
      <w:r>
        <w:rPr>
          <w:rFonts w:hint="default"/>
        </w:rPr>
        <w:t>cim orgá</w:t>
      </w:r>
      <w:r>
        <w:rPr>
          <w:rFonts w:hint="default"/>
        </w:rPr>
        <w:t>nom pri plnení</w:t>
      </w:r>
      <w:r>
        <w:rPr>
          <w:rFonts w:hint="default"/>
        </w:rPr>
        <w:t xml:space="preserve"> ich ú</w:t>
      </w:r>
      <w:r>
        <w:rPr>
          <w:rFonts w:hint="default"/>
        </w:rPr>
        <w:t>loh, ktoré</w:t>
      </w:r>
      <w:r>
        <w:rPr>
          <w:rFonts w:hint="default"/>
        </w:rPr>
        <w:t xml:space="preserve"> sú</w:t>
      </w:r>
      <w:r>
        <w:rPr>
          <w:rFonts w:hint="default"/>
        </w:rPr>
        <w:t>visia s </w:t>
      </w:r>
      <w:r>
        <w:rPr>
          <w:rFonts w:hint="default"/>
        </w:rPr>
        <w:t>konaní</w:t>
      </w:r>
      <w:r>
        <w:rPr>
          <w:rFonts w:hint="default"/>
        </w:rPr>
        <w:t>m vo veci majetkové</w:t>
      </w:r>
      <w:r>
        <w:rPr>
          <w:rFonts w:hint="default"/>
        </w:rPr>
        <w:t>ho priznania.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P="000E1573">
      <w:pPr>
        <w:bidi w:val="0"/>
        <w:jc w:val="both"/>
        <w:rPr>
          <w:rFonts w:hint="default"/>
        </w:rPr>
      </w:pPr>
      <w:r>
        <w:rPr>
          <w:rFonts w:hint="default"/>
        </w:rPr>
        <w:t>(2) Na úč</w:t>
      </w:r>
      <w:r>
        <w:rPr>
          <w:rFonts w:hint="default"/>
        </w:rPr>
        <w:t>ely tohto zá</w:t>
      </w:r>
      <w:r>
        <w:rPr>
          <w:rFonts w:hint="default"/>
        </w:rPr>
        <w:t>kona sa mesač</w:t>
      </w:r>
      <w:r>
        <w:rPr>
          <w:rFonts w:hint="default"/>
        </w:rPr>
        <w:t>ný</w:t>
      </w:r>
      <w:r>
        <w:rPr>
          <w:rFonts w:hint="default"/>
        </w:rPr>
        <w:t>m platom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 rozumie jedna dvaná</w:t>
      </w:r>
      <w:r>
        <w:rPr>
          <w:rFonts w:hint="default"/>
        </w:rPr>
        <w:t>stina z jeho roč</w:t>
      </w:r>
      <w:r>
        <w:rPr>
          <w:rFonts w:hint="default"/>
        </w:rPr>
        <w:t>né</w:t>
      </w:r>
      <w:r>
        <w:rPr>
          <w:rFonts w:hint="default"/>
        </w:rPr>
        <w:t>ho prí</w:t>
      </w:r>
      <w:r>
        <w:rPr>
          <w:rFonts w:hint="default"/>
        </w:rPr>
        <w:t>jmu za predchá</w:t>
      </w:r>
      <w:r>
        <w:rPr>
          <w:rFonts w:hint="default"/>
        </w:rPr>
        <w:t>dzajú</w:t>
      </w:r>
      <w:r>
        <w:rPr>
          <w:rFonts w:hint="default"/>
        </w:rPr>
        <w:t>ci kalen</w:t>
      </w:r>
      <w:r>
        <w:rPr>
          <w:rFonts w:hint="default"/>
        </w:rPr>
        <w:t>dá</w:t>
      </w:r>
      <w:r>
        <w:rPr>
          <w:rFonts w:hint="default"/>
        </w:rPr>
        <w:t>rny rok za vý</w:t>
      </w:r>
      <w:r>
        <w:rPr>
          <w:rFonts w:hint="default"/>
        </w:rPr>
        <w:t>kon funkcie uvedenej v §</w:t>
      </w:r>
      <w:r>
        <w:rPr>
          <w:rFonts w:hint="default"/>
        </w:rPr>
        <w:t xml:space="preserve"> 2 ods. 1.</w:t>
      </w:r>
    </w:p>
    <w:p w:rsidR="000E1573" w:rsidP="000E1573">
      <w:pPr>
        <w:bidi w:val="0"/>
        <w:jc w:val="both"/>
        <w:rPr>
          <w:rFonts w:hint="default"/>
        </w:rPr>
      </w:pPr>
    </w:p>
    <w:p w:rsidR="000E1573" w:rsidRPr="00F47F9A" w:rsidP="000E1573">
      <w:pPr>
        <w:bidi w:val="0"/>
        <w:jc w:val="both"/>
      </w:pPr>
      <w:r>
        <w:rPr>
          <w:rFonts w:hint="default"/>
        </w:rPr>
        <w:t>(3) V prí</w:t>
      </w:r>
      <w:r>
        <w:rPr>
          <w:rFonts w:hint="default"/>
        </w:rPr>
        <w:t>pade, ak mesač</w:t>
      </w:r>
      <w:r>
        <w:rPr>
          <w:rFonts w:hint="default"/>
        </w:rPr>
        <w:t>ný</w:t>
      </w:r>
      <w:r>
        <w:rPr>
          <w:rFonts w:hint="default"/>
        </w:rPr>
        <w:t xml:space="preserve"> plat verejné</w:t>
      </w:r>
      <w:r>
        <w:rPr>
          <w:rFonts w:hint="default"/>
        </w:rPr>
        <w:t>ho č</w:t>
      </w:r>
      <w:r>
        <w:rPr>
          <w:rFonts w:hint="default"/>
        </w:rPr>
        <w:t>initeľ</w:t>
      </w:r>
      <w:r>
        <w:rPr>
          <w:rFonts w:hint="default"/>
        </w:rPr>
        <w:t>a, voč</w:t>
      </w:r>
      <w:r>
        <w:rPr>
          <w:rFonts w:hint="default"/>
        </w:rPr>
        <w:t>i ktoré</w:t>
      </w:r>
      <w:r>
        <w:rPr>
          <w:rFonts w:hint="default"/>
        </w:rPr>
        <w:t>mu vedie konanie dohliadajú</w:t>
      </w:r>
      <w:r>
        <w:rPr>
          <w:rFonts w:hint="default"/>
        </w:rPr>
        <w:t>ci orgá</w:t>
      </w:r>
      <w:r>
        <w:rPr>
          <w:rFonts w:hint="default"/>
        </w:rPr>
        <w:t>n je nižší</w:t>
      </w:r>
      <w:r>
        <w:rPr>
          <w:rFonts w:hint="default"/>
        </w:rPr>
        <w:t xml:space="preserve"> ako priemerná</w:t>
      </w:r>
      <w:r>
        <w:rPr>
          <w:rFonts w:hint="default"/>
        </w:rPr>
        <w:t xml:space="preserve"> mesač</w:t>
      </w:r>
      <w:r>
        <w:rPr>
          <w:rFonts w:hint="default"/>
        </w:rPr>
        <w:t>ná</w:t>
      </w:r>
      <w:r>
        <w:rPr>
          <w:rFonts w:hint="default"/>
        </w:rPr>
        <w:t xml:space="preserve"> nominá</w:t>
      </w:r>
      <w:r>
        <w:rPr>
          <w:rFonts w:hint="default"/>
        </w:rPr>
        <w:t>lna mzda v hospodá</w:t>
      </w:r>
      <w:r>
        <w:rPr>
          <w:rFonts w:hint="default"/>
        </w:rPr>
        <w:t>rstve Slovenskej republiky za predchá</w:t>
      </w:r>
      <w:r>
        <w:rPr>
          <w:rFonts w:hint="default"/>
        </w:rPr>
        <w:t>dzajú</w:t>
      </w:r>
      <w:r>
        <w:rPr>
          <w:rFonts w:hint="default"/>
        </w:rPr>
        <w:t xml:space="preserve">ci </w:t>
      </w:r>
      <w:r>
        <w:rPr>
          <w:rFonts w:hint="default"/>
        </w:rPr>
        <w:t>kalendá</w:t>
      </w:r>
      <w:r>
        <w:rPr>
          <w:rFonts w:hint="default"/>
        </w:rPr>
        <w:t>rny rok, pri vý</w:t>
      </w:r>
      <w:r>
        <w:rPr>
          <w:rFonts w:hint="default"/>
        </w:rPr>
        <w:t>poč</w:t>
      </w:r>
      <w:r>
        <w:rPr>
          <w:rFonts w:hint="default"/>
        </w:rPr>
        <w:t>te sumy podľ</w:t>
      </w:r>
      <w:r>
        <w:rPr>
          <w:rFonts w:hint="default"/>
        </w:rPr>
        <w:t>a §</w:t>
      </w:r>
      <w:r>
        <w:rPr>
          <w:rFonts w:hint="default"/>
        </w:rPr>
        <w:t xml:space="preserve"> 6 ods. 2 sa za mesač</w:t>
      </w:r>
      <w:r>
        <w:rPr>
          <w:rFonts w:hint="default"/>
        </w:rPr>
        <w:t>ný</w:t>
      </w:r>
      <w:r>
        <w:rPr>
          <w:rFonts w:hint="default"/>
        </w:rPr>
        <w:t xml:space="preserve"> plat považ</w:t>
      </w:r>
      <w:r>
        <w:rPr>
          <w:rFonts w:hint="default"/>
        </w:rPr>
        <w:t>uje priemerná</w:t>
      </w:r>
      <w:r>
        <w:rPr>
          <w:rFonts w:hint="default"/>
        </w:rPr>
        <w:t xml:space="preserve"> nominá</w:t>
      </w:r>
      <w:r>
        <w:rPr>
          <w:rFonts w:hint="default"/>
        </w:rPr>
        <w:t>lna mesač</w:t>
      </w:r>
      <w:r>
        <w:rPr>
          <w:rFonts w:hint="default"/>
        </w:rPr>
        <w:t>ná</w:t>
      </w:r>
      <w:r>
        <w:rPr>
          <w:rFonts w:hint="default"/>
        </w:rPr>
        <w:t xml:space="preserve"> mzda v hospodá</w:t>
      </w:r>
      <w:r>
        <w:rPr>
          <w:rFonts w:hint="default"/>
        </w:rPr>
        <w:t>rstve Slovenskej republiky za uplynulý</w:t>
      </w:r>
      <w:r>
        <w:rPr>
          <w:rFonts w:hint="default"/>
        </w:rPr>
        <w:t xml:space="preserve"> kalendá</w:t>
      </w:r>
      <w:r>
        <w:rPr>
          <w:rFonts w:hint="default"/>
        </w:rPr>
        <w:t>rny rok.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(4) Verejných činiteľov podľa § 2 ods. 1 písm. i) a k) určí vnútorným predpisom vedúci štátny zamestnanec a vedúci zamestnanec najneskôr do 31. januára kalendárneho roku, v ktorom verejní činitelia podávajú majetkové priznanie podľa tohto zákona.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(5) </w:t>
      </w:r>
      <w:r w:rsidRPr="00991DD6">
        <w:rPr>
          <w:rFonts w:eastAsia="Times New Roman" w:cs="Times New Roman"/>
          <w:kern w:val="0"/>
          <w:lang w:eastAsia="en-US" w:bidi="ar-SA"/>
        </w:rPr>
        <w:t xml:space="preserve">Ak tento zákon neustanovuje inak, na konanie </w:t>
      </w:r>
      <w:r>
        <w:rPr>
          <w:rFonts w:eastAsia="Times New Roman" w:cs="Times New Roman"/>
          <w:kern w:val="0"/>
          <w:lang w:eastAsia="en-US" w:bidi="ar-SA"/>
        </w:rPr>
        <w:t>v</w:t>
      </w:r>
      <w:r w:rsidRPr="00991DD6">
        <w:rPr>
          <w:rFonts w:eastAsia="Times New Roman" w:cs="Times New Roman"/>
          <w:kern w:val="0"/>
          <w:lang w:eastAsia="en-US" w:bidi="ar-SA"/>
        </w:rPr>
        <w:t xml:space="preserve">o </w:t>
      </w:r>
      <w:r>
        <w:rPr>
          <w:rFonts w:eastAsia="Times New Roman" w:cs="Times New Roman"/>
          <w:kern w:val="0"/>
          <w:lang w:eastAsia="en-US" w:bidi="ar-SA"/>
        </w:rPr>
        <w:t xml:space="preserve">veci majetkového priznania </w:t>
      </w:r>
      <w:r w:rsidRPr="00991DD6">
        <w:rPr>
          <w:rFonts w:eastAsia="Times New Roman" w:cs="Times New Roman"/>
          <w:kern w:val="0"/>
          <w:lang w:eastAsia="en-US" w:bidi="ar-SA"/>
        </w:rPr>
        <w:t>sa primerane vzťahujú všeobecn</w:t>
      </w:r>
      <w:r>
        <w:rPr>
          <w:rFonts w:eastAsia="Times New Roman" w:cs="Times New Roman"/>
          <w:kern w:val="0"/>
          <w:lang w:eastAsia="en-US" w:bidi="ar-SA"/>
        </w:rPr>
        <w:t>é predpisy o správnom konaní.</w:t>
      </w:r>
      <w:r>
        <w:rPr>
          <w:rStyle w:val="FootnoteReference"/>
          <w:rFonts w:eastAsia="Times New Roman"/>
          <w:kern w:val="0"/>
          <w:rtl w:val="0"/>
          <w:lang w:eastAsia="en-US" w:bidi="ar-SA"/>
        </w:rPr>
        <w:footnoteReference w:id="14"/>
      </w:r>
      <w:r>
        <w:rPr>
          <w:rFonts w:eastAsia="Times New Roman" w:cs="Times New Roman"/>
          <w:kern w:val="0"/>
          <w:lang w:eastAsia="en-US" w:bidi="ar-SA"/>
        </w:rPr>
        <w:t>)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11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Prechodné a záverečné ustanovenia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9B0384" w:rsidP="009B0384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="000E1573">
        <w:rPr>
          <w:rFonts w:eastAsia="Times New Roman" w:cs="Times New Roman"/>
          <w:kern w:val="0"/>
          <w:lang w:eastAsia="en-US" w:bidi="ar-SA"/>
        </w:rPr>
        <w:t>Majetkové priznania verejných činiteľov za rok 2015 sa podávajú podľa tohto zákona.</w:t>
      </w:r>
    </w:p>
    <w:p w:rsidR="009B0384" w:rsidP="009B0384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Príloha č. 1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left="5664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Príloha č. 1 k zákonu č. ...../2015 Z. z. o majetkových priznaniach niektorých verejných činiteľov a o zmene a doplnení niektorých zákonov.</w:t>
      </w:r>
    </w:p>
    <w:p w:rsidR="009B0384" w:rsidP="009B0384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9B0384">
      <w:pPr>
        <w:widowControl/>
        <w:suppressAutoHyphens w:val="0"/>
        <w:bidi w:val="0"/>
        <w:spacing w:after="200"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9B0384" w:rsidRPr="001A52C7" w:rsidP="009B0384">
      <w:pPr>
        <w:bidi w:val="0"/>
        <w:jc w:val="center"/>
        <w:rPr>
          <w:rFonts w:cs="Times New Roman" w:hint="default"/>
          <w:b/>
          <w:sz w:val="28"/>
          <w:szCs w:val="28"/>
        </w:rPr>
      </w:pPr>
      <w:r w:rsidRPr="001A52C7">
        <w:rPr>
          <w:rFonts w:cs="Times New Roman" w:hint="default"/>
          <w:b/>
          <w:sz w:val="28"/>
          <w:szCs w:val="28"/>
        </w:rPr>
        <w:t>MAJETKOVÉ</w:t>
      </w:r>
      <w:r w:rsidRPr="001A52C7">
        <w:rPr>
          <w:rFonts w:cs="Times New Roman" w:hint="default"/>
          <w:b/>
          <w:sz w:val="28"/>
          <w:szCs w:val="28"/>
        </w:rPr>
        <w:t xml:space="preserve"> PRIZNANIE VEREJNÉ</w:t>
      </w:r>
      <w:r w:rsidRPr="001A52C7">
        <w:rPr>
          <w:rFonts w:cs="Times New Roman" w:hint="default"/>
          <w:b/>
          <w:sz w:val="28"/>
          <w:szCs w:val="28"/>
        </w:rPr>
        <w:t>HO Č</w:t>
      </w:r>
      <w:r w:rsidRPr="001A52C7">
        <w:rPr>
          <w:rFonts w:cs="Times New Roman" w:hint="default"/>
          <w:b/>
          <w:sz w:val="28"/>
          <w:szCs w:val="28"/>
        </w:rPr>
        <w:t>INITEĽ</w:t>
      </w:r>
      <w:r w:rsidRPr="001A52C7">
        <w:rPr>
          <w:rFonts w:cs="Times New Roman" w:hint="default"/>
          <w:b/>
          <w:sz w:val="28"/>
          <w:szCs w:val="28"/>
        </w:rPr>
        <w:t>A</w:t>
      </w:r>
    </w:p>
    <w:p w:rsidR="009B0384" w:rsidRPr="001A52C7" w:rsidP="009B0384">
      <w:pPr>
        <w:bidi w:val="0"/>
        <w:jc w:val="center"/>
        <w:rPr>
          <w:rFonts w:cs="Times New Roman" w:hint="default"/>
          <w:b/>
        </w:rPr>
      </w:pPr>
      <w:r w:rsidRPr="001A52C7">
        <w:rPr>
          <w:rFonts w:cs="Times New Roman" w:hint="default"/>
          <w:b/>
        </w:rPr>
        <w:t>podľ</w:t>
      </w:r>
      <w:r w:rsidRPr="001A52C7">
        <w:rPr>
          <w:rFonts w:cs="Times New Roman" w:hint="default"/>
          <w:b/>
        </w:rPr>
        <w:t>a zá</w:t>
      </w:r>
      <w:r w:rsidRPr="001A52C7">
        <w:rPr>
          <w:rFonts w:cs="Times New Roman" w:hint="default"/>
          <w:b/>
        </w:rPr>
        <w:t xml:space="preserve">kona </w:t>
      </w:r>
      <w:r>
        <w:rPr>
          <w:rFonts w:cs="Times New Roman" w:hint="default"/>
          <w:b/>
        </w:rPr>
        <w:t>č</w:t>
      </w:r>
      <w:r>
        <w:rPr>
          <w:rFonts w:cs="Times New Roman" w:hint="default"/>
          <w:b/>
        </w:rPr>
        <w:t>. ..</w:t>
      </w:r>
      <w:r w:rsidRPr="001A52C7">
        <w:rPr>
          <w:rFonts w:cs="Times New Roman"/>
          <w:b/>
        </w:rPr>
        <w:t>...</w:t>
      </w:r>
      <w:r>
        <w:rPr>
          <w:rFonts w:cs="Times New Roman"/>
          <w:b/>
        </w:rPr>
        <w:t>/2015 Z. z.</w:t>
      </w:r>
      <w:r w:rsidRPr="001A52C7">
        <w:rPr>
          <w:rFonts w:cs="Times New Roman"/>
          <w:b/>
        </w:rPr>
        <w:t xml:space="preserve"> o </w:t>
      </w:r>
      <w:r w:rsidRPr="001A52C7">
        <w:rPr>
          <w:rFonts w:cs="Times New Roman" w:hint="default"/>
          <w:b/>
        </w:rPr>
        <w:t>majetkový</w:t>
      </w:r>
      <w:r w:rsidRPr="001A52C7">
        <w:rPr>
          <w:rFonts w:cs="Times New Roman" w:hint="default"/>
          <w:b/>
        </w:rPr>
        <w:t>ch priznaniach niektorý</w:t>
      </w:r>
      <w:r w:rsidRPr="001A52C7">
        <w:rPr>
          <w:rFonts w:cs="Times New Roman" w:hint="default"/>
          <w:b/>
        </w:rPr>
        <w:t>ch verejný</w:t>
      </w:r>
      <w:r w:rsidRPr="001A52C7">
        <w:rPr>
          <w:rFonts w:cs="Times New Roman" w:hint="default"/>
          <w:b/>
        </w:rPr>
        <w:t>ch č</w:t>
      </w:r>
      <w:r w:rsidRPr="001A52C7">
        <w:rPr>
          <w:rFonts w:cs="Times New Roman" w:hint="default"/>
          <w:b/>
        </w:rPr>
        <w:t>initeľ</w:t>
      </w:r>
      <w:r w:rsidRPr="001A52C7">
        <w:rPr>
          <w:rFonts w:cs="Times New Roman" w:hint="default"/>
          <w:b/>
        </w:rPr>
        <w:t>ov a o zmene a </w:t>
      </w:r>
      <w:r w:rsidRPr="001A52C7">
        <w:rPr>
          <w:rFonts w:cs="Times New Roman" w:hint="default"/>
          <w:b/>
        </w:rPr>
        <w:t>doplnení</w:t>
      </w:r>
      <w:r w:rsidRPr="001A52C7">
        <w:rPr>
          <w:rFonts w:cs="Times New Roman" w:hint="default"/>
          <w:b/>
        </w:rPr>
        <w:t xml:space="preserve"> niektorý</w:t>
      </w:r>
      <w:r w:rsidRPr="001A52C7">
        <w:rPr>
          <w:rFonts w:cs="Times New Roman" w:hint="default"/>
          <w:b/>
        </w:rPr>
        <w:t>ch zá</w:t>
      </w:r>
      <w:r w:rsidRPr="001A52C7">
        <w:rPr>
          <w:rFonts w:cs="Times New Roman" w:hint="default"/>
          <w:b/>
        </w:rPr>
        <w:t>k</w:t>
      </w:r>
      <w:r w:rsidRPr="001A52C7">
        <w:rPr>
          <w:rFonts w:cs="Times New Roman" w:hint="default"/>
          <w:b/>
        </w:rPr>
        <w:t>onov</w:t>
      </w:r>
    </w:p>
    <w:p w:rsidR="009B0384" w:rsidRPr="001A52C7" w:rsidP="009B0384">
      <w:pPr>
        <w:bidi w:val="0"/>
        <w:jc w:val="both"/>
        <w:rPr>
          <w:rFonts w:cs="Times New Roman"/>
          <w:b/>
        </w:rPr>
      </w:pPr>
    </w:p>
    <w:p w:rsidR="009B0384" w:rsidRPr="001A52C7" w:rsidP="009B0384">
      <w:pPr>
        <w:pStyle w:val="ListParagraph"/>
        <w:widowControl/>
        <w:numPr>
          <w:numId w:val="15"/>
        </w:numPr>
        <w:suppressAutoHyphens w:val="0"/>
        <w:bidi w:val="0"/>
        <w:spacing w:after="200" w:line="276" w:lineRule="auto"/>
        <w:ind w:left="0" w:firstLine="0"/>
        <w:jc w:val="both"/>
        <w:rPr>
          <w:rFonts w:cs="Times New Roman"/>
          <w:b/>
          <w:szCs w:val="24"/>
        </w:rPr>
      </w:pPr>
      <w:r w:rsidRPr="001A52C7">
        <w:rPr>
          <w:rFonts w:cs="Times New Roman"/>
          <w:b/>
          <w:szCs w:val="24"/>
        </w:rPr>
        <w:t>Oddiel</w:t>
      </w:r>
    </w:p>
    <w:p w:rsidR="009B0384" w:rsidP="009B0384">
      <w:pPr>
        <w:pStyle w:val="ListParagraph"/>
        <w:bidi w:val="0"/>
        <w:ind w:left="0"/>
        <w:jc w:val="both"/>
        <w:rPr>
          <w:rFonts w:cs="Times New Roman"/>
          <w:b/>
          <w:szCs w:val="24"/>
        </w:rPr>
      </w:pPr>
      <w:r w:rsidRPr="001A52C7">
        <w:rPr>
          <w:rFonts w:cs="Times New Roman" w:hint="default"/>
          <w:b/>
          <w:szCs w:val="24"/>
        </w:rPr>
        <w:t>Ú</w:t>
      </w:r>
      <w:r w:rsidRPr="001A52C7">
        <w:rPr>
          <w:rFonts w:cs="Times New Roman" w:hint="default"/>
          <w:b/>
          <w:szCs w:val="24"/>
        </w:rPr>
        <w:t>daje o </w:t>
      </w:r>
      <w:r w:rsidRPr="001A52C7">
        <w:rPr>
          <w:rFonts w:cs="Times New Roman" w:hint="default"/>
          <w:b/>
          <w:szCs w:val="24"/>
        </w:rPr>
        <w:t>verejnom č</w:t>
      </w:r>
      <w:r w:rsidRPr="001A52C7">
        <w:rPr>
          <w:rFonts w:cs="Times New Roman" w:hint="default"/>
          <w:b/>
          <w:szCs w:val="24"/>
        </w:rPr>
        <w:t>initeľ</w:t>
      </w:r>
      <w:r w:rsidRPr="001A52C7">
        <w:rPr>
          <w:rFonts w:cs="Times New Roman" w:hint="default"/>
          <w:b/>
          <w:szCs w:val="24"/>
        </w:rPr>
        <w:t>ovi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  <w:b/>
          <w:szCs w:val="24"/>
        </w:rPr>
      </w:pPr>
    </w:p>
    <w:tbl>
      <w:tblPr>
        <w:tblStyle w:val="TableGrid"/>
        <w:tblW w:w="11480" w:type="dxa"/>
        <w:tblLook w:val="04A0"/>
      </w:tblPr>
      <w:tblGrid>
        <w:gridCol w:w="2802"/>
        <w:gridCol w:w="268"/>
        <w:gridCol w:w="4551"/>
        <w:gridCol w:w="787"/>
        <w:gridCol w:w="1536"/>
        <w:gridCol w:w="1536"/>
      </w:tblGrid>
      <w:tr>
        <w:tblPrEx>
          <w:tblW w:w="11480" w:type="dxa"/>
          <w:tblLook w:val="04A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  <w:r w:rsidRPr="001A52C7">
              <w:rPr>
                <w:rFonts w:cs="Times New Roman"/>
                <w:b/>
                <w:sz w:val="22"/>
              </w:rPr>
              <w:t>Priezvisko: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Organizač</w:t>
            </w:r>
            <w:r w:rsidRPr="001A52C7">
              <w:rPr>
                <w:rFonts w:cs="Times New Roman" w:hint="default"/>
                <w:b/>
                <w:sz w:val="22"/>
              </w:rPr>
              <w:t>né</w:t>
            </w:r>
            <w:r w:rsidRPr="001A52C7">
              <w:rPr>
                <w:rFonts w:cs="Times New Roman" w:hint="default"/>
                <w:b/>
                <w:sz w:val="22"/>
              </w:rPr>
              <w:t xml:space="preserve"> zaradenie verejné</w:t>
            </w:r>
            <w:r w:rsidRPr="001A52C7">
              <w:rPr>
                <w:rFonts w:cs="Times New Roman" w:hint="default"/>
                <w:b/>
                <w:sz w:val="22"/>
              </w:rPr>
              <w:t>ho č</w:t>
            </w:r>
            <w:r w:rsidRPr="001A52C7">
              <w:rPr>
                <w:rFonts w:cs="Times New Roman" w:hint="default"/>
                <w:b/>
                <w:sz w:val="22"/>
              </w:rPr>
              <w:t>initeľ</w:t>
            </w:r>
            <w:r w:rsidRPr="001A52C7">
              <w:rPr>
                <w:rFonts w:cs="Times New Roman" w:hint="default"/>
                <w:b/>
                <w:sz w:val="22"/>
              </w:rPr>
              <w:t>a: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11480" w:type="dxa"/>
          <w:tblLook w:val="04A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11480" w:type="dxa"/>
          <w:tblLook w:val="04A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  <w:r w:rsidRPr="001A52C7">
              <w:rPr>
                <w:rFonts w:cs="Times New Roman"/>
                <w:b/>
                <w:sz w:val="22"/>
              </w:rPr>
              <w:t>Meno: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Služ</w:t>
            </w:r>
            <w:r w:rsidRPr="001A52C7">
              <w:rPr>
                <w:rFonts w:cs="Times New Roman" w:hint="default"/>
                <w:b/>
                <w:sz w:val="22"/>
              </w:rPr>
              <w:t>obný</w:t>
            </w:r>
            <w:r w:rsidRPr="001A52C7">
              <w:rPr>
                <w:rFonts w:cs="Times New Roman" w:hint="default"/>
                <w:b/>
                <w:sz w:val="22"/>
              </w:rPr>
              <w:t xml:space="preserve"> ú</w:t>
            </w:r>
            <w:r w:rsidRPr="001A52C7">
              <w:rPr>
                <w:rFonts w:cs="Times New Roman" w:hint="default"/>
                <w:b/>
                <w:sz w:val="22"/>
              </w:rPr>
              <w:t>rad: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11480" w:type="dxa"/>
          <w:tblLook w:val="04A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11480" w:type="dxa"/>
          <w:tblLook w:val="04A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  <w:r w:rsidRPr="001A52C7">
              <w:rPr>
                <w:rFonts w:cs="Times New Roman"/>
                <w:b/>
                <w:sz w:val="22"/>
              </w:rPr>
              <w:t>Titul: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Orgá</w:t>
            </w:r>
            <w:r w:rsidRPr="001A52C7">
              <w:rPr>
                <w:rFonts w:cs="Times New Roman" w:hint="default"/>
                <w:b/>
                <w:sz w:val="22"/>
              </w:rPr>
              <w:t>n prijí</w:t>
            </w:r>
            <w:r w:rsidRPr="001A52C7">
              <w:rPr>
                <w:rFonts w:cs="Times New Roman" w:hint="default"/>
                <w:b/>
                <w:sz w:val="22"/>
              </w:rPr>
              <w:t>majú</w:t>
            </w:r>
            <w:r w:rsidRPr="001A52C7">
              <w:rPr>
                <w:rFonts w:cs="Times New Roman" w:hint="default"/>
                <w:b/>
                <w:sz w:val="22"/>
              </w:rPr>
              <w:t>ci majetkové</w:t>
            </w:r>
            <w:r w:rsidRPr="001A52C7">
              <w:rPr>
                <w:rFonts w:cs="Times New Roman" w:hint="default"/>
                <w:b/>
                <w:sz w:val="22"/>
              </w:rPr>
              <w:t xml:space="preserve"> priznanie: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11480" w:type="dxa"/>
          <w:tblLook w:val="04A0"/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RPr="001A52C7" w:rsidP="009B0384">
      <w:pPr>
        <w:pStyle w:val="ListParagraph"/>
        <w:widowControl/>
        <w:numPr>
          <w:numId w:val="15"/>
        </w:numPr>
        <w:suppressAutoHyphens w:val="0"/>
        <w:bidi w:val="0"/>
        <w:spacing w:after="200" w:line="276" w:lineRule="auto"/>
        <w:ind w:left="0" w:firstLine="0"/>
        <w:jc w:val="both"/>
        <w:rPr>
          <w:rFonts w:cs="Times New Roman"/>
          <w:b/>
          <w:szCs w:val="24"/>
        </w:rPr>
      </w:pPr>
      <w:r w:rsidRPr="001A52C7">
        <w:rPr>
          <w:rFonts w:cs="Times New Roman"/>
          <w:b/>
          <w:szCs w:val="24"/>
        </w:rPr>
        <w:t>Oddiel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 w:hint="default"/>
          <w:b/>
          <w:szCs w:val="24"/>
        </w:rPr>
      </w:pPr>
      <w:r w:rsidRPr="001A52C7">
        <w:rPr>
          <w:rFonts w:cs="Times New Roman" w:hint="default"/>
          <w:b/>
          <w:szCs w:val="24"/>
        </w:rPr>
        <w:t>Majetkové</w:t>
      </w:r>
      <w:r w:rsidRPr="001A52C7">
        <w:rPr>
          <w:rFonts w:cs="Times New Roman" w:hint="default"/>
          <w:b/>
          <w:szCs w:val="24"/>
        </w:rPr>
        <w:t xml:space="preserve"> pomery</w:t>
      </w: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a) Ú</w:t>
      </w:r>
      <w:r w:rsidRPr="001A52C7">
        <w:rPr>
          <w:rFonts w:cs="Times New Roman" w:hint="default"/>
        </w:rPr>
        <w:t>daje o </w:t>
      </w:r>
      <w:r w:rsidRPr="001A52C7">
        <w:rPr>
          <w:rFonts w:cs="Times New Roman" w:hint="default"/>
        </w:rPr>
        <w:t>majetkový</w:t>
      </w:r>
      <w:r w:rsidRPr="001A52C7">
        <w:rPr>
          <w:rFonts w:cs="Times New Roman" w:hint="default"/>
        </w:rPr>
        <w:t xml:space="preserve">ch pomeroch </w:t>
      </w:r>
      <w:r w:rsidR="006D0F52">
        <w:rPr>
          <w:rFonts w:cs="Times New Roman" w:hint="default"/>
        </w:rPr>
        <w:t>tý</w:t>
      </w:r>
      <w:r w:rsidR="006D0F52">
        <w:rPr>
          <w:rFonts w:cs="Times New Roman" w:hint="default"/>
        </w:rPr>
        <w:t>kajú</w:t>
      </w:r>
      <w:r w:rsidR="006D0F52">
        <w:rPr>
          <w:rFonts w:cs="Times New Roman" w:hint="default"/>
        </w:rPr>
        <w:t xml:space="preserve">cich sa </w:t>
      </w:r>
      <w:r w:rsidRPr="001A52C7">
        <w:rPr>
          <w:rFonts w:cs="Times New Roman" w:hint="default"/>
        </w:rPr>
        <w:t>nehnuteľ</w:t>
      </w:r>
      <w:r w:rsidRPr="001A52C7">
        <w:rPr>
          <w:rFonts w:cs="Times New Roman" w:hint="default"/>
        </w:rPr>
        <w:t>ností</w:t>
      </w:r>
      <w:r w:rsidRPr="001A52C7">
        <w:rPr>
          <w:rFonts w:cs="Times New Roman" w:hint="default"/>
        </w:rPr>
        <w:t xml:space="preserve"> podľ</w:t>
      </w:r>
      <w:r w:rsidRPr="001A52C7">
        <w:rPr>
          <w:rFonts w:cs="Times New Roman" w:hint="default"/>
        </w:rPr>
        <w:t>a §</w:t>
      </w:r>
      <w:r w:rsidRPr="001A52C7">
        <w:rPr>
          <w:rFonts w:cs="Times New Roman" w:hint="default"/>
        </w:rPr>
        <w:t xml:space="preserve"> 3 ods. 4 pí</w:t>
      </w:r>
      <w:r w:rsidRPr="001A52C7">
        <w:rPr>
          <w:rFonts w:cs="Times New Roman" w:hint="default"/>
        </w:rPr>
        <w:t>sm. a)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392"/>
        <w:gridCol w:w="1282"/>
        <w:gridCol w:w="1128"/>
        <w:gridCol w:w="1404"/>
        <w:gridCol w:w="999"/>
        <w:gridCol w:w="1537"/>
        <w:gridCol w:w="1021"/>
        <w:gridCol w:w="1559"/>
      </w:tblGrid>
      <w:tr>
        <w:tblPrEx>
          <w:tblW w:w="9322" w:type="dxa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č.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Popis majetku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Druh majetku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Katastrá</w:t>
            </w:r>
            <w:r w:rsidRPr="001A52C7">
              <w:rPr>
                <w:rFonts w:cs="Times New Roman" w:hint="default"/>
                <w:b/>
                <w:sz w:val="22"/>
              </w:rPr>
              <w:t>lne ú</w:t>
            </w:r>
            <w:r w:rsidRPr="001A52C7">
              <w:rPr>
                <w:rFonts w:cs="Times New Roman" w:hint="default"/>
                <w:b/>
                <w:sz w:val="22"/>
              </w:rPr>
              <w:t>zemie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Podiel na majetku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Prá</w:t>
            </w:r>
            <w:r w:rsidRPr="001A52C7">
              <w:rPr>
                <w:rFonts w:cs="Times New Roman" w:hint="default"/>
                <w:b/>
                <w:sz w:val="22"/>
              </w:rPr>
              <w:t>vny dô</w:t>
            </w:r>
            <w:r w:rsidRPr="001A52C7">
              <w:rPr>
                <w:rFonts w:cs="Times New Roman" w:hint="default"/>
                <w:b/>
                <w:sz w:val="22"/>
              </w:rPr>
              <w:t>vod nadobudnutia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Dá</w:t>
            </w:r>
            <w:r w:rsidRPr="001A52C7">
              <w:rPr>
                <w:rFonts w:cs="Times New Roman" w:hint="default"/>
                <w:b/>
                <w:sz w:val="22"/>
              </w:rPr>
              <w:t>tum nadobudnutia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Obstará</w:t>
            </w:r>
            <w:r w:rsidRPr="001A52C7">
              <w:rPr>
                <w:rFonts w:cs="Times New Roman" w:hint="default"/>
                <w:b/>
                <w:sz w:val="22"/>
              </w:rPr>
              <w:t>vacia cena (obstará</w:t>
            </w:r>
            <w:r w:rsidRPr="001A52C7">
              <w:rPr>
                <w:rFonts w:cs="Times New Roman" w:hint="default"/>
                <w:b/>
                <w:sz w:val="22"/>
              </w:rPr>
              <w:t>vacia cena podľ</w:t>
            </w:r>
            <w:r w:rsidRPr="001A52C7">
              <w:rPr>
                <w:rFonts w:cs="Times New Roman" w:hint="default"/>
                <w:b/>
                <w:sz w:val="22"/>
              </w:rPr>
              <w:t>a osobitné</w:t>
            </w:r>
            <w:r w:rsidRPr="001A52C7">
              <w:rPr>
                <w:rFonts w:cs="Times New Roman" w:hint="default"/>
                <w:b/>
                <w:sz w:val="22"/>
              </w:rPr>
              <w:t>ho predpisu</w:t>
            </w:r>
            <w:r>
              <w:rPr>
                <w:rStyle w:val="FootnoteReference"/>
                <w:rFonts w:cs="Mangal"/>
                <w:b/>
                <w:sz w:val="22"/>
                <w:rtl w:val="0"/>
              </w:rPr>
              <w:footnoteReference w:id="15"/>
            </w:r>
            <w:r w:rsidRPr="001A52C7">
              <w:rPr>
                <w:rFonts w:cs="Times New Roman"/>
                <w:b/>
                <w:sz w:val="22"/>
              </w:rPr>
              <w:t>)</w:t>
            </w: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b) Ú</w:t>
      </w:r>
      <w:r w:rsidRPr="001A52C7">
        <w:rPr>
          <w:rFonts w:cs="Times New Roman" w:hint="default"/>
        </w:rPr>
        <w:t>daje o </w:t>
      </w:r>
      <w:r w:rsidRPr="001A52C7">
        <w:rPr>
          <w:rFonts w:cs="Times New Roman" w:hint="default"/>
        </w:rPr>
        <w:t>majetkový</w:t>
      </w:r>
      <w:r w:rsidRPr="001A52C7">
        <w:rPr>
          <w:rFonts w:cs="Times New Roman" w:hint="default"/>
        </w:rPr>
        <w:t xml:space="preserve">ch pomeroch </w:t>
      </w:r>
      <w:r w:rsidR="006D0F52">
        <w:rPr>
          <w:rFonts w:cs="Times New Roman" w:hint="default"/>
        </w:rPr>
        <w:t>tý</w:t>
      </w:r>
      <w:r w:rsidR="006D0F52">
        <w:rPr>
          <w:rFonts w:cs="Times New Roman" w:hint="default"/>
        </w:rPr>
        <w:t>kajú</w:t>
      </w:r>
      <w:r w:rsidR="006D0F52">
        <w:rPr>
          <w:rFonts w:cs="Times New Roman" w:hint="default"/>
        </w:rPr>
        <w:t xml:space="preserve">cich sa </w:t>
      </w:r>
      <w:r w:rsidRPr="001A52C7">
        <w:rPr>
          <w:rFonts w:cs="Times New Roman" w:hint="default"/>
        </w:rPr>
        <w:t>hnuteľ</w:t>
      </w:r>
      <w:r w:rsidRPr="001A52C7">
        <w:rPr>
          <w:rFonts w:cs="Times New Roman" w:hint="default"/>
        </w:rPr>
        <w:t>ný</w:t>
      </w:r>
      <w:r w:rsidRPr="001A52C7">
        <w:rPr>
          <w:rFonts w:cs="Times New Roman" w:hint="default"/>
        </w:rPr>
        <w:t>ch vecí</w:t>
      </w:r>
      <w:r w:rsidRPr="001A52C7">
        <w:rPr>
          <w:rFonts w:cs="Times New Roman" w:hint="default"/>
        </w:rPr>
        <w:t xml:space="preserve"> podľ</w:t>
      </w:r>
      <w:r w:rsidRPr="001A52C7">
        <w:rPr>
          <w:rFonts w:cs="Times New Roman" w:hint="default"/>
        </w:rPr>
        <w:t>a §</w:t>
      </w:r>
      <w:r w:rsidRPr="001A52C7">
        <w:rPr>
          <w:rFonts w:cs="Times New Roman" w:hint="default"/>
        </w:rPr>
        <w:t xml:space="preserve"> 3 ods. 4 pí</w:t>
      </w:r>
      <w:r w:rsidRPr="001A52C7">
        <w:rPr>
          <w:rFonts w:cs="Times New Roman" w:hint="default"/>
        </w:rPr>
        <w:t>sm. b), ktorý</w:t>
      </w:r>
      <w:r w:rsidRPr="001A52C7">
        <w:rPr>
          <w:rFonts w:cs="Times New Roman" w:hint="default"/>
        </w:rPr>
        <w:t>ch hodnota presahuje 10 000 eur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9322" w:type="dxa"/>
        <w:tblLook w:val="04A0"/>
      </w:tblPr>
      <w:tblGrid>
        <w:gridCol w:w="394"/>
        <w:gridCol w:w="1814"/>
        <w:gridCol w:w="1537"/>
        <w:gridCol w:w="1537"/>
        <w:gridCol w:w="1536"/>
        <w:gridCol w:w="2504"/>
      </w:tblGrid>
      <w:tr>
        <w:tblPrEx>
          <w:tblW w:w="9322" w:type="dxa"/>
          <w:tblLook w:val="04A0"/>
        </w:tblPrEx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č.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Popis majetku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Prá</w:t>
            </w:r>
            <w:r w:rsidRPr="001A52C7">
              <w:rPr>
                <w:rFonts w:cs="Times New Roman" w:hint="default"/>
                <w:b/>
                <w:sz w:val="22"/>
              </w:rPr>
              <w:t>vny dô</w:t>
            </w:r>
            <w:r w:rsidRPr="001A52C7">
              <w:rPr>
                <w:rFonts w:cs="Times New Roman" w:hint="default"/>
                <w:b/>
                <w:sz w:val="22"/>
              </w:rPr>
              <w:t>vod nadobudnutia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Dá</w:t>
            </w:r>
            <w:r w:rsidRPr="001A52C7">
              <w:rPr>
                <w:rFonts w:cs="Times New Roman" w:hint="default"/>
                <w:b/>
                <w:sz w:val="22"/>
              </w:rPr>
              <w:t>tum nadobudnutia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Obstará</w:t>
            </w:r>
            <w:r w:rsidRPr="001A52C7">
              <w:rPr>
                <w:rFonts w:cs="Times New Roman" w:hint="default"/>
                <w:b/>
                <w:sz w:val="22"/>
              </w:rPr>
              <w:t>vacia cena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Vý</w:t>
            </w:r>
            <w:r w:rsidRPr="001A52C7">
              <w:rPr>
                <w:rFonts w:cs="Times New Roman" w:hint="default"/>
                <w:b/>
                <w:sz w:val="22"/>
              </w:rPr>
              <w:t>davky na zhotovenie (vlastné</w:t>
            </w:r>
            <w:r w:rsidRPr="001A52C7">
              <w:rPr>
                <w:rFonts w:cs="Times New Roman" w:hint="default"/>
                <w:b/>
                <w:sz w:val="22"/>
              </w:rPr>
              <w:t xml:space="preserve"> zhotovenie) </w:t>
            </w:r>
            <w:r w:rsidRPr="001A52C7">
              <w:rPr>
                <w:rFonts w:cs="Times New Roman" w:hint="default"/>
                <w:b/>
                <w:sz w:val="22"/>
              </w:rPr>
              <w:t>/ obvyklá</w:t>
            </w:r>
            <w:r w:rsidRPr="001A52C7">
              <w:rPr>
                <w:rFonts w:cs="Times New Roman" w:hint="default"/>
                <w:b/>
                <w:sz w:val="22"/>
              </w:rPr>
              <w:t xml:space="preserve"> cena (bezodplatné</w:t>
            </w:r>
            <w:r w:rsidRPr="001A52C7">
              <w:rPr>
                <w:rFonts w:cs="Times New Roman" w:hint="default"/>
                <w:b/>
                <w:sz w:val="22"/>
              </w:rPr>
              <w:t xml:space="preserve"> nadobudnutie)</w:t>
            </w:r>
          </w:p>
        </w:tc>
      </w:tr>
      <w:tr>
        <w:tblPrEx>
          <w:tblW w:w="9322" w:type="dxa"/>
          <w:tblLook w:val="04A0"/>
        </w:tblPrEx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c) Ú</w:t>
      </w:r>
      <w:r w:rsidRPr="001A52C7">
        <w:rPr>
          <w:rFonts w:cs="Times New Roman" w:hint="default"/>
        </w:rPr>
        <w:t>daje o </w:t>
      </w:r>
      <w:r w:rsidRPr="001A52C7">
        <w:rPr>
          <w:rFonts w:cs="Times New Roman" w:hint="default"/>
        </w:rPr>
        <w:t>majetkový</w:t>
      </w:r>
      <w:r w:rsidRPr="001A52C7">
        <w:rPr>
          <w:rFonts w:cs="Times New Roman" w:hint="default"/>
        </w:rPr>
        <w:t xml:space="preserve">ch pomeroch </w:t>
      </w:r>
      <w:r w:rsidR="006D0F52">
        <w:rPr>
          <w:rFonts w:cs="Times New Roman" w:hint="default"/>
        </w:rPr>
        <w:t>tý</w:t>
      </w:r>
      <w:r w:rsidR="006D0F52">
        <w:rPr>
          <w:rFonts w:cs="Times New Roman" w:hint="default"/>
        </w:rPr>
        <w:t>kajú</w:t>
      </w:r>
      <w:r w:rsidR="006D0F52">
        <w:rPr>
          <w:rFonts w:cs="Times New Roman" w:hint="default"/>
        </w:rPr>
        <w:t>cich sa majetkový</w:t>
      </w:r>
      <w:r w:rsidR="006D0F52">
        <w:rPr>
          <w:rFonts w:cs="Times New Roman" w:hint="default"/>
        </w:rPr>
        <w:t>ch</w:t>
      </w:r>
      <w:r w:rsidRPr="001A52C7">
        <w:rPr>
          <w:rFonts w:cs="Times New Roman" w:hint="default"/>
        </w:rPr>
        <w:t xml:space="preserve"> prá</w:t>
      </w:r>
      <w:r w:rsidRPr="001A52C7">
        <w:rPr>
          <w:rFonts w:cs="Times New Roman" w:hint="default"/>
        </w:rPr>
        <w:t>v</w:t>
      </w:r>
      <w:r w:rsidR="006D0F52">
        <w:rPr>
          <w:rFonts w:cs="Times New Roman" w:hint="default"/>
        </w:rPr>
        <w:t xml:space="preserve"> alebo hodnô</w:t>
      </w:r>
      <w:r w:rsidR="006D0F52">
        <w:rPr>
          <w:rFonts w:cs="Times New Roman" w:hint="default"/>
        </w:rPr>
        <w:t xml:space="preserve">t </w:t>
      </w:r>
      <w:r w:rsidRPr="001A52C7">
        <w:rPr>
          <w:rFonts w:cs="Times New Roman" w:hint="default"/>
        </w:rPr>
        <w:t>podľ</w:t>
      </w:r>
      <w:r w:rsidRPr="001A52C7">
        <w:rPr>
          <w:rFonts w:cs="Times New Roman" w:hint="default"/>
        </w:rPr>
        <w:t>a §</w:t>
      </w:r>
      <w:r w:rsidRPr="001A52C7">
        <w:rPr>
          <w:rFonts w:cs="Times New Roman" w:hint="default"/>
        </w:rPr>
        <w:t xml:space="preserve"> 3 ods. 4 pí</w:t>
      </w:r>
      <w:r w:rsidRPr="001A52C7">
        <w:rPr>
          <w:rFonts w:cs="Times New Roman" w:hint="default"/>
        </w:rPr>
        <w:t>sm. c), ktorý</w:t>
      </w:r>
      <w:r w:rsidRPr="001A52C7">
        <w:rPr>
          <w:rFonts w:cs="Times New Roman" w:hint="default"/>
        </w:rPr>
        <w:t>ch hodnota presahuje 10 000 eur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9322" w:type="dxa"/>
        <w:tblLook w:val="04A0"/>
      </w:tblPr>
      <w:tblGrid>
        <w:gridCol w:w="392"/>
        <w:gridCol w:w="2693"/>
        <w:gridCol w:w="1842"/>
        <w:gridCol w:w="1843"/>
        <w:gridCol w:w="2552"/>
      </w:tblGrid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Popis majetkové</w:t>
            </w:r>
            <w:r w:rsidRPr="001A52C7">
              <w:rPr>
                <w:rFonts w:cs="Times New Roman" w:hint="default"/>
                <w:b/>
                <w:sz w:val="22"/>
              </w:rPr>
              <w:t>ho prá</w:t>
            </w:r>
            <w:r w:rsidRPr="001A52C7">
              <w:rPr>
                <w:rFonts w:cs="Times New Roman" w:hint="default"/>
                <w:b/>
                <w:sz w:val="22"/>
              </w:rPr>
              <w:t xml:space="preserve">va alebo majetkovej </w:t>
            </w:r>
            <w:r w:rsidRPr="001A52C7">
              <w:rPr>
                <w:rFonts w:cs="Times New Roman" w:hint="default"/>
                <w:b/>
                <w:sz w:val="22"/>
              </w:rPr>
              <w:t>hodnoty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Prá</w:t>
            </w:r>
            <w:r w:rsidRPr="001A52C7">
              <w:rPr>
                <w:rFonts w:cs="Times New Roman" w:hint="default"/>
                <w:b/>
                <w:sz w:val="22"/>
              </w:rPr>
              <w:t>vny dô</w:t>
            </w:r>
            <w:r w:rsidRPr="001A52C7">
              <w:rPr>
                <w:rFonts w:cs="Times New Roman" w:hint="default"/>
                <w:b/>
                <w:sz w:val="22"/>
              </w:rPr>
              <w:t>vod nadobudnutia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Dá</w:t>
            </w:r>
            <w:r w:rsidRPr="001A52C7">
              <w:rPr>
                <w:rFonts w:cs="Times New Roman" w:hint="default"/>
                <w:b/>
                <w:sz w:val="22"/>
              </w:rPr>
              <w:t>tum nadobudnutia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Cena obstarania / obvyklá</w:t>
            </w:r>
            <w:r w:rsidRPr="001A52C7">
              <w:rPr>
                <w:rFonts w:cs="Times New Roman" w:hint="default"/>
                <w:b/>
                <w:sz w:val="22"/>
              </w:rPr>
              <w:t xml:space="preserve"> cena (bezodplatný</w:t>
            </w:r>
            <w:r w:rsidRPr="001A52C7">
              <w:rPr>
                <w:rFonts w:cs="Times New Roman" w:hint="default"/>
                <w:b/>
                <w:sz w:val="22"/>
              </w:rPr>
              <w:t xml:space="preserve"> prevod)</w:t>
            </w:r>
          </w:p>
        </w:tc>
      </w:tr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d) Ú</w:t>
      </w:r>
      <w:r w:rsidRPr="001A52C7">
        <w:rPr>
          <w:rFonts w:cs="Times New Roman" w:hint="default"/>
        </w:rPr>
        <w:t>daje o </w:t>
      </w:r>
      <w:r w:rsidRPr="001A52C7">
        <w:rPr>
          <w:rFonts w:cs="Times New Roman" w:hint="default"/>
        </w:rPr>
        <w:t>zá</w:t>
      </w:r>
      <w:r w:rsidRPr="001A52C7">
        <w:rPr>
          <w:rFonts w:cs="Times New Roman" w:hint="default"/>
        </w:rPr>
        <w:t>vä</w:t>
      </w:r>
      <w:r w:rsidRPr="001A52C7">
        <w:rPr>
          <w:rFonts w:cs="Times New Roman" w:hint="default"/>
        </w:rPr>
        <w:t>zkoch podľ</w:t>
      </w:r>
      <w:r w:rsidRPr="001A52C7">
        <w:rPr>
          <w:rFonts w:cs="Times New Roman" w:hint="default"/>
        </w:rPr>
        <w:t>a §</w:t>
      </w:r>
      <w:r w:rsidRPr="001A52C7">
        <w:rPr>
          <w:rFonts w:cs="Times New Roman" w:hint="default"/>
        </w:rPr>
        <w:t xml:space="preserve"> 3 ods. 4 pí</w:t>
      </w:r>
      <w:r w:rsidRPr="001A52C7">
        <w:rPr>
          <w:rFonts w:cs="Times New Roman" w:hint="default"/>
        </w:rPr>
        <w:t>sm. d), ktorý</w:t>
      </w:r>
      <w:r w:rsidRPr="001A52C7">
        <w:rPr>
          <w:rFonts w:cs="Times New Roman" w:hint="default"/>
        </w:rPr>
        <w:t>ch hodnota presahuje 10 000 eur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9322" w:type="dxa"/>
        <w:tblLook w:val="04A0"/>
      </w:tblPr>
      <w:tblGrid>
        <w:gridCol w:w="392"/>
        <w:gridCol w:w="3260"/>
        <w:gridCol w:w="3119"/>
        <w:gridCol w:w="2551"/>
      </w:tblGrid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Popis zá</w:t>
            </w:r>
            <w:r w:rsidRPr="001A52C7">
              <w:rPr>
                <w:rFonts w:cs="Times New Roman" w:hint="default"/>
                <w:b/>
                <w:sz w:val="22"/>
              </w:rPr>
              <w:t>vä</w:t>
            </w:r>
            <w:r w:rsidRPr="001A52C7">
              <w:rPr>
                <w:rFonts w:cs="Times New Roman" w:hint="default"/>
                <w:b/>
                <w:sz w:val="22"/>
              </w:rPr>
              <w:t>zku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Prá</w:t>
            </w:r>
            <w:r w:rsidRPr="001A52C7">
              <w:rPr>
                <w:rFonts w:cs="Times New Roman" w:hint="default"/>
                <w:b/>
                <w:sz w:val="22"/>
              </w:rPr>
              <w:t>vny dô</w:t>
            </w:r>
            <w:r w:rsidRPr="001A52C7">
              <w:rPr>
                <w:rFonts w:cs="Times New Roman" w:hint="default"/>
                <w:b/>
                <w:sz w:val="22"/>
              </w:rPr>
              <w:t>vod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Dá</w:t>
            </w:r>
            <w:r w:rsidRPr="001A52C7">
              <w:rPr>
                <w:rFonts w:cs="Times New Roman" w:hint="default"/>
                <w:b/>
                <w:sz w:val="22"/>
              </w:rPr>
              <w:t xml:space="preserve">tum </w:t>
            </w:r>
            <w:r w:rsidRPr="001A52C7">
              <w:rPr>
                <w:rFonts w:cs="Times New Roman" w:hint="default"/>
                <w:b/>
                <w:sz w:val="22"/>
              </w:rPr>
              <w:t>vzniku zá</w:t>
            </w:r>
            <w:r w:rsidRPr="001A52C7">
              <w:rPr>
                <w:rFonts w:cs="Times New Roman" w:hint="default"/>
                <w:b/>
                <w:sz w:val="22"/>
              </w:rPr>
              <w:t>vä</w:t>
            </w:r>
            <w:r w:rsidRPr="001A52C7">
              <w:rPr>
                <w:rFonts w:cs="Times New Roman" w:hint="default"/>
                <w:b/>
                <w:sz w:val="22"/>
              </w:rPr>
              <w:t>zku</w:t>
            </w:r>
          </w:p>
        </w:tc>
      </w:tr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e) Ú</w:t>
      </w:r>
      <w:r w:rsidRPr="001A52C7">
        <w:rPr>
          <w:rFonts w:cs="Times New Roman" w:hint="default"/>
        </w:rPr>
        <w:t>daje o </w:t>
      </w:r>
      <w:r w:rsidRPr="001A52C7">
        <w:rPr>
          <w:rFonts w:cs="Times New Roman" w:hint="default"/>
        </w:rPr>
        <w:t>prí</w:t>
      </w:r>
      <w:r w:rsidRPr="001A52C7">
        <w:rPr>
          <w:rFonts w:cs="Times New Roman" w:hint="default"/>
        </w:rPr>
        <w:t>jmoch podľ</w:t>
      </w:r>
      <w:r w:rsidRPr="001A52C7">
        <w:rPr>
          <w:rFonts w:cs="Times New Roman" w:hint="default"/>
        </w:rPr>
        <w:t>a §</w:t>
      </w:r>
      <w:r w:rsidRPr="001A52C7">
        <w:rPr>
          <w:rFonts w:cs="Times New Roman" w:hint="default"/>
        </w:rPr>
        <w:t xml:space="preserve"> 3 ods. 4 pí</w:t>
      </w:r>
      <w:r w:rsidRPr="001A52C7">
        <w:rPr>
          <w:rFonts w:cs="Times New Roman" w:hint="default"/>
        </w:rPr>
        <w:t>sm. e)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9322" w:type="dxa"/>
        <w:tblLook w:val="04A0"/>
      </w:tblPr>
      <w:tblGrid>
        <w:gridCol w:w="392"/>
        <w:gridCol w:w="4111"/>
        <w:gridCol w:w="2835"/>
        <w:gridCol w:w="1984"/>
      </w:tblGrid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č.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Popis prí</w:t>
            </w:r>
            <w:r w:rsidRPr="001A52C7">
              <w:rPr>
                <w:rFonts w:cs="Times New Roman" w:hint="default"/>
                <w:b/>
                <w:sz w:val="22"/>
              </w:rPr>
              <w:t>jmu (prí</w:t>
            </w:r>
            <w:r w:rsidRPr="001A52C7">
              <w:rPr>
                <w:rFonts w:cs="Times New Roman" w:hint="default"/>
                <w:b/>
                <w:sz w:val="22"/>
              </w:rPr>
              <w:t>jem vrá</w:t>
            </w:r>
            <w:r w:rsidRPr="001A52C7">
              <w:rPr>
                <w:rFonts w:cs="Times New Roman" w:hint="default"/>
                <w:b/>
                <w:sz w:val="22"/>
              </w:rPr>
              <w:t>tane paušá</w:t>
            </w:r>
            <w:r w:rsidRPr="001A52C7">
              <w:rPr>
                <w:rFonts w:cs="Times New Roman" w:hint="default"/>
                <w:b/>
                <w:sz w:val="22"/>
              </w:rPr>
              <w:t>lnych ná</w:t>
            </w:r>
            <w:r w:rsidRPr="001A52C7">
              <w:rPr>
                <w:rFonts w:cs="Times New Roman" w:hint="default"/>
                <w:b/>
                <w:sz w:val="22"/>
              </w:rPr>
              <w:t>hrad, ostatné</w:t>
            </w:r>
            <w:r w:rsidRPr="001A52C7">
              <w:rPr>
                <w:rFonts w:cs="Times New Roman" w:hint="default"/>
                <w:b/>
                <w:sz w:val="22"/>
              </w:rPr>
              <w:t xml:space="preserve"> finanč</w:t>
            </w:r>
            <w:r w:rsidRPr="001A52C7">
              <w:rPr>
                <w:rFonts w:cs="Times New Roman" w:hint="default"/>
                <w:b/>
                <w:sz w:val="22"/>
              </w:rPr>
              <w:t>né</w:t>
            </w:r>
            <w:r w:rsidRPr="001A52C7">
              <w:rPr>
                <w:rFonts w:cs="Times New Roman" w:hint="default"/>
                <w:b/>
                <w:sz w:val="22"/>
              </w:rPr>
              <w:t xml:space="preserve"> prí</w:t>
            </w:r>
            <w:r w:rsidRPr="001A52C7">
              <w:rPr>
                <w:rFonts w:cs="Times New Roman" w:hint="default"/>
                <w:b/>
                <w:sz w:val="22"/>
              </w:rPr>
              <w:t>jmy vyšš</w:t>
            </w:r>
            <w:r w:rsidRPr="001A52C7">
              <w:rPr>
                <w:rFonts w:cs="Times New Roman" w:hint="default"/>
                <w:b/>
                <w:sz w:val="22"/>
              </w:rPr>
              <w:t>ie ako 100 eur/rok, ak také</w:t>
            </w:r>
            <w:r w:rsidRPr="001A52C7">
              <w:rPr>
                <w:rFonts w:cs="Times New Roman" w:hint="default"/>
                <w:b/>
                <w:sz w:val="22"/>
              </w:rPr>
              <w:t>to prí</w:t>
            </w:r>
            <w:r w:rsidRPr="001A52C7">
              <w:rPr>
                <w:rFonts w:cs="Times New Roman" w:hint="default"/>
                <w:b/>
                <w:sz w:val="22"/>
              </w:rPr>
              <w:t>jmy podliehajú</w:t>
            </w:r>
            <w:r w:rsidRPr="001A52C7">
              <w:rPr>
                <w:rFonts w:cs="Times New Roman" w:hint="default"/>
                <w:b/>
                <w:sz w:val="22"/>
              </w:rPr>
              <w:t xml:space="preserve"> dani z </w:t>
            </w:r>
            <w:r w:rsidRPr="001A52C7">
              <w:rPr>
                <w:rFonts w:cs="Times New Roman" w:hint="default"/>
                <w:b/>
                <w:sz w:val="22"/>
              </w:rPr>
              <w:t>prí</w:t>
            </w:r>
            <w:r w:rsidRPr="001A52C7">
              <w:rPr>
                <w:rFonts w:cs="Times New Roman" w:hint="default"/>
                <w:b/>
                <w:sz w:val="22"/>
              </w:rPr>
              <w:t xml:space="preserve">jmov)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Druh funkcie, ktorá</w:t>
            </w:r>
            <w:r w:rsidRPr="001A52C7">
              <w:rPr>
                <w:rFonts w:cs="Times New Roman" w:hint="default"/>
                <w:b/>
                <w:sz w:val="22"/>
              </w:rPr>
              <w:t xml:space="preserve"> je </w:t>
            </w:r>
            <w:r w:rsidRPr="001A52C7">
              <w:rPr>
                <w:rFonts w:cs="Times New Roman" w:hint="default"/>
                <w:b/>
                <w:sz w:val="22"/>
              </w:rPr>
              <w:t>zdrojom prí</w:t>
            </w:r>
            <w:r w:rsidRPr="001A52C7">
              <w:rPr>
                <w:rFonts w:cs="Times New Roman" w:hint="default"/>
                <w:b/>
                <w:sz w:val="22"/>
              </w:rPr>
              <w:t>jmu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Výš</w:t>
            </w:r>
            <w:r w:rsidRPr="001A52C7">
              <w:rPr>
                <w:rFonts w:cs="Times New Roman" w:hint="default"/>
                <w:b/>
                <w:sz w:val="22"/>
              </w:rPr>
              <w:t>ka prí</w:t>
            </w:r>
            <w:r w:rsidRPr="001A52C7">
              <w:rPr>
                <w:rFonts w:cs="Times New Roman" w:hint="default"/>
                <w:b/>
                <w:sz w:val="22"/>
              </w:rPr>
              <w:t>jmu</w:t>
            </w:r>
          </w:p>
        </w:tc>
      </w:tr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932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f) Ú</w:t>
      </w:r>
      <w:r w:rsidRPr="001A52C7">
        <w:rPr>
          <w:rFonts w:cs="Times New Roman" w:hint="default"/>
        </w:rPr>
        <w:t>daje o daroch a </w:t>
      </w:r>
      <w:r w:rsidRPr="001A52C7">
        <w:rPr>
          <w:rFonts w:cs="Times New Roman" w:hint="default"/>
        </w:rPr>
        <w:t>iný</w:t>
      </w:r>
      <w:r w:rsidRPr="001A52C7">
        <w:rPr>
          <w:rFonts w:cs="Times New Roman" w:hint="default"/>
        </w:rPr>
        <w:t xml:space="preserve">ch </w:t>
      </w:r>
      <w:r>
        <w:rPr>
          <w:rFonts w:cs="Times New Roman" w:hint="default"/>
        </w:rPr>
        <w:t>vý</w:t>
      </w:r>
      <w:r>
        <w:rPr>
          <w:rFonts w:cs="Times New Roman" w:hint="default"/>
        </w:rPr>
        <w:t>hodá</w:t>
      </w:r>
      <w:r>
        <w:rPr>
          <w:rFonts w:cs="Times New Roman" w:hint="default"/>
        </w:rPr>
        <w:t>ch</w:t>
      </w:r>
      <w:r w:rsidRPr="001A52C7">
        <w:rPr>
          <w:rFonts w:cs="Times New Roman"/>
        </w:rPr>
        <w:t>, ktor</w:t>
      </w:r>
      <w:r w:rsidR="006D0F52">
        <w:rPr>
          <w:rFonts w:cs="Times New Roman" w:hint="default"/>
        </w:rPr>
        <w:t>ý</w:t>
      </w:r>
      <w:r w:rsidR="006D0F52">
        <w:rPr>
          <w:rFonts w:cs="Times New Roman" w:hint="default"/>
        </w:rPr>
        <w:t xml:space="preserve">ch hodnota presahuje 4 000 eur </w:t>
      </w:r>
      <w:r w:rsidRPr="001A52C7">
        <w:rPr>
          <w:rFonts w:cs="Times New Roman" w:hint="default"/>
        </w:rPr>
        <w:t>podľ</w:t>
      </w:r>
      <w:r w:rsidRPr="001A52C7">
        <w:rPr>
          <w:rFonts w:cs="Times New Roman" w:hint="default"/>
        </w:rPr>
        <w:t>a §</w:t>
      </w:r>
      <w:r w:rsidRPr="001A52C7">
        <w:rPr>
          <w:rFonts w:cs="Times New Roman" w:hint="default"/>
        </w:rPr>
        <w:t xml:space="preserve"> 3 ods. 4 pí</w:t>
      </w:r>
      <w:r w:rsidRPr="001A52C7">
        <w:rPr>
          <w:rFonts w:cs="Times New Roman" w:hint="default"/>
        </w:rPr>
        <w:t>sm. f)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16692" w:type="dxa"/>
        <w:tblLook w:val="04A0"/>
      </w:tblPr>
      <w:tblGrid>
        <w:gridCol w:w="392"/>
        <w:gridCol w:w="2125"/>
        <w:gridCol w:w="2411"/>
        <w:gridCol w:w="2410"/>
        <w:gridCol w:w="1984"/>
        <w:gridCol w:w="1842"/>
        <w:gridCol w:w="1842"/>
        <w:gridCol w:w="1843"/>
        <w:gridCol w:w="1843"/>
      </w:tblGrid>
      <w:tr>
        <w:tblPrEx>
          <w:tblW w:w="1669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č.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Popis daru, inej vý</w:t>
            </w:r>
            <w:r w:rsidRPr="001A52C7">
              <w:rPr>
                <w:rFonts w:cs="Times New Roman" w:hint="default"/>
                <w:b/>
                <w:sz w:val="22"/>
              </w:rPr>
              <w:t xml:space="preserve">hody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Meno a </w:t>
            </w:r>
            <w:r w:rsidRPr="001A52C7">
              <w:rPr>
                <w:rFonts w:cs="Times New Roman" w:hint="default"/>
                <w:b/>
                <w:sz w:val="22"/>
              </w:rPr>
              <w:t>priezvisko (obchodné</w:t>
            </w:r>
            <w:r w:rsidRPr="001A52C7">
              <w:rPr>
                <w:rFonts w:cs="Times New Roman" w:hint="default"/>
                <w:b/>
                <w:sz w:val="22"/>
              </w:rPr>
              <w:t xml:space="preserve"> meno) darcu / osoby, ktorá</w:t>
            </w:r>
            <w:r w:rsidRPr="001A52C7">
              <w:rPr>
                <w:rFonts w:cs="Times New Roman" w:hint="default"/>
                <w:b/>
                <w:sz w:val="22"/>
              </w:rPr>
              <w:t xml:space="preserve"> poskytla vý</w:t>
            </w:r>
            <w:r w:rsidRPr="001A52C7">
              <w:rPr>
                <w:rFonts w:cs="Times New Roman" w:hint="default"/>
                <w:b/>
                <w:sz w:val="22"/>
              </w:rPr>
              <w:t>hodu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 xml:space="preserve">Adresa </w:t>
            </w:r>
            <w:r w:rsidRPr="001A52C7">
              <w:rPr>
                <w:rFonts w:cs="Times New Roman" w:hint="default"/>
                <w:b/>
                <w:sz w:val="22"/>
              </w:rPr>
              <w:t>trvalé</w:t>
            </w:r>
            <w:r>
              <w:rPr>
                <w:rFonts w:cs="Times New Roman" w:hint="default"/>
                <w:b/>
                <w:sz w:val="22"/>
              </w:rPr>
              <w:t>ho bydliska (adresa sí</w:t>
            </w:r>
            <w:r>
              <w:rPr>
                <w:rFonts w:cs="Times New Roman" w:hint="default"/>
                <w:b/>
                <w:sz w:val="22"/>
              </w:rPr>
              <w:t>dla)</w:t>
            </w:r>
            <w:r w:rsidRPr="001A52C7">
              <w:rPr>
                <w:rFonts w:cs="Times New Roman" w:hint="default"/>
                <w:b/>
                <w:sz w:val="22"/>
              </w:rPr>
              <w:t xml:space="preserve"> darcu / osoby, ktorá</w:t>
            </w:r>
            <w:r w:rsidRPr="001A52C7">
              <w:rPr>
                <w:rFonts w:cs="Times New Roman" w:hint="default"/>
                <w:b/>
                <w:sz w:val="22"/>
              </w:rPr>
              <w:t xml:space="preserve"> poskytla vý</w:t>
            </w:r>
            <w:r w:rsidRPr="001A52C7">
              <w:rPr>
                <w:rFonts w:cs="Times New Roman" w:hint="default"/>
                <w:b/>
                <w:sz w:val="22"/>
              </w:rPr>
              <w:t>hodu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 w:hint="default"/>
                <w:b/>
                <w:sz w:val="22"/>
              </w:rPr>
            </w:pPr>
            <w:r w:rsidRPr="001A52C7">
              <w:rPr>
                <w:rFonts w:cs="Times New Roman" w:hint="default"/>
                <w:b/>
                <w:sz w:val="22"/>
              </w:rPr>
              <w:t>Suma finanč</w:t>
            </w:r>
            <w:r w:rsidRPr="001A52C7">
              <w:rPr>
                <w:rFonts w:cs="Times New Roman" w:hint="default"/>
                <w:b/>
                <w:sz w:val="22"/>
              </w:rPr>
              <w:t>né</w:t>
            </w:r>
            <w:r w:rsidRPr="001A52C7">
              <w:rPr>
                <w:rFonts w:cs="Times New Roman" w:hint="default"/>
                <w:b/>
                <w:sz w:val="22"/>
              </w:rPr>
              <w:t>ho daru / cena daru alebo výš</w:t>
            </w:r>
            <w:r w:rsidRPr="001A52C7">
              <w:rPr>
                <w:rFonts w:cs="Times New Roman" w:hint="default"/>
                <w:b/>
                <w:sz w:val="22"/>
              </w:rPr>
              <w:t>ka finanč</w:t>
            </w:r>
            <w:r w:rsidRPr="001A52C7">
              <w:rPr>
                <w:rFonts w:cs="Times New Roman" w:hint="default"/>
                <w:b/>
                <w:sz w:val="22"/>
              </w:rPr>
              <w:t>nej vý</w:t>
            </w:r>
            <w:r w:rsidRPr="001A52C7">
              <w:rPr>
                <w:rFonts w:cs="Times New Roman" w:hint="default"/>
                <w:b/>
                <w:sz w:val="22"/>
              </w:rPr>
              <w:t>hody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rPr>
                <w:rFonts w:cs="Times New Roman"/>
                <w:sz w:val="22"/>
              </w:rPr>
            </w:pPr>
          </w:p>
        </w:tc>
      </w:tr>
      <w:tr>
        <w:tblPrEx>
          <w:tblW w:w="1669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  <w:tr>
        <w:tblPrEx>
          <w:tblW w:w="16692" w:type="dxa"/>
          <w:tblLook w:val="04A0"/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/>
                <w:sz w:val="22"/>
              </w:rPr>
            </w:pPr>
            <w:r w:rsidRPr="001A52C7">
              <w:rPr>
                <w:rFonts w:cs="Times New Roman"/>
                <w:sz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  <w:p w:rsidR="009B0384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* vý</w:t>
      </w:r>
      <w:r w:rsidRPr="001A52C7">
        <w:rPr>
          <w:rFonts w:cs="Times New Roman" w:hint="default"/>
        </w:rPr>
        <w:t>poč</w:t>
      </w:r>
      <w:r w:rsidRPr="001A52C7">
        <w:rPr>
          <w:rFonts w:cs="Times New Roman" w:hint="default"/>
        </w:rPr>
        <w:t>et poradový</w:t>
      </w:r>
      <w:r w:rsidRPr="001A52C7">
        <w:rPr>
          <w:rFonts w:cs="Times New Roman" w:hint="default"/>
        </w:rPr>
        <w:t>ch čí</w:t>
      </w:r>
      <w:r w:rsidRPr="001A52C7">
        <w:rPr>
          <w:rFonts w:cs="Times New Roman" w:hint="default"/>
        </w:rPr>
        <w:t>siel jednotlivý</w:t>
      </w:r>
      <w:r w:rsidRPr="001A52C7">
        <w:rPr>
          <w:rFonts w:cs="Times New Roman" w:hint="default"/>
        </w:rPr>
        <w:t>ch majetkový</w:t>
      </w:r>
      <w:r w:rsidRPr="001A52C7">
        <w:rPr>
          <w:rFonts w:cs="Times New Roman" w:hint="default"/>
        </w:rPr>
        <w:t>ch pomerov v II. oddiele, </w:t>
      </w:r>
      <w:r w:rsidRPr="001A52C7">
        <w:rPr>
          <w:rFonts w:cs="Times New Roman" w:hint="default"/>
        </w:rPr>
        <w:t>pí</w:t>
      </w:r>
      <w:r w:rsidRPr="001A52C7">
        <w:rPr>
          <w:rFonts w:cs="Times New Roman" w:hint="default"/>
        </w:rPr>
        <w:t>smená</w:t>
      </w:r>
      <w:r w:rsidRPr="001A52C7">
        <w:rPr>
          <w:rFonts w:cs="Times New Roman" w:hint="default"/>
        </w:rPr>
        <w:t>ch a) až</w:t>
      </w:r>
      <w:r w:rsidRPr="001A52C7">
        <w:rPr>
          <w:rFonts w:cs="Times New Roman" w:hint="default"/>
        </w:rPr>
        <w:t xml:space="preserve"> f) tohto vzoru, je uvedený</w:t>
      </w:r>
      <w:r w:rsidRPr="001A52C7">
        <w:rPr>
          <w:rFonts w:cs="Times New Roman" w:hint="default"/>
        </w:rPr>
        <w:t xml:space="preserve"> prí</w:t>
      </w:r>
      <w:r w:rsidRPr="001A52C7">
        <w:rPr>
          <w:rFonts w:cs="Times New Roman" w:hint="default"/>
        </w:rPr>
        <w:t>kladmo. V </w:t>
      </w:r>
      <w:r w:rsidRPr="001A52C7">
        <w:rPr>
          <w:rFonts w:cs="Times New Roman" w:hint="default"/>
        </w:rPr>
        <w:t>prí</w:t>
      </w:r>
      <w:r w:rsidRPr="001A52C7">
        <w:rPr>
          <w:rFonts w:cs="Times New Roman" w:hint="default"/>
        </w:rPr>
        <w:t xml:space="preserve">pade </w:t>
      </w:r>
      <w:r>
        <w:rPr>
          <w:rFonts w:cs="Times New Roman"/>
        </w:rPr>
        <w:t xml:space="preserve">potreby </w:t>
      </w:r>
      <w:r w:rsidRPr="001A52C7">
        <w:rPr>
          <w:rFonts w:cs="Times New Roman" w:hint="default"/>
        </w:rPr>
        <w:t>verejný</w:t>
      </w:r>
      <w:r w:rsidRPr="001A52C7">
        <w:rPr>
          <w:rFonts w:cs="Times New Roman" w:hint="default"/>
        </w:rPr>
        <w:t xml:space="preserve"> č</w:t>
      </w:r>
      <w:r w:rsidRPr="001A52C7">
        <w:rPr>
          <w:rFonts w:cs="Times New Roman" w:hint="default"/>
        </w:rPr>
        <w:t>initeľ</w:t>
      </w:r>
      <w:r w:rsidRPr="001A52C7">
        <w:rPr>
          <w:rFonts w:cs="Times New Roman" w:hint="default"/>
        </w:rPr>
        <w:t xml:space="preserve"> doplní</w:t>
      </w:r>
      <w:r w:rsidRPr="001A52C7">
        <w:rPr>
          <w:rFonts w:cs="Times New Roman" w:hint="default"/>
        </w:rPr>
        <w:t xml:space="preserve"> ď</w:t>
      </w:r>
      <w:r w:rsidRPr="001A52C7">
        <w:rPr>
          <w:rFonts w:cs="Times New Roman" w:hint="default"/>
        </w:rPr>
        <w:t>alš</w:t>
      </w:r>
      <w:r w:rsidRPr="001A52C7">
        <w:rPr>
          <w:rFonts w:cs="Times New Roman" w:hint="default"/>
        </w:rPr>
        <w:t>iu stranu k</w:t>
      </w:r>
      <w:r>
        <w:rPr>
          <w:rFonts w:cs="Times New Roman"/>
        </w:rPr>
        <w:t> </w:t>
      </w:r>
      <w:r w:rsidRPr="001A52C7">
        <w:rPr>
          <w:rFonts w:cs="Times New Roman"/>
        </w:rPr>
        <w:t>tomuto</w:t>
      </w:r>
      <w:r>
        <w:rPr>
          <w:rFonts w:cs="Times New Roman" w:hint="default"/>
        </w:rPr>
        <w:t xml:space="preserve"> majetkové</w:t>
      </w:r>
      <w:r>
        <w:rPr>
          <w:rFonts w:cs="Times New Roman" w:hint="default"/>
        </w:rPr>
        <w:t>mu</w:t>
      </w:r>
      <w:r w:rsidRPr="001A52C7">
        <w:rPr>
          <w:rFonts w:cs="Times New Roman" w:hint="default"/>
        </w:rPr>
        <w:t xml:space="preserve"> priznaniu spô</w:t>
      </w:r>
      <w:r w:rsidRPr="001A52C7">
        <w:rPr>
          <w:rFonts w:cs="Times New Roman" w:hint="default"/>
        </w:rPr>
        <w:t>sobom, ž</w:t>
      </w:r>
      <w:r w:rsidRPr="001A52C7">
        <w:rPr>
          <w:rFonts w:cs="Times New Roman" w:hint="default"/>
        </w:rPr>
        <w:t>e na jej zač</w:t>
      </w:r>
      <w:r w:rsidRPr="001A52C7">
        <w:rPr>
          <w:rFonts w:cs="Times New Roman" w:hint="default"/>
        </w:rPr>
        <w:t>iatku ju označí</w:t>
      </w:r>
      <w:r w:rsidRPr="001A52C7">
        <w:rPr>
          <w:rFonts w:cs="Times New Roman" w:hint="default"/>
        </w:rPr>
        <w:t xml:space="preserve"> h</w:t>
      </w:r>
      <w:r w:rsidRPr="001A52C7">
        <w:rPr>
          <w:rFonts w:cs="Times New Roman" w:hint="default"/>
        </w:rPr>
        <w:t>lavič</w:t>
      </w:r>
      <w:r w:rsidRPr="001A52C7">
        <w:rPr>
          <w:rFonts w:cs="Times New Roman" w:hint="default"/>
        </w:rPr>
        <w:t>ku tabuľ</w:t>
      </w:r>
      <w:r w:rsidRPr="001A52C7">
        <w:rPr>
          <w:rFonts w:cs="Times New Roman" w:hint="default"/>
        </w:rPr>
        <w:t>ky konkré</w:t>
      </w:r>
      <w:r w:rsidRPr="001A52C7">
        <w:rPr>
          <w:rFonts w:cs="Times New Roman" w:hint="default"/>
        </w:rPr>
        <w:t>tneho pí</w:t>
      </w:r>
      <w:r w:rsidRPr="001A52C7">
        <w:rPr>
          <w:rFonts w:cs="Times New Roman" w:hint="default"/>
        </w:rPr>
        <w:t>smena, v </w:t>
      </w:r>
      <w:r w:rsidRPr="001A52C7">
        <w:rPr>
          <w:rFonts w:cs="Times New Roman" w:hint="default"/>
        </w:rPr>
        <w:t>čí</w:t>
      </w:r>
      <w:r w:rsidRPr="001A52C7">
        <w:rPr>
          <w:rFonts w:cs="Times New Roman" w:hint="default"/>
        </w:rPr>
        <w:t>slovaní</w:t>
      </w:r>
      <w:r w:rsidRPr="001A52C7">
        <w:rPr>
          <w:rFonts w:cs="Times New Roman" w:hint="default"/>
        </w:rPr>
        <w:t xml:space="preserve"> ktoré</w:t>
      </w:r>
      <w:r w:rsidRPr="001A52C7">
        <w:rPr>
          <w:rFonts w:cs="Times New Roman" w:hint="default"/>
        </w:rPr>
        <w:t>ho pokrač</w:t>
      </w:r>
      <w:r w:rsidRPr="001A52C7">
        <w:rPr>
          <w:rFonts w:cs="Times New Roman" w:hint="default"/>
        </w:rPr>
        <w:t>uje z </w:t>
      </w:r>
      <w:r w:rsidRPr="001A52C7">
        <w:rPr>
          <w:rFonts w:cs="Times New Roman" w:hint="default"/>
        </w:rPr>
        <w:t>predchá</w:t>
      </w:r>
      <w:r w:rsidRPr="001A52C7">
        <w:rPr>
          <w:rFonts w:cs="Times New Roman" w:hint="default"/>
        </w:rPr>
        <w:t>dzajú</w:t>
      </w:r>
      <w:r w:rsidRPr="001A52C7">
        <w:rPr>
          <w:rFonts w:cs="Times New Roman" w:hint="default"/>
        </w:rPr>
        <w:t>cej strany</w:t>
      </w:r>
      <w:r>
        <w:rPr>
          <w:rFonts w:cs="Times New Roman"/>
        </w:rPr>
        <w:t xml:space="preserve"> a </w:t>
      </w:r>
      <w:r>
        <w:rPr>
          <w:rFonts w:cs="Times New Roman" w:hint="default"/>
        </w:rPr>
        <w:t>pokrač</w:t>
      </w:r>
      <w:r>
        <w:rPr>
          <w:rFonts w:cs="Times New Roman" w:hint="default"/>
        </w:rPr>
        <w:t>uje v </w:t>
      </w:r>
      <w:r>
        <w:rPr>
          <w:rFonts w:cs="Times New Roman" w:hint="default"/>
        </w:rPr>
        <w:t>ď</w:t>
      </w:r>
      <w:r>
        <w:rPr>
          <w:rFonts w:cs="Times New Roman" w:hint="default"/>
        </w:rPr>
        <w:t>alš</w:t>
      </w:r>
      <w:r>
        <w:rPr>
          <w:rFonts w:cs="Times New Roman" w:hint="default"/>
        </w:rPr>
        <w:t>om uvá</w:t>
      </w:r>
      <w:r>
        <w:rPr>
          <w:rFonts w:cs="Times New Roman" w:hint="default"/>
        </w:rPr>
        <w:t>dzaní</w:t>
      </w:r>
      <w:r>
        <w:rPr>
          <w:rFonts w:cs="Times New Roman" w:hint="default"/>
        </w:rPr>
        <w:t xml:space="preserve"> ú</w:t>
      </w:r>
      <w:r>
        <w:rPr>
          <w:rFonts w:cs="Times New Roman" w:hint="default"/>
        </w:rPr>
        <w:t>dajov o </w:t>
      </w:r>
      <w:r>
        <w:rPr>
          <w:rFonts w:cs="Times New Roman" w:hint="default"/>
        </w:rPr>
        <w:t>majetkový</w:t>
      </w:r>
      <w:r>
        <w:rPr>
          <w:rFonts w:cs="Times New Roman" w:hint="default"/>
        </w:rPr>
        <w:t>ch pomeroch</w:t>
      </w:r>
      <w:r w:rsidRPr="001A52C7">
        <w:rPr>
          <w:rFonts w:cs="Times New Roman" w:hint="default"/>
        </w:rPr>
        <w:t>. Po skonč</w:t>
      </w:r>
      <w:r w:rsidRPr="001A52C7">
        <w:rPr>
          <w:rFonts w:cs="Times New Roman" w:hint="default"/>
        </w:rPr>
        <w:t>ení</w:t>
      </w:r>
      <w:r w:rsidRPr="001A52C7">
        <w:rPr>
          <w:rFonts w:cs="Times New Roman" w:hint="default"/>
        </w:rPr>
        <w:t xml:space="preserve"> také</w:t>
      </w:r>
      <w:r w:rsidRPr="001A52C7">
        <w:rPr>
          <w:rFonts w:cs="Times New Roman" w:hint="default"/>
        </w:rPr>
        <w:t>hoto označ</w:t>
      </w:r>
      <w:r w:rsidRPr="001A52C7">
        <w:rPr>
          <w:rFonts w:cs="Times New Roman" w:hint="default"/>
        </w:rPr>
        <w:t>ovania</w:t>
      </w:r>
      <w:r>
        <w:rPr>
          <w:rFonts w:cs="Times New Roman"/>
        </w:rPr>
        <w:t xml:space="preserve"> a </w:t>
      </w:r>
      <w:r>
        <w:rPr>
          <w:rFonts w:cs="Times New Roman" w:hint="default"/>
        </w:rPr>
        <w:t>uvá</w:t>
      </w:r>
      <w:r>
        <w:rPr>
          <w:rFonts w:cs="Times New Roman" w:hint="default"/>
        </w:rPr>
        <w:t>dzania ú</w:t>
      </w:r>
      <w:r>
        <w:rPr>
          <w:rFonts w:cs="Times New Roman" w:hint="default"/>
        </w:rPr>
        <w:t>dajov</w:t>
      </w:r>
      <w:r w:rsidRPr="001A52C7">
        <w:rPr>
          <w:rFonts w:cs="Times New Roman" w:hint="default"/>
        </w:rPr>
        <w:t xml:space="preserve"> plynule pokrač</w:t>
      </w:r>
      <w:r w:rsidRPr="001A52C7">
        <w:rPr>
          <w:rFonts w:cs="Times New Roman" w:hint="default"/>
        </w:rPr>
        <w:t>uje v </w:t>
      </w:r>
      <w:r w:rsidRPr="001A52C7">
        <w:rPr>
          <w:rFonts w:cs="Times New Roman" w:hint="default"/>
        </w:rPr>
        <w:t>nadvä</w:t>
      </w:r>
      <w:r w:rsidRPr="001A52C7">
        <w:rPr>
          <w:rFonts w:cs="Times New Roman" w:hint="default"/>
        </w:rPr>
        <w:t>zujú</w:t>
      </w:r>
      <w:r w:rsidRPr="001A52C7">
        <w:rPr>
          <w:rFonts w:cs="Times New Roman" w:hint="default"/>
        </w:rPr>
        <w:t>com označ</w:t>
      </w:r>
      <w:r w:rsidRPr="001A52C7">
        <w:rPr>
          <w:rFonts w:cs="Times New Roman" w:hint="default"/>
        </w:rPr>
        <w:t>ovaní</w:t>
      </w:r>
      <w:r w:rsidRPr="001A52C7">
        <w:rPr>
          <w:rFonts w:cs="Times New Roman" w:hint="default"/>
        </w:rPr>
        <w:t xml:space="preserve"> svojich</w:t>
      </w:r>
      <w:r w:rsidRPr="001A52C7">
        <w:rPr>
          <w:rFonts w:cs="Times New Roman" w:hint="default"/>
        </w:rPr>
        <w:t xml:space="preserve"> majetkový</w:t>
      </w:r>
      <w:r w:rsidRPr="001A52C7">
        <w:rPr>
          <w:rFonts w:cs="Times New Roman" w:hint="default"/>
        </w:rPr>
        <w:t>ch pomerov podľ</w:t>
      </w:r>
      <w:r w:rsidRPr="001A52C7">
        <w:rPr>
          <w:rFonts w:cs="Times New Roman" w:hint="default"/>
        </w:rPr>
        <w:t>a pí</w:t>
      </w:r>
      <w:r w:rsidRPr="001A52C7">
        <w:rPr>
          <w:rFonts w:cs="Times New Roman" w:hint="default"/>
        </w:rPr>
        <w:t>smen II. oddielu tohto vzoru.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1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RPr="001A52C7" w:rsidP="009B0384">
      <w:pPr>
        <w:pStyle w:val="ListParagraph"/>
        <w:widowControl/>
        <w:numPr>
          <w:numId w:val="15"/>
        </w:numPr>
        <w:suppressAutoHyphens w:val="0"/>
        <w:bidi w:val="0"/>
        <w:spacing w:after="200" w:line="276" w:lineRule="auto"/>
        <w:ind w:left="0" w:firstLine="0"/>
        <w:jc w:val="both"/>
        <w:rPr>
          <w:rFonts w:cs="Times New Roman"/>
          <w:b/>
          <w:szCs w:val="24"/>
        </w:rPr>
      </w:pPr>
      <w:r w:rsidRPr="001A52C7">
        <w:rPr>
          <w:rFonts w:cs="Times New Roman"/>
          <w:b/>
          <w:szCs w:val="24"/>
        </w:rPr>
        <w:t>Oddiel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 w:hint="default"/>
          <w:b/>
          <w:szCs w:val="24"/>
        </w:rPr>
      </w:pPr>
      <w:r w:rsidRPr="001A52C7">
        <w:rPr>
          <w:rFonts w:cs="Times New Roman" w:hint="default"/>
          <w:b/>
          <w:szCs w:val="24"/>
        </w:rPr>
        <w:t>Vyhlá</w:t>
      </w:r>
      <w:r w:rsidRPr="001A52C7">
        <w:rPr>
          <w:rFonts w:cs="Times New Roman" w:hint="default"/>
          <w:b/>
          <w:szCs w:val="24"/>
        </w:rPr>
        <w:t>senie verejné</w:t>
      </w:r>
      <w:r w:rsidRPr="001A52C7">
        <w:rPr>
          <w:rFonts w:cs="Times New Roman" w:hint="default"/>
          <w:b/>
          <w:szCs w:val="24"/>
        </w:rPr>
        <w:t>ho č</w:t>
      </w:r>
      <w:r w:rsidRPr="001A52C7">
        <w:rPr>
          <w:rFonts w:cs="Times New Roman" w:hint="default"/>
          <w:b/>
          <w:szCs w:val="24"/>
        </w:rPr>
        <w:t>initeľ</w:t>
      </w:r>
      <w:r w:rsidRPr="001A52C7">
        <w:rPr>
          <w:rFonts w:cs="Times New Roman" w:hint="default"/>
          <w:b/>
          <w:szCs w:val="24"/>
        </w:rPr>
        <w:t>a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 w:hint="default"/>
        </w:rPr>
      </w:pPr>
      <w:r w:rsidRPr="001A52C7">
        <w:rPr>
          <w:rFonts w:cs="Times New Roman" w:hint="default"/>
        </w:rPr>
        <w:t>Č</w:t>
      </w:r>
      <w:r w:rsidRPr="001A52C7">
        <w:rPr>
          <w:rFonts w:cs="Times New Roman" w:hint="default"/>
        </w:rPr>
        <w:t>estne vyhlasujem, ž</w:t>
      </w:r>
      <w:r w:rsidRPr="001A52C7">
        <w:rPr>
          <w:rFonts w:cs="Times New Roman" w:hint="default"/>
        </w:rPr>
        <w:t>e vš</w:t>
      </w:r>
      <w:r w:rsidRPr="001A52C7">
        <w:rPr>
          <w:rFonts w:cs="Times New Roman" w:hint="default"/>
        </w:rPr>
        <w:t>etky ú</w:t>
      </w:r>
      <w:r w:rsidRPr="001A52C7">
        <w:rPr>
          <w:rFonts w:cs="Times New Roman" w:hint="default"/>
        </w:rPr>
        <w:t>daje uvedené</w:t>
      </w:r>
      <w:r w:rsidRPr="001A52C7">
        <w:rPr>
          <w:rFonts w:cs="Times New Roman" w:hint="default"/>
        </w:rPr>
        <w:t xml:space="preserve"> v </w:t>
      </w:r>
      <w:r w:rsidRPr="001A52C7">
        <w:rPr>
          <w:rFonts w:cs="Times New Roman" w:hint="default"/>
        </w:rPr>
        <w:t>majetkovom priznaní</w:t>
      </w:r>
      <w:r w:rsidRPr="001A52C7">
        <w:rPr>
          <w:rFonts w:cs="Times New Roman" w:hint="default"/>
        </w:rPr>
        <w:t xml:space="preserve"> sú</w:t>
      </w:r>
      <w:r w:rsidRPr="001A52C7">
        <w:rPr>
          <w:rFonts w:cs="Times New Roman" w:hint="default"/>
        </w:rPr>
        <w:t xml:space="preserve"> pravdivé</w:t>
      </w:r>
      <w:r w:rsidRPr="001A52C7">
        <w:rPr>
          <w:rFonts w:cs="Times New Roman" w:hint="default"/>
        </w:rPr>
        <w:t xml:space="preserve"> a </w:t>
      </w:r>
      <w:r w:rsidRPr="001A52C7">
        <w:rPr>
          <w:rFonts w:cs="Times New Roman" w:hint="default"/>
        </w:rPr>
        <w:t>sprá</w:t>
      </w:r>
      <w:r w:rsidRPr="001A52C7">
        <w:rPr>
          <w:rFonts w:cs="Times New Roman" w:hint="default"/>
        </w:rPr>
        <w:t>vne a </w:t>
      </w:r>
      <w:r w:rsidRPr="001A52C7">
        <w:rPr>
          <w:rFonts w:cs="Times New Roman" w:hint="default"/>
        </w:rPr>
        <w:t>som si vedomý</w:t>
      </w:r>
      <w:r w:rsidRPr="001A52C7">
        <w:rPr>
          <w:rFonts w:cs="Times New Roman" w:hint="default"/>
        </w:rPr>
        <w:t xml:space="preserve"> prá</w:t>
      </w:r>
      <w:r w:rsidRPr="001A52C7">
        <w:rPr>
          <w:rFonts w:cs="Times New Roman" w:hint="default"/>
        </w:rPr>
        <w:t>vnych ná</w:t>
      </w:r>
      <w:r w:rsidRPr="001A52C7">
        <w:rPr>
          <w:rFonts w:cs="Times New Roman" w:hint="default"/>
        </w:rPr>
        <w:t>sledkov uvedenia nesprá</w:t>
      </w:r>
      <w:r w:rsidRPr="001A52C7">
        <w:rPr>
          <w:rFonts w:cs="Times New Roman" w:hint="default"/>
        </w:rPr>
        <w:t xml:space="preserve">vnych alebo </w:t>
      </w:r>
      <w:r w:rsidRPr="001A52C7">
        <w:rPr>
          <w:rFonts w:cs="Times New Roman" w:hint="default"/>
        </w:rPr>
        <w:t>neú</w:t>
      </w:r>
      <w:r w:rsidRPr="001A52C7">
        <w:rPr>
          <w:rFonts w:cs="Times New Roman" w:hint="default"/>
        </w:rPr>
        <w:t>plný</w:t>
      </w:r>
      <w:r w:rsidRPr="001A52C7">
        <w:rPr>
          <w:rFonts w:cs="Times New Roman" w:hint="default"/>
        </w:rPr>
        <w:t>ch ú</w:t>
      </w:r>
      <w:r w:rsidRPr="001A52C7">
        <w:rPr>
          <w:rFonts w:cs="Times New Roman" w:hint="default"/>
        </w:rPr>
        <w:t>dajov v </w:t>
      </w:r>
      <w:r w:rsidRPr="001A52C7">
        <w:rPr>
          <w:rFonts w:cs="Times New Roman" w:hint="default"/>
        </w:rPr>
        <w:t>majetkovom priznaní.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 w:hint="default"/>
        </w:rPr>
      </w:pP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  <w:r w:rsidRPr="001A52C7">
        <w:rPr>
          <w:rFonts w:cs="Times New Roman" w:hint="default"/>
        </w:rPr>
        <w:t>V ...........</w:t>
      </w:r>
      <w:r>
        <w:rPr>
          <w:rFonts w:cs="Times New Roman"/>
        </w:rPr>
        <w:t>......................</w:t>
      </w:r>
      <w:r w:rsidRPr="001A52C7">
        <w:rPr>
          <w:rFonts w:cs="Times New Roman" w:hint="default"/>
        </w:rPr>
        <w:t>....., dň</w:t>
      </w:r>
      <w:r w:rsidRPr="001A52C7">
        <w:rPr>
          <w:rFonts w:cs="Times New Roman" w:hint="default"/>
        </w:rPr>
        <w:t>a .........</w:t>
      </w:r>
      <w:r>
        <w:rPr>
          <w:rFonts w:cs="Times New Roman"/>
        </w:rPr>
        <w:t>.....................</w:t>
      </w:r>
      <w:r w:rsidRPr="001A52C7">
        <w:rPr>
          <w:rFonts w:cs="Times New Roman"/>
        </w:rPr>
        <w:t>........</w:t>
      </w: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0384" w:rsidRPr="001A52C7" w:rsidP="009B2A8A">
            <w:pPr>
              <w:pStyle w:val="ListParagraph"/>
              <w:bidi w:val="0"/>
              <w:ind w:left="0"/>
              <w:jc w:val="center"/>
              <w:rPr>
                <w:rFonts w:cs="Times New Roman" w:hint="default"/>
                <w:sz w:val="22"/>
              </w:rPr>
            </w:pPr>
            <w:r w:rsidRPr="001A52C7">
              <w:rPr>
                <w:rFonts w:cs="Times New Roman" w:hint="default"/>
                <w:sz w:val="22"/>
              </w:rPr>
              <w:t>podpis verejné</w:t>
            </w:r>
            <w:r w:rsidRPr="001A52C7">
              <w:rPr>
                <w:rFonts w:cs="Times New Roman" w:hint="default"/>
                <w:sz w:val="22"/>
              </w:rPr>
              <w:t>ho č</w:t>
            </w:r>
            <w:r w:rsidRPr="001A52C7">
              <w:rPr>
                <w:rFonts w:cs="Times New Roman" w:hint="default"/>
                <w:sz w:val="22"/>
              </w:rPr>
              <w:t>initeľ</w:t>
            </w:r>
            <w:r w:rsidRPr="001A52C7">
              <w:rPr>
                <w:rFonts w:cs="Times New Roman" w:hint="default"/>
                <w:sz w:val="22"/>
              </w:rPr>
              <w:t>a</w:t>
            </w:r>
          </w:p>
        </w:tc>
      </w:tr>
    </w:tbl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9B0384" w:rsidRPr="001A52C7" w:rsidP="009B0384">
      <w:pPr>
        <w:pStyle w:val="ListParagraph"/>
        <w:bidi w:val="0"/>
        <w:ind w:left="0"/>
        <w:jc w:val="both"/>
        <w:rPr>
          <w:rFonts w:cs="Times New Roman"/>
        </w:rPr>
      </w:pPr>
    </w:p>
    <w:p w:rsidR="000E1573" w:rsidRPr="00D22398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II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D22398">
        <w:rPr>
          <w:rFonts w:eastAsia="Times New Roman" w:cs="Times New Roman"/>
          <w:kern w:val="0"/>
          <w:lang w:eastAsia="en-US" w:bidi="ar-SA"/>
        </w:rPr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</w:t>
      </w:r>
      <w:r>
        <w:rPr>
          <w:rFonts w:eastAsia="Times New Roman" w:cs="Times New Roman"/>
          <w:kern w:val="0"/>
          <w:lang w:eastAsia="en-US" w:bidi="ar-SA"/>
        </w:rPr>
        <w:t xml:space="preserve">. z., zákona č. 80/2013 Z. z., </w:t>
      </w:r>
      <w:r w:rsidRPr="00D22398">
        <w:rPr>
          <w:rFonts w:eastAsia="Times New Roman" w:cs="Times New Roman"/>
          <w:kern w:val="0"/>
          <w:lang w:eastAsia="en-US" w:bidi="ar-SA"/>
        </w:rPr>
        <w:t xml:space="preserve">zákona č. 462/2013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307/2014 z. z. </w:t>
      </w:r>
      <w:r w:rsidRPr="00D22398">
        <w:rPr>
          <w:rFonts w:eastAsia="Times New Roman" w:cs="Times New Roman"/>
          <w:kern w:val="0"/>
          <w:lang w:eastAsia="en-US" w:bidi="ar-SA"/>
        </w:rPr>
        <w:t xml:space="preserve">sa </w:t>
      </w:r>
      <w:r>
        <w:rPr>
          <w:rFonts w:eastAsia="Times New Roman" w:cs="Times New Roman"/>
          <w:kern w:val="0"/>
          <w:lang w:eastAsia="en-US" w:bidi="ar-SA"/>
        </w:rPr>
        <w:t xml:space="preserve">mení a </w:t>
      </w:r>
      <w:r w:rsidRPr="00D22398">
        <w:rPr>
          <w:rFonts w:eastAsia="Times New Roman" w:cs="Times New Roman"/>
          <w:kern w:val="0"/>
          <w:lang w:eastAsia="en-US" w:bidi="ar-SA"/>
        </w:rPr>
        <w:t>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D22398">
        <w:rPr>
          <w:rFonts w:eastAsia="Times New Roman" w:cs="Times New Roman"/>
          <w:b/>
          <w:kern w:val="0"/>
          <w:lang w:eastAsia="en-US" w:bidi="ar-SA"/>
        </w:rPr>
        <w:t>1.</w:t>
      </w:r>
      <w:r>
        <w:rPr>
          <w:rFonts w:eastAsia="Times New Roman" w:cs="Times New Roman"/>
          <w:kern w:val="0"/>
          <w:lang w:eastAsia="en-US" w:bidi="ar-SA"/>
        </w:rPr>
        <w:t xml:space="preserve"> § 48a vrátane nadpisu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„48a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Majetkové priznanie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Povinnosti policajta týkajúce sa podávania majetkového priznania vrátane zodpovednosti za nesplnenie týchto povinností upravuje osobitný zákon.</w:t>
      </w:r>
      <w:r w:rsidRPr="00D22398">
        <w:rPr>
          <w:rFonts w:eastAsia="Times New Roman" w:cs="Times New Roman"/>
          <w:kern w:val="0"/>
          <w:vertAlign w:val="superscript"/>
          <w:lang w:eastAsia="en-US" w:bidi="ar-SA"/>
        </w:rPr>
        <w:t>13b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D22398">
        <w:rPr>
          <w:rFonts w:eastAsia="Times New Roman" w:cs="Times New Roman"/>
          <w:kern w:val="0"/>
          <w:vertAlign w:val="superscript"/>
          <w:lang w:eastAsia="en-US" w:bidi="ar-SA"/>
        </w:rPr>
        <w:t>13b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D22398">
        <w:rPr>
          <w:rFonts w:eastAsia="Times New Roman" w:cs="Times New Roman"/>
          <w:kern w:val="0"/>
          <w:vertAlign w:val="superscript"/>
          <w:lang w:eastAsia="en-US" w:bidi="ar-SA"/>
        </w:rPr>
        <w:t>13b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D22398">
        <w:rPr>
          <w:rFonts w:eastAsia="Times New Roman" w:cs="Times New Roman"/>
          <w:b/>
          <w:kern w:val="0"/>
          <w:lang w:eastAsia="en-US" w:bidi="ar-SA"/>
        </w:rPr>
        <w:t>2.</w:t>
      </w:r>
      <w:r>
        <w:rPr>
          <w:rFonts w:eastAsia="Times New Roman" w:cs="Times New Roman"/>
          <w:kern w:val="0"/>
          <w:lang w:eastAsia="en-US" w:bidi="ar-SA"/>
        </w:rPr>
        <w:t xml:space="preserve"> Poznámka pod čiarou k odkazu </w:t>
      </w:r>
      <w:r w:rsidRPr="00D22398">
        <w:rPr>
          <w:rFonts w:eastAsia="Times New Roman" w:cs="Times New Roman"/>
          <w:kern w:val="0"/>
          <w:vertAlign w:val="superscript"/>
          <w:lang w:eastAsia="en-US" w:bidi="ar-SA"/>
        </w:rPr>
        <w:t>13c</w:t>
      </w:r>
      <w:r>
        <w:rPr>
          <w:rFonts w:eastAsia="Times New Roman" w:cs="Times New Roman"/>
          <w:kern w:val="0"/>
          <w:lang w:eastAsia="en-US" w:bidi="ar-SA"/>
        </w:rPr>
        <w:t>) sa vypúšťa.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III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0E1573" w:rsidRPr="00B04D96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B04D96">
        <w:rPr>
          <w:rFonts w:eastAsia="Times New Roman" w:cs="Times New Roman"/>
          <w:kern w:val="0"/>
          <w:lang w:eastAsia="en-US" w:bidi="ar-SA"/>
        </w:rPr>
        <w:t>Zákon č. 200/1998 Z. z. o štátnej službe colníkov a o zmene a doplnení niektorých ďalších zákonov v znení zákona č. 54/1999 Z. z., zákona č. 337/1999 Z. z., zákona č. 417/2000 Z. z., zákona č. 328/2002 Z. z., zákona č. 664/2002 Z. z., zákona č. 251/2003 Z. z., zákona č. 464/2003 Z. z., zákona č. 365/2004 Z. z., zákona č. 382/2004 Z. z., zákona č. 652/2004 Z. z., zákona č. 732/2004 Z. z., zákona č. 258/2005 Z. z., zákona č. 518/2005 Z. z., zákona č. 623/2005 Z. z., zákona č. 330/2007 Z. z., zákona č. 537/2007 Z. z., zákona č. 166/2008 Z. z., zákona č. 465/2008 Z. z., zákona č. 583/2008 Z. z., zákona č. 305/2009 Z. z., zákona č. 465/2009 Z. z., zákona č. 151/2010 Z. z., zákona č. 543/2010 Z. z., zákona č. 48/2011 Z. z., zákona č. 389/2011 Z. z., zákona č. 546/2011 Z. z., zákona č. 69/2012 Z.</w:t>
      </w:r>
      <w:r>
        <w:rPr>
          <w:rFonts w:eastAsia="Times New Roman" w:cs="Times New Roman"/>
          <w:kern w:val="0"/>
          <w:lang w:eastAsia="en-US" w:bidi="ar-SA"/>
        </w:rPr>
        <w:t xml:space="preserve"> z., zákona č. 441/2012 Z. z., </w:t>
      </w:r>
      <w:r w:rsidRPr="00B04D96">
        <w:rPr>
          <w:rFonts w:eastAsia="Times New Roman" w:cs="Times New Roman"/>
          <w:kern w:val="0"/>
          <w:lang w:eastAsia="en-US" w:bidi="ar-SA"/>
        </w:rPr>
        <w:t xml:space="preserve">zákona č. 462/2013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307/2014 Z. z. </w:t>
      </w:r>
      <w:r w:rsidRPr="00B04D96">
        <w:rPr>
          <w:rFonts w:eastAsia="Times New Roman" w:cs="Times New Roman"/>
          <w:kern w:val="0"/>
          <w:lang w:eastAsia="en-US" w:bidi="ar-SA"/>
        </w:rPr>
        <w:t xml:space="preserve">sa </w:t>
      </w:r>
      <w:r>
        <w:rPr>
          <w:rFonts w:eastAsia="Times New Roman" w:cs="Times New Roman"/>
          <w:kern w:val="0"/>
          <w:lang w:eastAsia="en-US" w:bidi="ar-SA"/>
        </w:rPr>
        <w:t xml:space="preserve">mení a </w:t>
      </w:r>
      <w:r w:rsidRPr="00B04D96">
        <w:rPr>
          <w:rFonts w:eastAsia="Times New Roman" w:cs="Times New Roman"/>
          <w:kern w:val="0"/>
          <w:lang w:eastAsia="en-US" w:bidi="ar-SA"/>
        </w:rPr>
        <w:t>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 xml:space="preserve">1. </w:t>
      </w:r>
      <w:r>
        <w:rPr>
          <w:rFonts w:eastAsia="Times New Roman" w:cs="Times New Roman"/>
          <w:kern w:val="0"/>
          <w:lang w:eastAsia="en-US" w:bidi="ar-SA"/>
        </w:rPr>
        <w:t>§ 44a vrátane nadpisu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„44a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Majetkové priznanie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RPr="00B04D96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Povinnosti colníka týkajúce sa podávania majetkového priznania vrátane zodpovednosti za nesplnenie týchto povinností upravuje osobitný zákon.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14a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D22398">
        <w:rPr>
          <w:rFonts w:eastAsia="Times New Roman" w:cs="Times New Roman"/>
          <w:kern w:val="0"/>
          <w:vertAlign w:val="superscript"/>
          <w:lang w:eastAsia="en-US" w:bidi="ar-SA"/>
        </w:rPr>
        <w:t>1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4a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14a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B04D96">
        <w:rPr>
          <w:rFonts w:eastAsia="Times New Roman" w:cs="Times New Roman"/>
          <w:b/>
          <w:kern w:val="0"/>
          <w:lang w:eastAsia="en-US" w:bidi="ar-SA"/>
        </w:rPr>
        <w:t>2.</w:t>
      </w:r>
      <w:r>
        <w:rPr>
          <w:rFonts w:eastAsia="Times New Roman" w:cs="Times New Roman"/>
          <w:kern w:val="0"/>
          <w:lang w:eastAsia="en-US" w:bidi="ar-SA"/>
        </w:rPr>
        <w:t xml:space="preserve"> Poznámky pod čiarou k odkazom </w:t>
      </w:r>
      <w:r w:rsidRPr="003D266F">
        <w:rPr>
          <w:rFonts w:eastAsia="Times New Roman" w:cs="Times New Roman"/>
          <w:kern w:val="0"/>
          <w:vertAlign w:val="superscript"/>
          <w:lang w:eastAsia="en-US" w:bidi="ar-SA"/>
        </w:rPr>
        <w:t>14b</w:t>
      </w:r>
      <w:r>
        <w:rPr>
          <w:rFonts w:eastAsia="Times New Roman" w:cs="Times New Roman"/>
          <w:kern w:val="0"/>
          <w:lang w:eastAsia="en-US" w:bidi="ar-SA"/>
        </w:rPr>
        <w:t xml:space="preserve">) a </w:t>
      </w:r>
      <w:r w:rsidRPr="003D266F">
        <w:rPr>
          <w:rFonts w:eastAsia="Times New Roman" w:cs="Times New Roman"/>
          <w:kern w:val="0"/>
          <w:vertAlign w:val="superscript"/>
          <w:lang w:eastAsia="en-US" w:bidi="ar-SA"/>
        </w:rPr>
        <w:t>14c</w:t>
      </w:r>
      <w:r>
        <w:rPr>
          <w:rFonts w:eastAsia="Times New Roman" w:cs="Times New Roman"/>
          <w:kern w:val="0"/>
          <w:lang w:eastAsia="en-US" w:bidi="ar-SA"/>
        </w:rPr>
        <w:t>) sa vypúšťajú.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IV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AF2F4E">
        <w:rPr>
          <w:rFonts w:eastAsia="Times New Roman" w:cs="Times New Roman"/>
          <w:kern w:val="0"/>
          <w:lang w:eastAsia="en-US" w:bidi="ar-SA"/>
        </w:rPr>
        <w:t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33/2011 Z. z., zákona č. 100/2011 Z. z., zákona č. 467/2011 Z. z., zákona č. 503/2011 Z. z., zákona č. 79/2012 Z. z., zákona č. 335/2012 Z. z., zákona č. 392/2012 Z. z., zákona č. 462/2013 Z. z., zákona č. 195/2004 Z. z., nálezu Ústavného súdu Slovenskej republiky č. 216/2014 Z. z., uznesenia Ústavného súdu Slovenske</w:t>
      </w:r>
      <w:r>
        <w:rPr>
          <w:rFonts w:eastAsia="Times New Roman" w:cs="Times New Roman"/>
          <w:kern w:val="0"/>
          <w:lang w:eastAsia="en-US" w:bidi="ar-SA"/>
        </w:rPr>
        <w:t xml:space="preserve">j republiky č. 261/2014 Z. z., </w:t>
      </w:r>
      <w:r w:rsidRPr="00AF2F4E">
        <w:rPr>
          <w:rFonts w:eastAsia="Times New Roman" w:cs="Times New Roman"/>
          <w:kern w:val="0"/>
          <w:lang w:eastAsia="en-US" w:bidi="ar-SA"/>
        </w:rPr>
        <w:t xml:space="preserve">zákona č. 307/2014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322/2014 Z. z. </w:t>
      </w:r>
      <w:r w:rsidRPr="00AF2F4E">
        <w:rPr>
          <w:rFonts w:eastAsia="Times New Roman" w:cs="Times New Roman"/>
          <w:kern w:val="0"/>
          <w:lang w:eastAsia="en-US" w:bidi="ar-SA"/>
        </w:rPr>
        <w:t>sa mení a 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302E42">
        <w:rPr>
          <w:rFonts w:eastAsia="Times New Roman" w:cs="Times New Roman"/>
          <w:b/>
          <w:kern w:val="0"/>
          <w:lang w:eastAsia="en-US" w:bidi="ar-SA"/>
        </w:rPr>
        <w:t>1.</w:t>
      </w:r>
      <w:r>
        <w:rPr>
          <w:rFonts w:eastAsia="Times New Roman" w:cs="Times New Roman"/>
          <w:kern w:val="0"/>
          <w:lang w:eastAsia="en-US" w:bidi="ar-SA"/>
        </w:rPr>
        <w:t xml:space="preserve"> § 31 sa dopĺňa novým odsekom 5, ktorý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„(5) </w:t>
      </w:r>
      <w:r w:rsidRPr="00AF2F4E">
        <w:rPr>
          <w:rFonts w:eastAsia="Times New Roman" w:cs="Times New Roman"/>
          <w:kern w:val="0"/>
          <w:lang w:eastAsia="en-US" w:bidi="ar-SA"/>
        </w:rPr>
        <w:t>Predseda súdnej rady je povinný zabezpečiť zverejnenie vyhlásenia podľa § 31 ods. 1</w:t>
      </w:r>
      <w:r>
        <w:rPr>
          <w:rFonts w:eastAsia="Times New Roman" w:cs="Times New Roman"/>
          <w:kern w:val="0"/>
          <w:lang w:eastAsia="en-US" w:bidi="ar-SA"/>
        </w:rPr>
        <w:t xml:space="preserve"> a</w:t>
      </w:r>
      <w:r w:rsidRPr="00AF2F4E">
        <w:rPr>
          <w:rFonts w:eastAsia="Times New Roman" w:cs="Times New Roman"/>
          <w:kern w:val="0"/>
          <w:lang w:eastAsia="en-US" w:bidi="ar-SA"/>
        </w:rPr>
        <w:t xml:space="preserve"> oznámenia podľa § 31 ods. 3 na voľne prístupnej webovej stránke v súlade s ochranou osobných údaj</w:t>
      </w:r>
      <w:r>
        <w:rPr>
          <w:rFonts w:eastAsia="Times New Roman" w:cs="Times New Roman"/>
          <w:kern w:val="0"/>
          <w:lang w:eastAsia="en-US" w:bidi="ar-SA"/>
        </w:rPr>
        <w:t>ov podľa osobitného zákona,</w:t>
      </w:r>
      <w:r w:rsidRPr="00AF2F4E">
        <w:rPr>
          <w:rFonts w:eastAsia="Times New Roman" w:cs="Times New Roman"/>
          <w:kern w:val="0"/>
          <w:vertAlign w:val="superscript"/>
          <w:lang w:eastAsia="en-US" w:bidi="ar-SA"/>
        </w:rPr>
        <w:t>14a</w:t>
      </w:r>
      <w:r>
        <w:rPr>
          <w:rFonts w:eastAsia="Times New Roman" w:cs="Times New Roman"/>
          <w:kern w:val="0"/>
          <w:lang w:eastAsia="en-US" w:bidi="ar-SA"/>
        </w:rPr>
        <w:t xml:space="preserve">) </w:t>
      </w:r>
      <w:r w:rsidRPr="00AF2F4E">
        <w:rPr>
          <w:rFonts w:eastAsia="Times New Roman" w:cs="Times New Roman"/>
          <w:kern w:val="0"/>
          <w:lang w:eastAsia="en-US" w:bidi="ar-SA"/>
        </w:rPr>
        <w:t>a to každoročne do 30. júna za predchádzajúci kalendárny rok.</w:t>
      </w:r>
      <w:r>
        <w:rPr>
          <w:rFonts w:eastAsia="Times New Roman" w:cs="Times New Roman"/>
          <w:kern w:val="0"/>
          <w:lang w:eastAsia="en-US" w:bidi="ar-SA"/>
        </w:rPr>
        <w:t>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302E42">
        <w:rPr>
          <w:rFonts w:eastAsia="Times New Roman" w:cs="Times New Roman"/>
          <w:b/>
          <w:kern w:val="0"/>
          <w:lang w:eastAsia="en-US" w:bidi="ar-SA"/>
        </w:rPr>
        <w:t>2.</w:t>
      </w:r>
      <w:r>
        <w:rPr>
          <w:rFonts w:eastAsia="Times New Roman" w:cs="Times New Roman"/>
          <w:kern w:val="0"/>
          <w:lang w:eastAsia="en-US" w:bidi="ar-SA"/>
        </w:rPr>
        <w:t xml:space="preserve"> § 32 sa vypúšťa.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3</w:t>
      </w:r>
      <w:r w:rsidRPr="00302E42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§ 33 vrátane nadpisu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51081C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51081C">
        <w:rPr>
          <w:rFonts w:eastAsia="Times New Roman" w:cs="Times New Roman"/>
          <w:kern w:val="0"/>
          <w:lang w:eastAsia="en-US" w:bidi="ar-SA"/>
        </w:rPr>
        <w:t>§ 33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51081C">
        <w:rPr>
          <w:rFonts w:eastAsia="Times New Roman" w:cs="Times New Roman"/>
          <w:kern w:val="0"/>
          <w:lang w:eastAsia="en-US" w:bidi="ar-SA"/>
        </w:rPr>
        <w:t>Konanie vo vec</w:t>
      </w:r>
      <w:r>
        <w:rPr>
          <w:rFonts w:eastAsia="Times New Roman" w:cs="Times New Roman"/>
          <w:kern w:val="0"/>
          <w:lang w:eastAsia="en-US" w:bidi="ar-SA"/>
        </w:rPr>
        <w:t>iach písomného vyhlásenia sudcu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1081C">
        <w:rPr>
          <w:rFonts w:eastAsia="Times New Roman" w:cs="Times New Roman"/>
          <w:kern w:val="0"/>
          <w:lang w:eastAsia="en-US" w:bidi="ar-SA"/>
        </w:rPr>
        <w:t>(1) Ak sudca nepodá vča</w:t>
      </w:r>
      <w:r>
        <w:rPr>
          <w:rFonts w:eastAsia="Times New Roman" w:cs="Times New Roman"/>
          <w:kern w:val="0"/>
          <w:lang w:eastAsia="en-US" w:bidi="ar-SA"/>
        </w:rPr>
        <w:t xml:space="preserve">s písomné vyhlásenie podľa § 31, </w:t>
      </w:r>
      <w:r w:rsidRPr="0051081C">
        <w:rPr>
          <w:rFonts w:eastAsia="Times New Roman" w:cs="Times New Roman"/>
          <w:kern w:val="0"/>
          <w:lang w:eastAsia="en-US" w:bidi="ar-SA"/>
        </w:rPr>
        <w:t>vyzve ho predseda súdnej rady, aby splnil túto povinnosť dodatočne, najneskôr v lehote 30 dní.</w:t>
      </w:r>
    </w:p>
    <w:p w:rsidR="000E1573" w:rsidRPr="0051081C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1081C">
        <w:rPr>
          <w:rFonts w:eastAsia="Times New Roman" w:cs="Times New Roman"/>
          <w:kern w:val="0"/>
          <w:lang w:eastAsia="en-US" w:bidi="ar-SA"/>
        </w:rPr>
        <w:t>(2) Súdna rada preskúma úplnosť písomného vyhlásenia a v prípade potreby vyzve sudcu, aby ich do 30 dní v potrebnom rozsahu spresnil alebo doplnil.</w:t>
      </w:r>
    </w:p>
    <w:p w:rsidR="000E1573" w:rsidRPr="0051081C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(3</w:t>
      </w:r>
      <w:r w:rsidRPr="0051081C">
        <w:rPr>
          <w:rFonts w:eastAsia="Times New Roman" w:cs="Times New Roman"/>
          <w:kern w:val="0"/>
          <w:lang w:eastAsia="en-US" w:bidi="ar-SA"/>
        </w:rPr>
        <w:t xml:space="preserve">) Ak sudca nesplní niektorú z povinností uvedených v odsekoch 1 až </w:t>
      </w:r>
      <w:r>
        <w:rPr>
          <w:rFonts w:eastAsia="Times New Roman" w:cs="Times New Roman"/>
          <w:kern w:val="0"/>
          <w:lang w:eastAsia="en-US" w:bidi="ar-SA"/>
        </w:rPr>
        <w:t>2</w:t>
      </w:r>
      <w:r w:rsidRPr="0051081C">
        <w:rPr>
          <w:rFonts w:eastAsia="Times New Roman" w:cs="Times New Roman"/>
          <w:kern w:val="0"/>
          <w:lang w:eastAsia="en-US" w:bidi="ar-SA"/>
        </w:rPr>
        <w:t>, súdna rada môže podať ministrovi podnet na z</w:t>
      </w:r>
      <w:r>
        <w:rPr>
          <w:rFonts w:eastAsia="Times New Roman" w:cs="Times New Roman"/>
          <w:kern w:val="0"/>
          <w:lang w:eastAsia="en-US" w:bidi="ar-SA"/>
        </w:rPr>
        <w:t>ačatie disciplinárneho konania.“.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4</w:t>
      </w:r>
      <w:r w:rsidRPr="00302E42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§ 92 znie: „</w:t>
      </w:r>
      <w:r w:rsidRPr="00AF2F4E">
        <w:rPr>
          <w:rFonts w:eastAsia="Times New Roman" w:cs="Times New Roman"/>
          <w:kern w:val="0"/>
          <w:lang w:eastAsia="en-US" w:bidi="ar-SA"/>
        </w:rPr>
        <w:t>Ochranu osobných údajov sudcu zabezpečuje osobný úrad sudcu.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14a</w:t>
      </w:r>
      <w:r w:rsidRPr="00AF2F4E">
        <w:rPr>
          <w:rFonts w:eastAsia="Times New Roman" w:cs="Times New Roman"/>
          <w:kern w:val="0"/>
          <w:lang w:eastAsia="en-US" w:bidi="ar-SA"/>
        </w:rPr>
        <w:t>)</w:t>
      </w:r>
      <w:r>
        <w:rPr>
          <w:rFonts w:eastAsia="Times New Roman" w:cs="Times New Roman"/>
          <w:kern w:val="0"/>
          <w:lang w:eastAsia="en-US" w:bidi="ar-SA"/>
        </w:rPr>
        <w:t>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5</w:t>
      </w:r>
      <w:r w:rsidRPr="0051081C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V § 116 ods. 1 písm. d)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„d) </w:t>
      </w:r>
      <w:r w:rsidRPr="0051081C">
        <w:rPr>
          <w:rFonts w:eastAsia="Times New Roman" w:cs="Times New Roman"/>
          <w:kern w:val="0"/>
          <w:lang w:eastAsia="en-US" w:bidi="ar-SA"/>
        </w:rPr>
        <w:t>nesplnenie povinnosti podať majetkové priznanie podľa</w:t>
      </w:r>
      <w:r>
        <w:rPr>
          <w:rFonts w:eastAsia="Times New Roman" w:cs="Times New Roman"/>
          <w:kern w:val="0"/>
          <w:lang w:eastAsia="en-US" w:bidi="ar-SA"/>
        </w:rPr>
        <w:t xml:space="preserve"> osobitného zákona,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28ab</w:t>
      </w:r>
      <w:r>
        <w:rPr>
          <w:rFonts w:eastAsia="Times New Roman" w:cs="Times New Roman"/>
          <w:kern w:val="0"/>
          <w:lang w:eastAsia="en-US" w:bidi="ar-SA"/>
        </w:rPr>
        <w:t>).“.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28ab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28ab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6</w:t>
      </w:r>
      <w:r w:rsidRPr="0051081C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V § 116 ods. 2 písm. d)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„d) opakované nesplnenie povinnosti podať majetkové priznanie podľa osobitného zákona,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28ac</w:t>
      </w:r>
      <w:r>
        <w:rPr>
          <w:rFonts w:eastAsia="Times New Roman" w:cs="Times New Roman"/>
          <w:kern w:val="0"/>
          <w:lang w:eastAsia="en-US" w:bidi="ar-SA"/>
        </w:rPr>
        <w:t>).“.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28ac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51081C">
        <w:rPr>
          <w:rFonts w:eastAsia="Times New Roman" w:cs="Times New Roman"/>
          <w:kern w:val="0"/>
          <w:vertAlign w:val="superscript"/>
          <w:lang w:eastAsia="en-US" w:bidi="ar-SA"/>
        </w:rPr>
        <w:t>28ac</w:t>
      </w:r>
      <w:r>
        <w:rPr>
          <w:rFonts w:eastAsia="Times New Roman" w:cs="Times New Roman"/>
          <w:kern w:val="0"/>
          <w:lang w:eastAsia="en-US" w:bidi="ar-SA"/>
        </w:rPr>
        <w:t xml:space="preserve">) § 9 ods. 2 písm. a) zákona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302E42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302E42">
        <w:rPr>
          <w:rFonts w:eastAsia="Times New Roman" w:cs="Times New Roman"/>
          <w:b/>
          <w:kern w:val="0"/>
          <w:lang w:eastAsia="en-US" w:bidi="ar-SA"/>
        </w:rPr>
        <w:t>Čl. V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302E42">
        <w:rPr>
          <w:rFonts w:eastAsia="Times New Roman" w:cs="Times New Roman"/>
          <w:kern w:val="0"/>
          <w:lang w:eastAsia="en-US" w:bidi="ar-SA"/>
        </w:rPr>
        <w:t>Zákon č. 154/2001 Z. z. o prokurátoroch a právnych čakateľoch prokuratúry v znení zákona č. 669/2002 Z. z., zákona č. 458/2003 Z. z., zákona č. 462/2003 Z. z., zákona č. 548/2003 Z. z., zákona č. 561/2003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 zákona č. 335/2012 Z. z., zákona č. 392/2012 Z. z., zákona č. 462/2013 Z. z., zákona č. 195/2014 Z. z., nálezu Ústavného súdu Slovenskej republiky č. 217/2014 Z.</w:t>
      </w:r>
      <w:r>
        <w:rPr>
          <w:rFonts w:eastAsia="Times New Roman" w:cs="Times New Roman"/>
          <w:kern w:val="0"/>
          <w:lang w:eastAsia="en-US" w:bidi="ar-SA"/>
        </w:rPr>
        <w:t xml:space="preserve"> z., zákona č. 307/2014 Z. z., </w:t>
      </w:r>
      <w:r w:rsidRPr="00302E42">
        <w:rPr>
          <w:rFonts w:eastAsia="Times New Roman" w:cs="Times New Roman"/>
          <w:kern w:val="0"/>
          <w:lang w:eastAsia="en-US" w:bidi="ar-SA"/>
        </w:rPr>
        <w:t xml:space="preserve">zákona č. 322/2014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362/2014 Z. z. </w:t>
      </w:r>
      <w:r w:rsidRPr="00302E42">
        <w:rPr>
          <w:rFonts w:eastAsia="Times New Roman" w:cs="Times New Roman"/>
          <w:kern w:val="0"/>
          <w:lang w:eastAsia="en-US" w:bidi="ar-SA"/>
        </w:rPr>
        <w:t xml:space="preserve">sa </w:t>
      </w:r>
      <w:r>
        <w:rPr>
          <w:rFonts w:eastAsia="Times New Roman" w:cs="Times New Roman"/>
          <w:kern w:val="0"/>
          <w:lang w:eastAsia="en-US" w:bidi="ar-SA"/>
        </w:rPr>
        <w:t xml:space="preserve">mení a </w:t>
      </w:r>
      <w:r w:rsidRPr="00302E42">
        <w:rPr>
          <w:rFonts w:eastAsia="Times New Roman" w:cs="Times New Roman"/>
          <w:kern w:val="0"/>
          <w:lang w:eastAsia="en-US" w:bidi="ar-SA"/>
        </w:rPr>
        <w:t>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960D70">
        <w:rPr>
          <w:rFonts w:eastAsia="Times New Roman" w:cs="Times New Roman"/>
          <w:b/>
          <w:kern w:val="0"/>
          <w:lang w:eastAsia="en-US" w:bidi="ar-SA"/>
        </w:rPr>
        <w:t>1.</w:t>
      </w:r>
      <w:r>
        <w:rPr>
          <w:rFonts w:eastAsia="Times New Roman" w:cs="Times New Roman"/>
          <w:kern w:val="0"/>
          <w:lang w:eastAsia="en-US" w:bidi="ar-SA"/>
        </w:rPr>
        <w:t xml:space="preserve"> § 28 sa vypúšťa.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2</w:t>
      </w:r>
      <w:r w:rsidRPr="00960D70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§ 190 ods. 3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„(3) Ak je prokurátorovi uložené disciplinárne opatrenie za disciplinárne previnenie, ktoré spočíva v porušení povinnosti podať majetkové priznanie podľa osobitného zákona,</w:t>
      </w:r>
      <w:r w:rsidRPr="00302E42">
        <w:rPr>
          <w:rFonts w:eastAsia="Times New Roman" w:cs="Times New Roman"/>
          <w:kern w:val="0"/>
          <w:vertAlign w:val="superscript"/>
          <w:lang w:eastAsia="en-US" w:bidi="ar-SA"/>
        </w:rPr>
        <w:t>52a</w:t>
      </w:r>
      <w:r>
        <w:rPr>
          <w:rFonts w:eastAsia="Times New Roman" w:cs="Times New Roman"/>
          <w:kern w:val="0"/>
          <w:lang w:eastAsia="en-US" w:bidi="ar-SA"/>
        </w:rPr>
        <w:t>) generálny prokurátor právoplatné rozhodnutie disciplinárnej komisie zverejní.“.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302E42">
        <w:rPr>
          <w:rFonts w:eastAsia="Times New Roman" w:cs="Times New Roman"/>
          <w:kern w:val="0"/>
          <w:vertAlign w:val="superscript"/>
          <w:lang w:eastAsia="en-US" w:bidi="ar-SA"/>
        </w:rPr>
        <w:t>52a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302E42">
        <w:rPr>
          <w:rFonts w:eastAsia="Times New Roman" w:cs="Times New Roman"/>
          <w:kern w:val="0"/>
          <w:vertAlign w:val="superscript"/>
          <w:lang w:eastAsia="en-US" w:bidi="ar-SA"/>
        </w:rPr>
        <w:t>52a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br/>
      </w:r>
      <w:r w:rsidRPr="00960D70">
        <w:rPr>
          <w:rFonts w:eastAsia="Times New Roman" w:cs="Times New Roman"/>
          <w:b/>
          <w:kern w:val="0"/>
          <w:lang w:eastAsia="en-US" w:bidi="ar-SA"/>
        </w:rPr>
        <w:t>3.</w:t>
      </w:r>
      <w:r>
        <w:rPr>
          <w:rFonts w:eastAsia="Times New Roman" w:cs="Times New Roman"/>
          <w:kern w:val="0"/>
          <w:lang w:eastAsia="en-US" w:bidi="ar-SA"/>
        </w:rPr>
        <w:t xml:space="preserve"> § 247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960D70">
        <w:rPr>
          <w:rFonts w:eastAsia="Times New Roman" w:cs="Times New Roman"/>
          <w:kern w:val="0"/>
          <w:lang w:eastAsia="en-US" w:bidi="ar-SA"/>
        </w:rPr>
        <w:t xml:space="preserve">Právny čakateľ prokuratúry je povinný deklarovať svoje majetkové pomery a majetkové pomery manžela a neplnoletých detí, ktorí s </w:t>
      </w:r>
      <w:r>
        <w:rPr>
          <w:rFonts w:eastAsia="Times New Roman" w:cs="Times New Roman"/>
          <w:kern w:val="0"/>
          <w:lang w:eastAsia="en-US" w:bidi="ar-SA"/>
        </w:rPr>
        <w:t>ním žijú v spoločnej domácnosti,</w:t>
      </w:r>
      <w:r w:rsidRPr="00960D70">
        <w:rPr>
          <w:rFonts w:eastAsia="Times New Roman" w:cs="Times New Roman"/>
          <w:kern w:val="0"/>
          <w:vertAlign w:val="superscript"/>
          <w:lang w:eastAsia="en-US" w:bidi="ar-SA"/>
        </w:rPr>
        <w:t>18</w:t>
      </w:r>
      <w:r w:rsidRPr="00960D70">
        <w:rPr>
          <w:rFonts w:eastAsia="Times New Roman" w:cs="Times New Roman"/>
          <w:kern w:val="0"/>
          <w:lang w:eastAsia="en-US" w:bidi="ar-SA"/>
        </w:rPr>
        <w:t>)</w:t>
      </w:r>
      <w:r>
        <w:rPr>
          <w:rFonts w:eastAsia="Times New Roman" w:cs="Times New Roman"/>
          <w:kern w:val="0"/>
          <w:lang w:eastAsia="en-US" w:bidi="ar-SA"/>
        </w:rPr>
        <w:t xml:space="preserve"> spôsobom ustanoveným osobitným zákonom.</w:t>
      </w:r>
      <w:r w:rsidRPr="00960D70">
        <w:rPr>
          <w:rFonts w:eastAsia="Times New Roman" w:cs="Times New Roman"/>
          <w:kern w:val="0"/>
          <w:vertAlign w:val="superscript"/>
          <w:lang w:eastAsia="en-US" w:bidi="ar-SA"/>
        </w:rPr>
        <w:t>52a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E65B71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VI</w:t>
      </w:r>
    </w:p>
    <w:p w:rsidR="000E1573" w:rsidRPr="00E65B71" w:rsidP="000E1573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CE26D5">
        <w:rPr>
          <w:rFonts w:eastAsia="Times New Roman" w:cs="Times New Roman"/>
          <w:kern w:val="0"/>
          <w:lang w:eastAsia="en-US" w:bidi="ar-SA"/>
        </w:rPr>
        <w:t xml:space="preserve">Zákon č. 315/2001 Z. z.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729/2004 Z. z., zákona č. 561/2005 Z. z., zákona č. 327/2007 Z. z., zákona č. 330/2007 Z. z., zákona č. 519/2007 Z. z., zákona č. 445/2008 Z. z., zákona č. 82/2009 Z. z., zákona č. 199/2009 Z. z., zákona č. 151/2010 Z. z., zákona č. 543/2010 Z. z., zákona č. 48/2011 Z. z., zákona č. 400/2011 Z. z., zákona č. 345/2012 Z. z., zákona č. 80/2013 </w:t>
      </w:r>
      <w:r>
        <w:rPr>
          <w:rFonts w:eastAsia="Times New Roman" w:cs="Times New Roman"/>
          <w:kern w:val="0"/>
          <w:lang w:eastAsia="en-US" w:bidi="ar-SA"/>
        </w:rPr>
        <w:t xml:space="preserve">Z. z., zákona č. 190/2013 Z. z., </w:t>
      </w:r>
      <w:r w:rsidRPr="00CE26D5">
        <w:rPr>
          <w:rFonts w:eastAsia="Times New Roman" w:cs="Times New Roman"/>
          <w:kern w:val="0"/>
          <w:lang w:eastAsia="en-US" w:bidi="ar-SA"/>
        </w:rPr>
        <w:t xml:space="preserve">zákona č. 37/2014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307/2014 Z. z. </w:t>
      </w:r>
      <w:r w:rsidRPr="00CE26D5">
        <w:rPr>
          <w:rFonts w:eastAsia="Times New Roman" w:cs="Times New Roman"/>
          <w:kern w:val="0"/>
          <w:lang w:eastAsia="en-US" w:bidi="ar-SA"/>
        </w:rPr>
        <w:t>sa mení a 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9023D8">
        <w:rPr>
          <w:rFonts w:eastAsia="Times New Roman" w:cs="Times New Roman"/>
          <w:b/>
          <w:kern w:val="0"/>
          <w:lang w:eastAsia="en-US" w:bidi="ar-SA"/>
        </w:rPr>
        <w:t>1.</w:t>
      </w:r>
      <w:r>
        <w:rPr>
          <w:rFonts w:eastAsia="Times New Roman" w:cs="Times New Roman"/>
          <w:kern w:val="0"/>
          <w:lang w:eastAsia="en-US" w:bidi="ar-SA"/>
        </w:rPr>
        <w:t xml:space="preserve"> V § 69 ods. 3 písm. aa)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„aa) podať majetkové priznanie podľa osobitného zákona, ak je nadriadeným podľa </w:t>
      </w:r>
      <w:r>
        <w:rPr>
          <w:rFonts w:hint="default"/>
        </w:rPr>
        <w:t>§</w:t>
      </w:r>
      <w:r>
        <w:rPr>
          <w:rFonts w:hint="default"/>
        </w:rPr>
        <w:t xml:space="preserve"> 49 ods. 2 a </w:t>
      </w:r>
      <w:r>
        <w:rPr>
          <w:rFonts w:hint="default"/>
        </w:rPr>
        <w:t>3,“.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9023D8">
        <w:rPr>
          <w:rFonts w:eastAsia="Times New Roman" w:cs="Times New Roman"/>
          <w:b/>
          <w:kern w:val="0"/>
          <w:lang w:eastAsia="en-US" w:bidi="ar-SA"/>
        </w:rPr>
        <w:t>2.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 w:rsidRPr="00F22251">
        <w:rPr>
          <w:rFonts w:eastAsia="Times New Roman" w:cs="Times New Roman"/>
          <w:kern w:val="0"/>
          <w:lang w:eastAsia="en-US" w:bidi="ar-SA"/>
        </w:rPr>
        <w:t xml:space="preserve">§ </w:t>
      </w:r>
      <w:r>
        <w:rPr>
          <w:rFonts w:eastAsia="Times New Roman" w:cs="Times New Roman"/>
          <w:kern w:val="0"/>
          <w:lang w:eastAsia="en-US" w:bidi="ar-SA"/>
        </w:rPr>
        <w:t>70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„§ 70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Povinnosti nadriadeného podľa § 49 ods. 2 a 3 týkajúce sa podávania majetkového priznania vrátane zodpovednosti za nesplnenie týchto povinností upravuje osobitný zákon.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18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18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vertAlign w:val="superscript"/>
          <w:lang w:eastAsia="en-US" w:bidi="ar-SA"/>
        </w:rPr>
        <w:t>„18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057722">
        <w:rPr>
          <w:rFonts w:eastAsia="Times New Roman" w:cs="Times New Roman"/>
          <w:b/>
          <w:kern w:val="0"/>
          <w:lang w:eastAsia="en-US" w:bidi="ar-SA"/>
        </w:rPr>
        <w:t>3.</w:t>
      </w:r>
      <w:r>
        <w:rPr>
          <w:rFonts w:eastAsia="Times New Roman" w:cs="Times New Roman"/>
          <w:kern w:val="0"/>
          <w:lang w:eastAsia="en-US" w:bidi="ar-SA"/>
        </w:rPr>
        <w:t xml:space="preserve"> § 71 </w:t>
      </w:r>
      <w:r w:rsidRPr="00F22251">
        <w:rPr>
          <w:rFonts w:eastAsia="Times New Roman" w:cs="Times New Roman"/>
          <w:kern w:val="0"/>
          <w:lang w:eastAsia="en-US" w:bidi="ar-SA"/>
        </w:rPr>
        <w:t>sa vypúšťa.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9E2A9D">
        <w:rPr>
          <w:rFonts w:eastAsia="Times New Roman" w:cs="Times New Roman"/>
          <w:b/>
          <w:kern w:val="0"/>
          <w:lang w:eastAsia="en-US" w:bidi="ar-SA"/>
        </w:rPr>
        <w:t>4.</w:t>
      </w:r>
      <w:r>
        <w:rPr>
          <w:rFonts w:eastAsia="Times New Roman" w:cs="Times New Roman"/>
          <w:kern w:val="0"/>
          <w:lang w:eastAsia="en-US" w:bidi="ar-SA"/>
        </w:rPr>
        <w:t xml:space="preserve"> V § 75 ods. 2 sa na konci pripájajú slová „alebo v osobitnom zákone upravujúcom podávanie majetkových priznaní.</w:t>
      </w:r>
      <w:r w:rsidRPr="009A4243">
        <w:rPr>
          <w:rFonts w:eastAsia="Times New Roman" w:cs="Times New Roman"/>
          <w:kern w:val="0"/>
          <w:vertAlign w:val="superscript"/>
          <w:lang w:eastAsia="en-US" w:bidi="ar-SA"/>
        </w:rPr>
        <w:t>18c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18c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vertAlign w:val="superscript"/>
          <w:lang w:eastAsia="en-US" w:bidi="ar-SA"/>
        </w:rPr>
        <w:t>„18c</w:t>
      </w:r>
      <w:r>
        <w:rPr>
          <w:rFonts w:eastAsia="Times New Roman" w:cs="Times New Roman"/>
          <w:kern w:val="0"/>
          <w:lang w:eastAsia="en-US" w:bidi="ar-SA"/>
        </w:rPr>
        <w:t xml:space="preserve">) § 9 ods. 2 písm. b) zákona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19371B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VII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ab/>
      </w:r>
      <w:r w:rsidRPr="0019371B">
        <w:rPr>
          <w:rFonts w:eastAsia="Times New Roman" w:cs="Times New Roman"/>
          <w:kern w:val="0"/>
          <w:lang w:eastAsia="en-US" w:bidi="ar-SA"/>
        </w:rPr>
        <w:t>Zákon č. 552/2003 Z. z. o výkone práce vo verejnom záujme v znení zákona č. 365/2004 Z. z., zákona č. 369/2004 Z. z., zákona č. 330/2007 Z. z., zákona č. 490/2008 Z. z., zákona č. 151/2010 Z. z., zákona č. 257/2011 Z.</w:t>
      </w:r>
      <w:r>
        <w:rPr>
          <w:rFonts w:eastAsia="Times New Roman" w:cs="Times New Roman"/>
          <w:kern w:val="0"/>
          <w:lang w:eastAsia="en-US" w:bidi="ar-SA"/>
        </w:rPr>
        <w:t xml:space="preserve"> z., zákona č. 361/2012 Z. z., </w:t>
      </w:r>
      <w:r w:rsidRPr="0019371B">
        <w:rPr>
          <w:rFonts w:eastAsia="Times New Roman" w:cs="Times New Roman"/>
          <w:kern w:val="0"/>
          <w:lang w:eastAsia="en-US" w:bidi="ar-SA"/>
        </w:rPr>
        <w:t xml:space="preserve">zákona č. 103/2014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307/2014 Z. z. </w:t>
      </w:r>
      <w:r w:rsidRPr="0019371B">
        <w:rPr>
          <w:rFonts w:eastAsia="Times New Roman" w:cs="Times New Roman"/>
          <w:kern w:val="0"/>
          <w:lang w:eastAsia="en-US" w:bidi="ar-SA"/>
        </w:rPr>
        <w:t xml:space="preserve">sa </w:t>
      </w:r>
      <w:r>
        <w:rPr>
          <w:rFonts w:eastAsia="Times New Roman" w:cs="Times New Roman"/>
          <w:kern w:val="0"/>
          <w:lang w:eastAsia="en-US" w:bidi="ar-SA"/>
        </w:rPr>
        <w:t xml:space="preserve">mení a </w:t>
      </w:r>
      <w:r w:rsidRPr="0019371B">
        <w:rPr>
          <w:rFonts w:eastAsia="Times New Roman" w:cs="Times New Roman"/>
          <w:kern w:val="0"/>
          <w:lang w:eastAsia="en-US" w:bidi="ar-SA"/>
        </w:rPr>
        <w:t>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§ 10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„§ 10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Majetkové priznanie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Povinnosti vedúceho zamestnanca a zamestnanca týkajúce sa podávania majetkového priznania vrátane zodpovednosti za nesplnenie týchto povinností upravuje osobitný zákon.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14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5667CD">
        <w:rPr>
          <w:rFonts w:eastAsia="Times New Roman" w:cs="Times New Roman"/>
          <w:kern w:val="0"/>
          <w:vertAlign w:val="superscript"/>
          <w:lang w:eastAsia="en-US" w:bidi="ar-SA"/>
        </w:rPr>
        <w:t>14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14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E65B71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VIII</w:t>
      </w:r>
    </w:p>
    <w:p w:rsidR="000E1573" w:rsidRPr="00E65B71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195BC0">
        <w:rPr>
          <w:rFonts w:eastAsia="Times New Roman" w:cs="Times New Roman"/>
          <w:kern w:val="0"/>
          <w:lang w:eastAsia="en-US" w:bidi="ar-SA"/>
        </w:rPr>
        <w:t>Zákon č. 346/2005 Z. z. o štátnej službe profesionálnych vojakov ozbrojených síl Slovenskej republiky a o zmene a doplnení niektorých zákonov v znení zákona č. 570/2005 Z. z., zákona č. 253/2007 Z. z., zákona č. 330/2007 Z. z., zákona č. 348/2007 Z. z., zákona č. 144/2008 Z. z., zákona č. 452/2008 Z. z., zákona č. 59/2009 Z. z., zákona č. 483/2009 Z. z., zákona č. 151/2010 Z. z., zákona č. 543/2010 Z. z., zákona č. 48/2011 Z. z., zákona č. 220/2011 Z. z., zákona č. 257/2011 Z. z., zákona č. 315/2011 Z. z., zákona č. 319/2012 Z. z., zákona č. 345/2012 Z</w:t>
      </w:r>
      <w:r>
        <w:rPr>
          <w:rFonts w:eastAsia="Times New Roman" w:cs="Times New Roman"/>
          <w:kern w:val="0"/>
          <w:lang w:eastAsia="en-US" w:bidi="ar-SA"/>
        </w:rPr>
        <w:t xml:space="preserve">. z., zákona č. 80/2013 Z. z., </w:t>
      </w:r>
      <w:r w:rsidRPr="00195BC0">
        <w:rPr>
          <w:rFonts w:eastAsia="Times New Roman" w:cs="Times New Roman"/>
          <w:kern w:val="0"/>
          <w:lang w:eastAsia="en-US" w:bidi="ar-SA"/>
        </w:rPr>
        <w:t xml:space="preserve">zákona č. 462/2013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307/2014 Z. z. </w:t>
      </w:r>
      <w:r w:rsidRPr="00195BC0">
        <w:rPr>
          <w:rFonts w:eastAsia="Times New Roman" w:cs="Times New Roman"/>
          <w:kern w:val="0"/>
          <w:lang w:eastAsia="en-US" w:bidi="ar-SA"/>
        </w:rPr>
        <w:t>sa mení a 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1</w:t>
      </w:r>
      <w:r w:rsidRPr="00675D37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V § 70 ods. 4 písm. g)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„g) porušenie povinnosti ustanovenej v osobitnom zákone upravujúcom majetkové priznania niektorých verejných činiteľov</w:t>
      </w:r>
      <w:r w:rsidRPr="00944F17">
        <w:rPr>
          <w:rFonts w:eastAsia="Times New Roman" w:cs="Times New Roman"/>
          <w:kern w:val="0"/>
          <w:vertAlign w:val="superscript"/>
          <w:lang w:eastAsia="en-US" w:bidi="ar-SA"/>
        </w:rPr>
        <w:t>22b</w:t>
      </w:r>
      <w:r>
        <w:rPr>
          <w:rFonts w:eastAsia="Times New Roman" w:cs="Times New Roman"/>
          <w:kern w:val="0"/>
          <w:lang w:eastAsia="en-US" w:bidi="ar-SA"/>
        </w:rPr>
        <w:t xml:space="preserve">) alebo úmyselné uvedenie neúplných údajov alebo nepravdivých údajov v </w:t>
      </w:r>
      <w:r w:rsidRPr="00756663">
        <w:rPr>
          <w:rFonts w:eastAsia="Times New Roman" w:cs="Times New Roman"/>
          <w:kern w:val="0"/>
          <w:lang w:eastAsia="en-US" w:bidi="ar-SA"/>
        </w:rPr>
        <w:t>čestnom v</w:t>
      </w:r>
      <w:r>
        <w:rPr>
          <w:rFonts w:eastAsia="Times New Roman" w:cs="Times New Roman"/>
          <w:kern w:val="0"/>
          <w:lang w:eastAsia="en-US" w:bidi="ar-SA"/>
        </w:rPr>
        <w:t>yhlásení profesionálneho vojaka“.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944F17">
        <w:rPr>
          <w:rFonts w:eastAsia="Times New Roman" w:cs="Times New Roman"/>
          <w:kern w:val="0"/>
          <w:vertAlign w:val="superscript"/>
          <w:lang w:eastAsia="en-US" w:bidi="ar-SA"/>
        </w:rPr>
        <w:t>22b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944F17">
        <w:rPr>
          <w:rFonts w:eastAsia="Times New Roman" w:cs="Times New Roman"/>
          <w:kern w:val="0"/>
          <w:vertAlign w:val="superscript"/>
          <w:lang w:eastAsia="en-US" w:bidi="ar-SA"/>
        </w:rPr>
        <w:t>22b</w:t>
      </w:r>
      <w:r>
        <w:rPr>
          <w:rFonts w:eastAsia="Times New Roman" w:cs="Times New Roman"/>
          <w:kern w:val="0"/>
          <w:lang w:eastAsia="en-US" w:bidi="ar-SA"/>
        </w:rPr>
        <w:t xml:space="preserve">) § 9 ods. 2 písm. c) zákona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2</w:t>
      </w:r>
      <w:r w:rsidRPr="005872A2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V § 119 ods. 1 písm. r)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 w:rsidRPr="005872A2">
        <w:rPr>
          <w:rFonts w:eastAsia="Times New Roman" w:cs="Times New Roman"/>
          <w:kern w:val="0"/>
          <w:lang w:eastAsia="en-US" w:bidi="ar-SA"/>
        </w:rPr>
        <w:t xml:space="preserve">r) </w:t>
      </w:r>
      <w:r>
        <w:rPr>
          <w:rFonts w:eastAsia="Times New Roman" w:cs="Times New Roman"/>
          <w:kern w:val="0"/>
          <w:lang w:eastAsia="en-US" w:bidi="ar-SA"/>
        </w:rPr>
        <w:t>podávať majetkové priznanie spôsobom ustanoveným v osobitnom zákone,</w:t>
      </w:r>
      <w:r w:rsidRPr="005872A2">
        <w:rPr>
          <w:rFonts w:eastAsia="Times New Roman" w:cs="Times New Roman"/>
          <w:kern w:val="0"/>
          <w:vertAlign w:val="superscript"/>
          <w:lang w:eastAsia="en-US" w:bidi="ar-SA"/>
        </w:rPr>
        <w:t>36</w:t>
      </w:r>
      <w:r>
        <w:rPr>
          <w:rFonts w:eastAsia="Times New Roman" w:cs="Times New Roman"/>
          <w:kern w:val="0"/>
          <w:lang w:eastAsia="en-US" w:bidi="ar-SA"/>
        </w:rPr>
        <w:t>) ak ide o veliteľa podľa § 7 ods. 1 a 3,“.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36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36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 xml:space="preserve">činiteľov </w:t>
      </w:r>
      <w:r w:rsidRPr="0051081C">
        <w:rPr>
          <w:rFonts w:eastAsia="Times New Roman" w:cs="Times New Roman"/>
          <w:kern w:val="0"/>
          <w:lang w:eastAsia="en-US" w:bidi="ar-SA"/>
        </w:rPr>
        <w:t>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3</w:t>
      </w:r>
      <w:r w:rsidRPr="00675D37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§ 120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„§ 120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Majetkové priznanie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Povinnosti veliteľa podľa § 7 ods. 1 a 3 týkajúce sa podávania majetkového priznania vrátane zodpovednosti za nesplnenie týchto povinností upravuje osobitný zákon.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36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E65B71" w:rsidP="000E1573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4</w:t>
      </w:r>
      <w:r w:rsidRPr="00756663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§ 121 sa vypúšťa.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B04D96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IX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BA1042">
        <w:rPr>
          <w:rFonts w:eastAsia="Times New Roman" w:cs="Times New Roman"/>
          <w:kern w:val="0"/>
          <w:lang w:eastAsia="en-US" w:bidi="ar-SA"/>
        </w:rPr>
        <w:t>Zákon č. 400/2009 Z. z. o štátnej službe a o zmene a doplnení niektorých zákonov v znení zákona č. 151/2010 Z. z., zákona č. 500/2010 Z. z., zákona č. 505/2010 Z. z., zákona č. 547/2010 Z. z., zákona č. 33/2011 Z. z., zákona č. 48/2011 Z. z., zákona č. 220/2011 Z. z., zákona č. 257/2011 Z. z., zákona č. 503/2011 Z. z., zákona č. 252/2012 Z. z., zákona č. 345/2012 Z. z., zákona č. 361/2012 Z. z., zákona č. 392/2012 Z. z., zákona č. 122/2013 Z. z., zákona č. 305/2013 Z. z., zákona č. 402/2013 Z. z., zákona č. 462/2013 Z. z., zákona č. 307/2014 Z.</w:t>
      </w:r>
      <w:r>
        <w:rPr>
          <w:rFonts w:eastAsia="Times New Roman" w:cs="Times New Roman"/>
          <w:kern w:val="0"/>
          <w:lang w:eastAsia="en-US" w:bidi="ar-SA"/>
        </w:rPr>
        <w:t xml:space="preserve"> z., zákona č. 322/2014 Z. z., </w:t>
      </w:r>
      <w:r w:rsidRPr="00BA1042">
        <w:rPr>
          <w:rFonts w:eastAsia="Times New Roman" w:cs="Times New Roman"/>
          <w:kern w:val="0"/>
          <w:lang w:eastAsia="en-US" w:bidi="ar-SA"/>
        </w:rPr>
        <w:t xml:space="preserve">zákona č. 325/2014 Z. z. </w:t>
      </w:r>
      <w:r>
        <w:rPr>
          <w:rFonts w:eastAsia="Times New Roman" w:cs="Times New Roman"/>
          <w:kern w:val="0"/>
          <w:lang w:eastAsia="en-US" w:bidi="ar-SA"/>
        </w:rPr>
        <w:t xml:space="preserve">a zákona č. 362/2014 Z. z. </w:t>
      </w:r>
      <w:r w:rsidRPr="00BA1042">
        <w:rPr>
          <w:rFonts w:eastAsia="Times New Roman" w:cs="Times New Roman"/>
          <w:kern w:val="0"/>
          <w:lang w:eastAsia="en-US" w:bidi="ar-SA"/>
        </w:rPr>
        <w:t xml:space="preserve">sa </w:t>
      </w:r>
      <w:r>
        <w:rPr>
          <w:rFonts w:eastAsia="Times New Roman" w:cs="Times New Roman"/>
          <w:kern w:val="0"/>
          <w:lang w:eastAsia="en-US" w:bidi="ar-SA"/>
        </w:rPr>
        <w:t xml:space="preserve">mení a </w:t>
      </w:r>
      <w:r w:rsidRPr="00BA1042">
        <w:rPr>
          <w:rFonts w:eastAsia="Times New Roman" w:cs="Times New Roman"/>
          <w:kern w:val="0"/>
          <w:lang w:eastAsia="en-US" w:bidi="ar-SA"/>
        </w:rPr>
        <w:t>dopĺňa takto: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60B18">
        <w:rPr>
          <w:rFonts w:eastAsia="Times New Roman" w:cs="Times New Roman"/>
          <w:b/>
          <w:kern w:val="0"/>
          <w:lang w:eastAsia="en-US" w:bidi="ar-SA"/>
        </w:rPr>
        <w:t>1.</w:t>
      </w:r>
      <w:r>
        <w:rPr>
          <w:rFonts w:eastAsia="Times New Roman" w:cs="Times New Roman"/>
          <w:kern w:val="0"/>
          <w:lang w:eastAsia="en-US" w:bidi="ar-SA"/>
        </w:rPr>
        <w:t xml:space="preserve"> § 63 vrátane nadpisu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„§ 63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Majetkové priznanie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RPr="00B04D96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Povinnosti štátneho zamestnanca týkajúce sa podávania majetkového priznania vrátane zodpovednosti za nesplnenie týchto povinností upravuje osobitný zákon.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48</w:t>
      </w:r>
      <w:r>
        <w:rPr>
          <w:rFonts w:eastAsia="Times New Roman" w:cs="Times New Roman"/>
          <w:kern w:val="0"/>
          <w:lang w:eastAsia="en-US" w:bidi="ar-SA"/>
        </w:rPr>
        <w:t>)“.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48</w:t>
      </w:r>
      <w:r>
        <w:rPr>
          <w:rFonts w:eastAsia="Times New Roman" w:cs="Times New Roman"/>
          <w:kern w:val="0"/>
          <w:lang w:eastAsia="en-US" w:bidi="ar-SA"/>
        </w:rPr>
        <w:t>) znie: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„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48</w:t>
      </w:r>
      <w:r>
        <w:rPr>
          <w:rFonts w:eastAsia="Times New Roman" w:cs="Times New Roman"/>
          <w:kern w:val="0"/>
          <w:lang w:eastAsia="en-US" w:bidi="ar-SA"/>
        </w:rPr>
        <w:t xml:space="preserve">) Zákon č. ...../2015 Z. z. </w:t>
      </w:r>
      <w:r w:rsidRPr="0051081C">
        <w:rPr>
          <w:rFonts w:eastAsia="Times New Roman" w:cs="Times New Roman"/>
          <w:kern w:val="0"/>
          <w:lang w:eastAsia="en-US" w:bidi="ar-SA"/>
        </w:rPr>
        <w:t xml:space="preserve">o majetkových priznaniach </w:t>
      </w:r>
      <w:r>
        <w:rPr>
          <w:rFonts w:eastAsia="Times New Roman" w:cs="Times New Roman"/>
          <w:kern w:val="0"/>
          <w:lang w:eastAsia="en-US" w:bidi="ar-SA"/>
        </w:rPr>
        <w:t xml:space="preserve">niektorých </w:t>
      </w:r>
      <w:r w:rsidRPr="0051081C">
        <w:rPr>
          <w:rFonts w:eastAsia="Times New Roman" w:cs="Times New Roman"/>
          <w:kern w:val="0"/>
          <w:lang w:eastAsia="en-US" w:bidi="ar-SA"/>
        </w:rPr>
        <w:t xml:space="preserve">verejných </w:t>
      </w:r>
      <w:r>
        <w:rPr>
          <w:rFonts w:eastAsia="Times New Roman" w:cs="Times New Roman"/>
          <w:kern w:val="0"/>
          <w:lang w:eastAsia="en-US" w:bidi="ar-SA"/>
        </w:rPr>
        <w:t>činiteľov</w:t>
      </w:r>
      <w:r w:rsidRPr="0051081C">
        <w:rPr>
          <w:rFonts w:eastAsia="Times New Roman" w:cs="Times New Roman"/>
          <w:kern w:val="0"/>
          <w:lang w:eastAsia="en-US" w:bidi="ar-SA"/>
        </w:rPr>
        <w:t xml:space="preserve"> a o zmene a doplnení niektorých zákonov</w:t>
      </w:r>
      <w:r>
        <w:rPr>
          <w:rFonts w:eastAsia="Times New Roman" w:cs="Times New Roman"/>
          <w:kern w:val="0"/>
          <w:lang w:eastAsia="en-US" w:bidi="ar-SA"/>
        </w:rPr>
        <w:t>.“.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60B18">
        <w:rPr>
          <w:rFonts w:eastAsia="Times New Roman" w:cs="Times New Roman"/>
          <w:b/>
          <w:kern w:val="0"/>
          <w:lang w:eastAsia="en-US" w:bidi="ar-SA"/>
        </w:rPr>
        <w:t>2.</w:t>
      </w:r>
      <w:r>
        <w:rPr>
          <w:rFonts w:eastAsia="Times New Roman" w:cs="Times New Roman"/>
          <w:kern w:val="0"/>
          <w:lang w:eastAsia="en-US" w:bidi="ar-SA"/>
        </w:rPr>
        <w:t xml:space="preserve"> § 64 sa vypúšťa.</w:t>
      </w:r>
    </w:p>
    <w:p w:rsidR="000E1573" w:rsidP="000E157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3</w:t>
      </w:r>
      <w:r w:rsidRPr="00B04D96">
        <w:rPr>
          <w:rFonts w:eastAsia="Times New Roman" w:cs="Times New Roman"/>
          <w:b/>
          <w:kern w:val="0"/>
          <w:lang w:eastAsia="en-US" w:bidi="ar-SA"/>
        </w:rPr>
        <w:t>.</w:t>
      </w:r>
      <w:r>
        <w:rPr>
          <w:rFonts w:eastAsia="Times New Roman" w:cs="Times New Roman"/>
          <w:kern w:val="0"/>
          <w:lang w:eastAsia="en-US" w:bidi="ar-SA"/>
        </w:rPr>
        <w:t xml:space="preserve"> Poznámka pod čiarou k odkazu </w:t>
      </w:r>
      <w:r w:rsidRPr="003D266F">
        <w:rPr>
          <w:rFonts w:eastAsia="Times New Roman" w:cs="Times New Roman"/>
          <w:kern w:val="0"/>
          <w:vertAlign w:val="superscript"/>
          <w:lang w:eastAsia="en-US" w:bidi="ar-SA"/>
        </w:rPr>
        <w:t>4</w:t>
      </w:r>
      <w:r>
        <w:rPr>
          <w:rFonts w:eastAsia="Times New Roman" w:cs="Times New Roman"/>
          <w:kern w:val="0"/>
          <w:vertAlign w:val="superscript"/>
          <w:lang w:eastAsia="en-US" w:bidi="ar-SA"/>
        </w:rPr>
        <w:t>9</w:t>
      </w:r>
      <w:r>
        <w:rPr>
          <w:rFonts w:eastAsia="Times New Roman" w:cs="Times New Roman"/>
          <w:kern w:val="0"/>
          <w:lang w:eastAsia="en-US" w:bidi="ar-SA"/>
        </w:rPr>
        <w:t>) sa vypúšťa.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60B18">
        <w:rPr>
          <w:rFonts w:eastAsia="Times New Roman" w:cs="Times New Roman"/>
          <w:b/>
          <w:kern w:val="0"/>
          <w:lang w:eastAsia="en-US" w:bidi="ar-SA"/>
        </w:rPr>
        <w:t>4.</w:t>
      </w:r>
      <w:r>
        <w:rPr>
          <w:rFonts w:eastAsia="Times New Roman" w:cs="Times New Roman"/>
          <w:kern w:val="0"/>
          <w:lang w:eastAsia="en-US" w:bidi="ar-SA"/>
        </w:rPr>
        <w:t xml:space="preserve"> Slová „príloha č. 3“ sa vo všetkých gramatických tvaroch v celom texte zákona nahrádzajú slovami „príloha č. 2“ v príslušnom gramatickom tvare.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60B18">
        <w:rPr>
          <w:rFonts w:eastAsia="Times New Roman" w:cs="Times New Roman"/>
          <w:b/>
          <w:kern w:val="0"/>
          <w:lang w:eastAsia="en-US" w:bidi="ar-SA"/>
        </w:rPr>
        <w:t>5.</w:t>
      </w:r>
      <w:r>
        <w:rPr>
          <w:rFonts w:eastAsia="Times New Roman" w:cs="Times New Roman"/>
          <w:kern w:val="0"/>
          <w:lang w:eastAsia="en-US" w:bidi="ar-SA"/>
        </w:rPr>
        <w:t xml:space="preserve"> Slová „príloha č. 4“ sa vo všetkých gramatických tvaroch v celom texte zákona nahrádzajú slovami „príloha č. 3“ v príslušnom gramatickom tvare.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60B18">
        <w:rPr>
          <w:rFonts w:eastAsia="Times New Roman" w:cs="Times New Roman"/>
          <w:b/>
          <w:kern w:val="0"/>
          <w:lang w:eastAsia="en-US" w:bidi="ar-SA"/>
        </w:rPr>
        <w:t>6.</w:t>
      </w:r>
      <w:r>
        <w:rPr>
          <w:rFonts w:eastAsia="Times New Roman" w:cs="Times New Roman"/>
          <w:kern w:val="0"/>
          <w:lang w:eastAsia="en-US" w:bidi="ar-SA"/>
        </w:rPr>
        <w:t xml:space="preserve"> V § 141 sa slová „v prílohe č. 5“ nahrádzajú slovami „v prílohe č. 4“.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560B18">
        <w:rPr>
          <w:rFonts w:eastAsia="Times New Roman" w:cs="Times New Roman"/>
          <w:b/>
          <w:kern w:val="0"/>
          <w:lang w:eastAsia="en-US" w:bidi="ar-SA"/>
        </w:rPr>
        <w:t>7.</w:t>
      </w:r>
      <w:r>
        <w:rPr>
          <w:rFonts w:eastAsia="Times New Roman" w:cs="Times New Roman"/>
          <w:kern w:val="0"/>
          <w:lang w:eastAsia="en-US" w:bidi="ar-SA"/>
        </w:rPr>
        <w:t xml:space="preserve"> Príloha č. 2 sa vypúšťa. 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Doterajšie prílohy 3 až 5 sa označujú ako prílohy 2 až 4.</w:t>
      </w: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Čl. X</w:t>
      </w:r>
    </w:p>
    <w:p w:rsidR="000E1573" w:rsidP="000E1573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0E1573" w:rsidRPr="003D341B" w:rsidP="000E1573">
      <w:pPr>
        <w:widowControl/>
        <w:suppressAutoHyphens w:val="0"/>
        <w:bidi w:val="0"/>
        <w:jc w:val="both"/>
        <w:rPr>
          <w:b/>
          <w:bCs/>
          <w:sz w:val="32"/>
          <w:szCs w:val="32"/>
        </w:rPr>
      </w:pPr>
      <w:r>
        <w:rPr>
          <w:rFonts w:eastAsia="Times New Roman" w:cs="Times New Roman"/>
          <w:kern w:val="0"/>
          <w:lang w:eastAsia="en-US" w:bidi="ar-SA"/>
        </w:rPr>
        <w:tab/>
        <w:t>Tento zákon nadobúda účinnosť 1. januára 2016.</w:t>
      </w:r>
    </w:p>
    <w:sectPr w:rsidSect="001A7996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A8A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9B2A8A" w:rsidP="004B0F8E">
    <w:pPr>
      <w:pStyle w:val="Footer"/>
      <w:bidi w:val="0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7B" w:rsidP="0090548E">
      <w:pPr>
        <w:bidi w:val="0"/>
      </w:pPr>
      <w:r>
        <w:separator/>
      </w:r>
    </w:p>
  </w:footnote>
  <w:footnote w:type="continuationSeparator" w:id="1">
    <w:p w:rsidR="0079547B" w:rsidP="0090548E">
      <w:pPr>
        <w:bidi w:val="0"/>
      </w:pPr>
      <w:r>
        <w:continuationSeparator/>
      </w:r>
    </w:p>
  </w:footnote>
  <w:footnote w:id="2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>) § 2 ods. 1 zákona č. 73/1998 Z. z. o štátnej službe príslušníkov Policajného zboru, Slovenskej informačnej služby, Zboru väzenskej a justičnej stráže Slovenskej republiky a Železničnej polície v znení neskorších predpisov.</w:t>
      </w:r>
    </w:p>
  </w:footnote>
  <w:footnote w:id="3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>) § 2 ods. 1 zákona č. 200/1998 Z. z. o štátnej službe colníkov a o zmene a doplnení niektorých ďalších zákonov v znení neskorších predpisov.</w:t>
      </w:r>
    </w:p>
  </w:footnote>
  <w:footnote w:id="4">
    <w:p w:rsidP="000E1573">
      <w:pPr>
        <w:pStyle w:val="FootnoteText"/>
        <w:bidi w:val="0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 ) § 49 ods. 2 a 3 zákona č. 315/2001 Z. z. o Hasičskom a záchrannom zbore v znení neskorších predpisov.</w:t>
      </w:r>
    </w:p>
  </w:footnote>
  <w:footnote w:id="5">
    <w:p w:rsidP="000E1573">
      <w:pPr>
        <w:pStyle w:val="FootnoteText"/>
        <w:bidi w:val="0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 ) § 7 ods. 1 a 3 zákona č. 346/2005 Z. z. o štátnej službe profesionálnych vojakov ozbrojených síl Slovenskej republiky a o zmene a doplnení niektorých zákonov v znení neskorších predpisov.</w:t>
      </w:r>
    </w:p>
  </w:footnote>
  <w:footnote w:id="6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>) § 11 ods. 1 zákona č. 400/2009 Z. z. o štátnej službe a o zmene a doplnení niektorých zákonov v znení neskorších predpisov.</w:t>
      </w:r>
    </w:p>
  </w:footnote>
  <w:footnote w:id="7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) § 6 zákona č. </w:t>
      </w:r>
      <w:r w:rsidRPr="007F12C5" w:rsidR="009B2A8A">
        <w:rPr>
          <w:rFonts w:ascii="Times New Roman" w:hAnsi="Times New Roman"/>
        </w:rPr>
        <w:t>400/2009 Z. z. o štátnej službe a o zmene a doplnení niektorých zákonov v znení neskorších predpisov.</w:t>
      </w:r>
    </w:p>
  </w:footnote>
  <w:footnote w:id="8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>) § 1 ods. 2 zákona č. 552/2003 Z. z. o výkone práce vo verejnom záujme v znení neskorších predpisov.</w:t>
      </w:r>
    </w:p>
  </w:footnote>
  <w:footnote w:id="9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) § 2 ods. 1 zákona č. </w:t>
      </w:r>
      <w:r w:rsidRPr="001E66C9" w:rsidR="009B2A8A">
        <w:rPr>
          <w:rFonts w:ascii="Times New Roman" w:hAnsi="Times New Roman"/>
        </w:rPr>
        <w:t>552/2003 Z. z. o výkone práce vo verejnom záujme v znení neskorších predpisov.</w:t>
      </w:r>
    </w:p>
  </w:footnote>
  <w:footnote w:id="10">
    <w:p w:rsidP="000E1573">
      <w:pPr>
        <w:pStyle w:val="FootnoteText"/>
        <w:bidi w:val="0"/>
        <w:jc w:val="both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) </w:t>
      </w:r>
      <w:r w:rsidRPr="00752CF3" w:rsidR="009B2A8A">
        <w:rPr>
          <w:rFonts w:ascii="Times New Roman" w:hAnsi="Times New Roman"/>
        </w:rPr>
        <w:t>Zákon č. 18/1996 Z. z. o cenách v znení neskorších predpisov.</w:t>
      </w:r>
    </w:p>
  </w:footnote>
  <w:footnote w:id="11">
    <w:p w:rsidP="000E1573">
      <w:pPr>
        <w:pStyle w:val="FootnoteText"/>
        <w:bidi w:val="0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 ) § 3 ods. 1 zákona č. 101/2010 Z. z. o preukazovaní pôvodu majetku.</w:t>
      </w:r>
    </w:p>
  </w:footnote>
  <w:footnote w:id="12">
    <w:p w:rsidP="000E1573">
      <w:pPr>
        <w:pStyle w:val="FootnoteText"/>
        <w:bidi w:val="0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>) Napríklad čl. 9 ústavného zákona č. 357/2004 Z. z. o ochrane verejného záujmu pri výkone funkcií verejných funkcionárov v znení ústavného zákona č. 545/2005 Z. z.</w:t>
      </w:r>
    </w:p>
  </w:footnote>
  <w:footnote w:id="13">
    <w:p w:rsidP="000E1573">
      <w:pPr>
        <w:pStyle w:val="FootnoteText"/>
        <w:bidi w:val="0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>) Zákon č. 122/2013 Z. z. o ochrane osobných údajov a o zmene a doplnení niektorých zákonov.</w:t>
      </w:r>
    </w:p>
  </w:footnote>
  <w:footnote w:id="14">
    <w:p w:rsidP="000E1573">
      <w:pPr>
        <w:pStyle w:val="FootnoteText"/>
        <w:bidi w:val="0"/>
        <w:rPr>
          <w:rFonts w:ascii="Times New Roman" w:hAnsi="Times New Roman"/>
        </w:rPr>
      </w:pPr>
      <w:r w:rsidR="009B2A8A">
        <w:rPr>
          <w:rStyle w:val="FootnoteReference"/>
          <w:rFonts w:ascii="Times New Roman" w:hAnsi="Times New Roman"/>
        </w:rPr>
        <w:footnoteRef/>
      </w:r>
      <w:r w:rsidR="009B2A8A">
        <w:rPr>
          <w:rFonts w:ascii="Times New Roman" w:hAnsi="Times New Roman"/>
        </w:rPr>
        <w:t xml:space="preserve"> ) </w:t>
      </w:r>
      <w:r w:rsidRPr="00AD2F3A" w:rsidR="009B2A8A">
        <w:rPr>
          <w:rFonts w:ascii="Times New Roman" w:hAnsi="Times New Roman"/>
        </w:rPr>
        <w:t>Zákon č. 71/1967 Zb.</w:t>
      </w:r>
      <w:r w:rsidR="009B2A8A">
        <w:rPr>
          <w:rFonts w:ascii="Times New Roman" w:hAnsi="Times New Roman"/>
        </w:rPr>
        <w:t xml:space="preserve"> o správnom konaní (správny poriadok) v znení neskorších predpisov.</w:t>
      </w:r>
    </w:p>
  </w:footnote>
  <w:footnote w:id="15">
    <w:p w:rsidP="009B0384">
      <w:pPr>
        <w:pStyle w:val="FootnoteText"/>
        <w:bidi w:val="0"/>
        <w:spacing w:after="0" w:line="240" w:lineRule="auto"/>
        <w:rPr>
          <w:rFonts w:ascii="Times New Roman" w:hAnsi="Times New Roman"/>
        </w:rPr>
      </w:pPr>
      <w:r w:rsidRPr="001A52C7" w:rsidR="009B2A8A">
        <w:rPr>
          <w:rStyle w:val="FootnoteReference"/>
          <w:rFonts w:ascii="Times New Roman" w:hAnsi="Times New Roman"/>
        </w:rPr>
        <w:footnoteRef/>
      </w:r>
      <w:r w:rsidRPr="001A52C7" w:rsidR="009B2A8A">
        <w:rPr>
          <w:rFonts w:ascii="Times New Roman" w:hAnsi="Times New Roman"/>
        </w:rPr>
        <w:t xml:space="preserve">  Zákon č. 18/1996 Z. z. o cenách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952"/>
    <w:multiLevelType w:val="hybridMultilevel"/>
    <w:tmpl w:val="88B03C5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017DCE"/>
    <w:multiLevelType w:val="hybridMultilevel"/>
    <w:tmpl w:val="459CC5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B66676"/>
    <w:multiLevelType w:val="hybridMultilevel"/>
    <w:tmpl w:val="7D70BE4A"/>
    <w:lvl w:ilvl="0">
      <w:start w:val="44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373AA7"/>
    <w:multiLevelType w:val="hybridMultilevel"/>
    <w:tmpl w:val="AB5C959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911A71"/>
    <w:multiLevelType w:val="hybridMultilevel"/>
    <w:tmpl w:val="08B2DF3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7CFE63AD"/>
    <w:multiLevelType w:val="hybridMultilevel"/>
    <w:tmpl w:val="9030EB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3B12"/>
    <w:rsid w:val="000064D7"/>
    <w:rsid w:val="00011A4B"/>
    <w:rsid w:val="0003434F"/>
    <w:rsid w:val="00036231"/>
    <w:rsid w:val="00050786"/>
    <w:rsid w:val="00057722"/>
    <w:rsid w:val="00061974"/>
    <w:rsid w:val="00063652"/>
    <w:rsid w:val="00070006"/>
    <w:rsid w:val="000708C0"/>
    <w:rsid w:val="00070A80"/>
    <w:rsid w:val="00075069"/>
    <w:rsid w:val="00075997"/>
    <w:rsid w:val="00077A6C"/>
    <w:rsid w:val="0008356A"/>
    <w:rsid w:val="00085D1F"/>
    <w:rsid w:val="00091102"/>
    <w:rsid w:val="00092AD2"/>
    <w:rsid w:val="000957AD"/>
    <w:rsid w:val="000A07A9"/>
    <w:rsid w:val="000A4469"/>
    <w:rsid w:val="000B112B"/>
    <w:rsid w:val="000B210E"/>
    <w:rsid w:val="000B2B2D"/>
    <w:rsid w:val="000B3BCB"/>
    <w:rsid w:val="000B4E2E"/>
    <w:rsid w:val="000B62DB"/>
    <w:rsid w:val="000B63B5"/>
    <w:rsid w:val="000C00E3"/>
    <w:rsid w:val="000C1685"/>
    <w:rsid w:val="000C2FE5"/>
    <w:rsid w:val="000C77FF"/>
    <w:rsid w:val="000D1E2D"/>
    <w:rsid w:val="000D4912"/>
    <w:rsid w:val="000D5947"/>
    <w:rsid w:val="000E1573"/>
    <w:rsid w:val="000E2096"/>
    <w:rsid w:val="000E503A"/>
    <w:rsid w:val="000E5B33"/>
    <w:rsid w:val="000F48A4"/>
    <w:rsid w:val="00100133"/>
    <w:rsid w:val="00104CAF"/>
    <w:rsid w:val="00106362"/>
    <w:rsid w:val="00107FA9"/>
    <w:rsid w:val="00110D99"/>
    <w:rsid w:val="00110EA3"/>
    <w:rsid w:val="00112614"/>
    <w:rsid w:val="00112B29"/>
    <w:rsid w:val="001201AF"/>
    <w:rsid w:val="00121E38"/>
    <w:rsid w:val="00124C3B"/>
    <w:rsid w:val="0012689B"/>
    <w:rsid w:val="00130826"/>
    <w:rsid w:val="00130B84"/>
    <w:rsid w:val="001329E3"/>
    <w:rsid w:val="00136B3D"/>
    <w:rsid w:val="001408B7"/>
    <w:rsid w:val="00142B3C"/>
    <w:rsid w:val="00150922"/>
    <w:rsid w:val="00151F83"/>
    <w:rsid w:val="001521A2"/>
    <w:rsid w:val="00152F6C"/>
    <w:rsid w:val="00154B93"/>
    <w:rsid w:val="00160200"/>
    <w:rsid w:val="00160DD8"/>
    <w:rsid w:val="001629F0"/>
    <w:rsid w:val="0017186A"/>
    <w:rsid w:val="0017622F"/>
    <w:rsid w:val="001777C8"/>
    <w:rsid w:val="00191FC3"/>
    <w:rsid w:val="00192B83"/>
    <w:rsid w:val="0019371B"/>
    <w:rsid w:val="00195BC0"/>
    <w:rsid w:val="001A0784"/>
    <w:rsid w:val="001A09EB"/>
    <w:rsid w:val="001A32B1"/>
    <w:rsid w:val="001A474E"/>
    <w:rsid w:val="001A52C7"/>
    <w:rsid w:val="001A7996"/>
    <w:rsid w:val="001B6A29"/>
    <w:rsid w:val="001C4C70"/>
    <w:rsid w:val="001C7365"/>
    <w:rsid w:val="001D6350"/>
    <w:rsid w:val="001D6D1C"/>
    <w:rsid w:val="001E205E"/>
    <w:rsid w:val="001E610A"/>
    <w:rsid w:val="001E66C9"/>
    <w:rsid w:val="001E6FDD"/>
    <w:rsid w:val="001E7E60"/>
    <w:rsid w:val="00200057"/>
    <w:rsid w:val="0020609E"/>
    <w:rsid w:val="0021000D"/>
    <w:rsid w:val="00210D01"/>
    <w:rsid w:val="00212DE0"/>
    <w:rsid w:val="00216020"/>
    <w:rsid w:val="00220208"/>
    <w:rsid w:val="002226ED"/>
    <w:rsid w:val="00224BF0"/>
    <w:rsid w:val="00225B05"/>
    <w:rsid w:val="00226A39"/>
    <w:rsid w:val="0023058D"/>
    <w:rsid w:val="0023134C"/>
    <w:rsid w:val="00232297"/>
    <w:rsid w:val="00232891"/>
    <w:rsid w:val="00242ABC"/>
    <w:rsid w:val="002433BD"/>
    <w:rsid w:val="00244C1A"/>
    <w:rsid w:val="002462AF"/>
    <w:rsid w:val="00246832"/>
    <w:rsid w:val="00247AE9"/>
    <w:rsid w:val="0025197F"/>
    <w:rsid w:val="00252581"/>
    <w:rsid w:val="00254990"/>
    <w:rsid w:val="002549FF"/>
    <w:rsid w:val="00254D12"/>
    <w:rsid w:val="00255778"/>
    <w:rsid w:val="002562F1"/>
    <w:rsid w:val="00257D60"/>
    <w:rsid w:val="00261C7F"/>
    <w:rsid w:val="00262F6A"/>
    <w:rsid w:val="00263D30"/>
    <w:rsid w:val="00264DA5"/>
    <w:rsid w:val="0027080C"/>
    <w:rsid w:val="00271233"/>
    <w:rsid w:val="0027155C"/>
    <w:rsid w:val="00274235"/>
    <w:rsid w:val="00276AF3"/>
    <w:rsid w:val="0028495A"/>
    <w:rsid w:val="002877D7"/>
    <w:rsid w:val="002A191A"/>
    <w:rsid w:val="002A49F7"/>
    <w:rsid w:val="002A635A"/>
    <w:rsid w:val="002B32F2"/>
    <w:rsid w:val="002B3AE6"/>
    <w:rsid w:val="002B3C2A"/>
    <w:rsid w:val="002B5DB7"/>
    <w:rsid w:val="002B67D0"/>
    <w:rsid w:val="002C0F8A"/>
    <w:rsid w:val="002C73CB"/>
    <w:rsid w:val="002C7A48"/>
    <w:rsid w:val="002D1E91"/>
    <w:rsid w:val="002D2DFF"/>
    <w:rsid w:val="002D39B9"/>
    <w:rsid w:val="002D6F14"/>
    <w:rsid w:val="002E0308"/>
    <w:rsid w:val="002E0433"/>
    <w:rsid w:val="002E3AA9"/>
    <w:rsid w:val="002F3083"/>
    <w:rsid w:val="002F45B1"/>
    <w:rsid w:val="002F5073"/>
    <w:rsid w:val="00301DE4"/>
    <w:rsid w:val="00302E42"/>
    <w:rsid w:val="00303761"/>
    <w:rsid w:val="003155C3"/>
    <w:rsid w:val="003243E8"/>
    <w:rsid w:val="00324B37"/>
    <w:rsid w:val="00325CB4"/>
    <w:rsid w:val="003265D2"/>
    <w:rsid w:val="00331A07"/>
    <w:rsid w:val="00332355"/>
    <w:rsid w:val="00334B7A"/>
    <w:rsid w:val="00336F95"/>
    <w:rsid w:val="00336FD9"/>
    <w:rsid w:val="003439D2"/>
    <w:rsid w:val="00344500"/>
    <w:rsid w:val="00345E9D"/>
    <w:rsid w:val="003556A4"/>
    <w:rsid w:val="00364C2A"/>
    <w:rsid w:val="00366112"/>
    <w:rsid w:val="00367762"/>
    <w:rsid w:val="003760BA"/>
    <w:rsid w:val="00395125"/>
    <w:rsid w:val="00397539"/>
    <w:rsid w:val="003A55F1"/>
    <w:rsid w:val="003A6838"/>
    <w:rsid w:val="003B6285"/>
    <w:rsid w:val="003C038B"/>
    <w:rsid w:val="003C5663"/>
    <w:rsid w:val="003D0790"/>
    <w:rsid w:val="003D1BBA"/>
    <w:rsid w:val="003D266F"/>
    <w:rsid w:val="003D341B"/>
    <w:rsid w:val="003D448D"/>
    <w:rsid w:val="003D4D71"/>
    <w:rsid w:val="003D6DC2"/>
    <w:rsid w:val="003E0FDB"/>
    <w:rsid w:val="003E4847"/>
    <w:rsid w:val="003F5205"/>
    <w:rsid w:val="003F5372"/>
    <w:rsid w:val="0040221B"/>
    <w:rsid w:val="00403561"/>
    <w:rsid w:val="00403B95"/>
    <w:rsid w:val="00406E62"/>
    <w:rsid w:val="004121CE"/>
    <w:rsid w:val="00412F75"/>
    <w:rsid w:val="0042035B"/>
    <w:rsid w:val="00420AE3"/>
    <w:rsid w:val="00424490"/>
    <w:rsid w:val="004268EC"/>
    <w:rsid w:val="00427BE0"/>
    <w:rsid w:val="0043044A"/>
    <w:rsid w:val="00442926"/>
    <w:rsid w:val="00446F56"/>
    <w:rsid w:val="0045514F"/>
    <w:rsid w:val="00457855"/>
    <w:rsid w:val="004604D8"/>
    <w:rsid w:val="004623C9"/>
    <w:rsid w:val="00462A14"/>
    <w:rsid w:val="004671E3"/>
    <w:rsid w:val="00471854"/>
    <w:rsid w:val="00473A4B"/>
    <w:rsid w:val="004775B0"/>
    <w:rsid w:val="00477721"/>
    <w:rsid w:val="00480EA3"/>
    <w:rsid w:val="004945FE"/>
    <w:rsid w:val="00496F4B"/>
    <w:rsid w:val="004A2751"/>
    <w:rsid w:val="004A541E"/>
    <w:rsid w:val="004B0F8E"/>
    <w:rsid w:val="004B626C"/>
    <w:rsid w:val="004C29F3"/>
    <w:rsid w:val="004C302C"/>
    <w:rsid w:val="004C32E3"/>
    <w:rsid w:val="004C4E9A"/>
    <w:rsid w:val="004D3FE0"/>
    <w:rsid w:val="004D414A"/>
    <w:rsid w:val="004D61B1"/>
    <w:rsid w:val="004E025D"/>
    <w:rsid w:val="004E1DA9"/>
    <w:rsid w:val="004F0E8B"/>
    <w:rsid w:val="004F3A27"/>
    <w:rsid w:val="005002BD"/>
    <w:rsid w:val="00500C8A"/>
    <w:rsid w:val="00501506"/>
    <w:rsid w:val="005057F9"/>
    <w:rsid w:val="00505DC6"/>
    <w:rsid w:val="0050637F"/>
    <w:rsid w:val="00507D65"/>
    <w:rsid w:val="0051081C"/>
    <w:rsid w:val="0051130D"/>
    <w:rsid w:val="00511FDF"/>
    <w:rsid w:val="00514BB2"/>
    <w:rsid w:val="00515664"/>
    <w:rsid w:val="00520E89"/>
    <w:rsid w:val="0052165C"/>
    <w:rsid w:val="0052194A"/>
    <w:rsid w:val="00525737"/>
    <w:rsid w:val="00526590"/>
    <w:rsid w:val="0053060E"/>
    <w:rsid w:val="005321D0"/>
    <w:rsid w:val="00535919"/>
    <w:rsid w:val="0053687D"/>
    <w:rsid w:val="00540339"/>
    <w:rsid w:val="00544057"/>
    <w:rsid w:val="00545822"/>
    <w:rsid w:val="00546507"/>
    <w:rsid w:val="00547C92"/>
    <w:rsid w:val="00556474"/>
    <w:rsid w:val="005577E5"/>
    <w:rsid w:val="00560B18"/>
    <w:rsid w:val="00564816"/>
    <w:rsid w:val="00565DC4"/>
    <w:rsid w:val="00565DDA"/>
    <w:rsid w:val="005667CD"/>
    <w:rsid w:val="00571C07"/>
    <w:rsid w:val="00575C43"/>
    <w:rsid w:val="005870AA"/>
    <w:rsid w:val="005872A2"/>
    <w:rsid w:val="00587768"/>
    <w:rsid w:val="00587E8A"/>
    <w:rsid w:val="00587EB0"/>
    <w:rsid w:val="00590C47"/>
    <w:rsid w:val="00592EE9"/>
    <w:rsid w:val="00593DB1"/>
    <w:rsid w:val="005A1203"/>
    <w:rsid w:val="005A5F10"/>
    <w:rsid w:val="005A62F6"/>
    <w:rsid w:val="005B3438"/>
    <w:rsid w:val="005B3517"/>
    <w:rsid w:val="005B74E5"/>
    <w:rsid w:val="005B7C8D"/>
    <w:rsid w:val="005C15AB"/>
    <w:rsid w:val="005C3249"/>
    <w:rsid w:val="005C4387"/>
    <w:rsid w:val="005C4494"/>
    <w:rsid w:val="005C4749"/>
    <w:rsid w:val="005C561C"/>
    <w:rsid w:val="005C5F68"/>
    <w:rsid w:val="005D0CF3"/>
    <w:rsid w:val="005D0D2D"/>
    <w:rsid w:val="005E2C19"/>
    <w:rsid w:val="005E310B"/>
    <w:rsid w:val="005E51F4"/>
    <w:rsid w:val="005E5600"/>
    <w:rsid w:val="005E61CB"/>
    <w:rsid w:val="005F4463"/>
    <w:rsid w:val="005F5FD5"/>
    <w:rsid w:val="006013BC"/>
    <w:rsid w:val="00601FF5"/>
    <w:rsid w:val="00610EC8"/>
    <w:rsid w:val="006128B1"/>
    <w:rsid w:val="00612AF8"/>
    <w:rsid w:val="00613DAF"/>
    <w:rsid w:val="00617EC0"/>
    <w:rsid w:val="00631565"/>
    <w:rsid w:val="00632296"/>
    <w:rsid w:val="00645D37"/>
    <w:rsid w:val="00645EA6"/>
    <w:rsid w:val="00646694"/>
    <w:rsid w:val="00652267"/>
    <w:rsid w:val="0065568A"/>
    <w:rsid w:val="00655B9C"/>
    <w:rsid w:val="006637F4"/>
    <w:rsid w:val="0067499F"/>
    <w:rsid w:val="00675D37"/>
    <w:rsid w:val="00675E52"/>
    <w:rsid w:val="0068440A"/>
    <w:rsid w:val="00686654"/>
    <w:rsid w:val="00687973"/>
    <w:rsid w:val="00690737"/>
    <w:rsid w:val="0069739B"/>
    <w:rsid w:val="006A359A"/>
    <w:rsid w:val="006A6768"/>
    <w:rsid w:val="006B0EA3"/>
    <w:rsid w:val="006B14A3"/>
    <w:rsid w:val="006B46A6"/>
    <w:rsid w:val="006B6704"/>
    <w:rsid w:val="006C3B7E"/>
    <w:rsid w:val="006C5D62"/>
    <w:rsid w:val="006D0F52"/>
    <w:rsid w:val="006D218B"/>
    <w:rsid w:val="006D2ABF"/>
    <w:rsid w:val="006D60D0"/>
    <w:rsid w:val="006D6F09"/>
    <w:rsid w:val="006D72A3"/>
    <w:rsid w:val="006E2361"/>
    <w:rsid w:val="006E5663"/>
    <w:rsid w:val="006E6879"/>
    <w:rsid w:val="007063AF"/>
    <w:rsid w:val="00707595"/>
    <w:rsid w:val="0071031C"/>
    <w:rsid w:val="007115A9"/>
    <w:rsid w:val="00711A47"/>
    <w:rsid w:val="00712A01"/>
    <w:rsid w:val="00713383"/>
    <w:rsid w:val="00714CD9"/>
    <w:rsid w:val="007157B6"/>
    <w:rsid w:val="00717496"/>
    <w:rsid w:val="00722268"/>
    <w:rsid w:val="00723A1C"/>
    <w:rsid w:val="007301DA"/>
    <w:rsid w:val="00732144"/>
    <w:rsid w:val="00737CC8"/>
    <w:rsid w:val="00742E03"/>
    <w:rsid w:val="00747367"/>
    <w:rsid w:val="007520BB"/>
    <w:rsid w:val="00752CF3"/>
    <w:rsid w:val="00756663"/>
    <w:rsid w:val="00756AC1"/>
    <w:rsid w:val="00763269"/>
    <w:rsid w:val="007666C7"/>
    <w:rsid w:val="00773985"/>
    <w:rsid w:val="00773A69"/>
    <w:rsid w:val="00774A59"/>
    <w:rsid w:val="00774B24"/>
    <w:rsid w:val="00782A02"/>
    <w:rsid w:val="00782B02"/>
    <w:rsid w:val="00785F3E"/>
    <w:rsid w:val="00787EE6"/>
    <w:rsid w:val="007945CB"/>
    <w:rsid w:val="0079547B"/>
    <w:rsid w:val="00795703"/>
    <w:rsid w:val="007A02B4"/>
    <w:rsid w:val="007A1A85"/>
    <w:rsid w:val="007A3852"/>
    <w:rsid w:val="007A6886"/>
    <w:rsid w:val="007B2761"/>
    <w:rsid w:val="007B469D"/>
    <w:rsid w:val="007B7B79"/>
    <w:rsid w:val="007C1364"/>
    <w:rsid w:val="007C25EE"/>
    <w:rsid w:val="007C49E3"/>
    <w:rsid w:val="007C5CC7"/>
    <w:rsid w:val="007D14D5"/>
    <w:rsid w:val="007D25C1"/>
    <w:rsid w:val="007E17C6"/>
    <w:rsid w:val="007E2F16"/>
    <w:rsid w:val="007F12C5"/>
    <w:rsid w:val="007F3D73"/>
    <w:rsid w:val="007F4255"/>
    <w:rsid w:val="007F65A0"/>
    <w:rsid w:val="008055E0"/>
    <w:rsid w:val="00806E88"/>
    <w:rsid w:val="008116BE"/>
    <w:rsid w:val="008138C2"/>
    <w:rsid w:val="008304A1"/>
    <w:rsid w:val="0083494F"/>
    <w:rsid w:val="00841CA7"/>
    <w:rsid w:val="00843B07"/>
    <w:rsid w:val="00844D7C"/>
    <w:rsid w:val="0084663C"/>
    <w:rsid w:val="00847EC2"/>
    <w:rsid w:val="00855A4E"/>
    <w:rsid w:val="0085753C"/>
    <w:rsid w:val="0086052F"/>
    <w:rsid w:val="00863302"/>
    <w:rsid w:val="00873B12"/>
    <w:rsid w:val="00876CC4"/>
    <w:rsid w:val="0088470F"/>
    <w:rsid w:val="00897C09"/>
    <w:rsid w:val="008A17F7"/>
    <w:rsid w:val="008A5624"/>
    <w:rsid w:val="008A7E8F"/>
    <w:rsid w:val="008B0B96"/>
    <w:rsid w:val="008B2485"/>
    <w:rsid w:val="008C02A4"/>
    <w:rsid w:val="008C0A5D"/>
    <w:rsid w:val="008D1355"/>
    <w:rsid w:val="008D2548"/>
    <w:rsid w:val="008D263E"/>
    <w:rsid w:val="008D46A8"/>
    <w:rsid w:val="008D6A70"/>
    <w:rsid w:val="008E5D4E"/>
    <w:rsid w:val="008F698F"/>
    <w:rsid w:val="00901E8E"/>
    <w:rsid w:val="009023D8"/>
    <w:rsid w:val="0090548E"/>
    <w:rsid w:val="00905BA3"/>
    <w:rsid w:val="0091072A"/>
    <w:rsid w:val="00912F5D"/>
    <w:rsid w:val="00913923"/>
    <w:rsid w:val="00921FE0"/>
    <w:rsid w:val="0092356F"/>
    <w:rsid w:val="009241FB"/>
    <w:rsid w:val="009255B8"/>
    <w:rsid w:val="00935351"/>
    <w:rsid w:val="00936B6E"/>
    <w:rsid w:val="00937B77"/>
    <w:rsid w:val="00944F17"/>
    <w:rsid w:val="00945A8A"/>
    <w:rsid w:val="00954AE6"/>
    <w:rsid w:val="00960D70"/>
    <w:rsid w:val="00963359"/>
    <w:rsid w:val="00963644"/>
    <w:rsid w:val="009649F9"/>
    <w:rsid w:val="00973AD4"/>
    <w:rsid w:val="00981CED"/>
    <w:rsid w:val="00984E2A"/>
    <w:rsid w:val="009850EE"/>
    <w:rsid w:val="009878B3"/>
    <w:rsid w:val="00991DD6"/>
    <w:rsid w:val="0099615B"/>
    <w:rsid w:val="0099664B"/>
    <w:rsid w:val="00997B61"/>
    <w:rsid w:val="00997D0F"/>
    <w:rsid w:val="009A3C33"/>
    <w:rsid w:val="009A4243"/>
    <w:rsid w:val="009A532B"/>
    <w:rsid w:val="009A79D6"/>
    <w:rsid w:val="009B0384"/>
    <w:rsid w:val="009B1A48"/>
    <w:rsid w:val="009B1BC4"/>
    <w:rsid w:val="009B243E"/>
    <w:rsid w:val="009B2A8A"/>
    <w:rsid w:val="009B41E9"/>
    <w:rsid w:val="009B77A4"/>
    <w:rsid w:val="009C24AA"/>
    <w:rsid w:val="009C6CD0"/>
    <w:rsid w:val="009D27DC"/>
    <w:rsid w:val="009D544C"/>
    <w:rsid w:val="009E00A3"/>
    <w:rsid w:val="009E189F"/>
    <w:rsid w:val="009E1F99"/>
    <w:rsid w:val="009E2A9D"/>
    <w:rsid w:val="009F12E4"/>
    <w:rsid w:val="009F5F04"/>
    <w:rsid w:val="00A05EF5"/>
    <w:rsid w:val="00A077E2"/>
    <w:rsid w:val="00A104E0"/>
    <w:rsid w:val="00A147CA"/>
    <w:rsid w:val="00A152D8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673E3"/>
    <w:rsid w:val="00A87A6C"/>
    <w:rsid w:val="00A87C70"/>
    <w:rsid w:val="00AA1C81"/>
    <w:rsid w:val="00AA5725"/>
    <w:rsid w:val="00AB41B0"/>
    <w:rsid w:val="00AB7BAB"/>
    <w:rsid w:val="00AC4AC4"/>
    <w:rsid w:val="00AC6173"/>
    <w:rsid w:val="00AC752A"/>
    <w:rsid w:val="00AD2721"/>
    <w:rsid w:val="00AD2F3A"/>
    <w:rsid w:val="00AD4146"/>
    <w:rsid w:val="00AD7209"/>
    <w:rsid w:val="00AD7DC9"/>
    <w:rsid w:val="00AF2F4E"/>
    <w:rsid w:val="00B02805"/>
    <w:rsid w:val="00B02A47"/>
    <w:rsid w:val="00B041DA"/>
    <w:rsid w:val="00B04877"/>
    <w:rsid w:val="00B049AF"/>
    <w:rsid w:val="00B04D96"/>
    <w:rsid w:val="00B10BFD"/>
    <w:rsid w:val="00B21911"/>
    <w:rsid w:val="00B22B6F"/>
    <w:rsid w:val="00B26D60"/>
    <w:rsid w:val="00B27D05"/>
    <w:rsid w:val="00B32182"/>
    <w:rsid w:val="00B33B1D"/>
    <w:rsid w:val="00B41D81"/>
    <w:rsid w:val="00B445A3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95A7C"/>
    <w:rsid w:val="00B96D6B"/>
    <w:rsid w:val="00BA1042"/>
    <w:rsid w:val="00BA1BB8"/>
    <w:rsid w:val="00BB200C"/>
    <w:rsid w:val="00BB30C7"/>
    <w:rsid w:val="00BB7CF8"/>
    <w:rsid w:val="00BC6555"/>
    <w:rsid w:val="00BC6D0D"/>
    <w:rsid w:val="00BC77AC"/>
    <w:rsid w:val="00BD06D7"/>
    <w:rsid w:val="00BD1DB0"/>
    <w:rsid w:val="00BD24F9"/>
    <w:rsid w:val="00BD364D"/>
    <w:rsid w:val="00BE1CF0"/>
    <w:rsid w:val="00BF0502"/>
    <w:rsid w:val="00BF0528"/>
    <w:rsid w:val="00BF6E84"/>
    <w:rsid w:val="00C03934"/>
    <w:rsid w:val="00C05C95"/>
    <w:rsid w:val="00C16709"/>
    <w:rsid w:val="00C17ECC"/>
    <w:rsid w:val="00C202B2"/>
    <w:rsid w:val="00C259C8"/>
    <w:rsid w:val="00C273AD"/>
    <w:rsid w:val="00C31244"/>
    <w:rsid w:val="00C365CC"/>
    <w:rsid w:val="00C41815"/>
    <w:rsid w:val="00C43A02"/>
    <w:rsid w:val="00C46115"/>
    <w:rsid w:val="00C51179"/>
    <w:rsid w:val="00C562D5"/>
    <w:rsid w:val="00C61514"/>
    <w:rsid w:val="00C72CF4"/>
    <w:rsid w:val="00C730E7"/>
    <w:rsid w:val="00C74AF4"/>
    <w:rsid w:val="00C8387B"/>
    <w:rsid w:val="00C92858"/>
    <w:rsid w:val="00C9376A"/>
    <w:rsid w:val="00C946D3"/>
    <w:rsid w:val="00CA0BE5"/>
    <w:rsid w:val="00CA5E54"/>
    <w:rsid w:val="00CB3A98"/>
    <w:rsid w:val="00CC5B65"/>
    <w:rsid w:val="00CD4C20"/>
    <w:rsid w:val="00CD5655"/>
    <w:rsid w:val="00CD6B1C"/>
    <w:rsid w:val="00CE2496"/>
    <w:rsid w:val="00CE26D5"/>
    <w:rsid w:val="00CE3956"/>
    <w:rsid w:val="00CE7183"/>
    <w:rsid w:val="00CF2A1D"/>
    <w:rsid w:val="00CF7C8B"/>
    <w:rsid w:val="00D00542"/>
    <w:rsid w:val="00D02B73"/>
    <w:rsid w:val="00D030C2"/>
    <w:rsid w:val="00D04D3C"/>
    <w:rsid w:val="00D068EB"/>
    <w:rsid w:val="00D07EFD"/>
    <w:rsid w:val="00D1291B"/>
    <w:rsid w:val="00D13C20"/>
    <w:rsid w:val="00D14481"/>
    <w:rsid w:val="00D162D5"/>
    <w:rsid w:val="00D202E2"/>
    <w:rsid w:val="00D22398"/>
    <w:rsid w:val="00D27C70"/>
    <w:rsid w:val="00D32BF6"/>
    <w:rsid w:val="00D33691"/>
    <w:rsid w:val="00D34E43"/>
    <w:rsid w:val="00D36647"/>
    <w:rsid w:val="00D40347"/>
    <w:rsid w:val="00D438D6"/>
    <w:rsid w:val="00D43E64"/>
    <w:rsid w:val="00D44166"/>
    <w:rsid w:val="00D45B2B"/>
    <w:rsid w:val="00D46E40"/>
    <w:rsid w:val="00D530A3"/>
    <w:rsid w:val="00D60804"/>
    <w:rsid w:val="00D60839"/>
    <w:rsid w:val="00D66D83"/>
    <w:rsid w:val="00D70819"/>
    <w:rsid w:val="00D71943"/>
    <w:rsid w:val="00D7539F"/>
    <w:rsid w:val="00D764DA"/>
    <w:rsid w:val="00D90779"/>
    <w:rsid w:val="00D938D5"/>
    <w:rsid w:val="00DA18CB"/>
    <w:rsid w:val="00DA270D"/>
    <w:rsid w:val="00DA30C3"/>
    <w:rsid w:val="00DA4D1B"/>
    <w:rsid w:val="00DA67AC"/>
    <w:rsid w:val="00DA7B89"/>
    <w:rsid w:val="00DB5DB1"/>
    <w:rsid w:val="00DB5E9A"/>
    <w:rsid w:val="00DB6CAA"/>
    <w:rsid w:val="00DC1F89"/>
    <w:rsid w:val="00DD1229"/>
    <w:rsid w:val="00DD1D3A"/>
    <w:rsid w:val="00DD335F"/>
    <w:rsid w:val="00DD4F37"/>
    <w:rsid w:val="00DD6760"/>
    <w:rsid w:val="00DE3DAF"/>
    <w:rsid w:val="00DE601A"/>
    <w:rsid w:val="00DE7339"/>
    <w:rsid w:val="00DF259E"/>
    <w:rsid w:val="00DF4D3A"/>
    <w:rsid w:val="00E003F4"/>
    <w:rsid w:val="00E0350C"/>
    <w:rsid w:val="00E0441D"/>
    <w:rsid w:val="00E13047"/>
    <w:rsid w:val="00E21DA2"/>
    <w:rsid w:val="00E22AF4"/>
    <w:rsid w:val="00E3032B"/>
    <w:rsid w:val="00E31184"/>
    <w:rsid w:val="00E313F4"/>
    <w:rsid w:val="00E334EE"/>
    <w:rsid w:val="00E43460"/>
    <w:rsid w:val="00E50ED3"/>
    <w:rsid w:val="00E5544A"/>
    <w:rsid w:val="00E62736"/>
    <w:rsid w:val="00E639D8"/>
    <w:rsid w:val="00E65909"/>
    <w:rsid w:val="00E65B71"/>
    <w:rsid w:val="00E66CB0"/>
    <w:rsid w:val="00E727FA"/>
    <w:rsid w:val="00E728DD"/>
    <w:rsid w:val="00E76250"/>
    <w:rsid w:val="00E81660"/>
    <w:rsid w:val="00E8315D"/>
    <w:rsid w:val="00E8358E"/>
    <w:rsid w:val="00E83E9E"/>
    <w:rsid w:val="00E84824"/>
    <w:rsid w:val="00E857D9"/>
    <w:rsid w:val="00E85AAD"/>
    <w:rsid w:val="00E8632B"/>
    <w:rsid w:val="00E97A16"/>
    <w:rsid w:val="00EA4B15"/>
    <w:rsid w:val="00EA60BE"/>
    <w:rsid w:val="00EB0B84"/>
    <w:rsid w:val="00EB286F"/>
    <w:rsid w:val="00EB3EB2"/>
    <w:rsid w:val="00EC0820"/>
    <w:rsid w:val="00EC0C5F"/>
    <w:rsid w:val="00EC5E98"/>
    <w:rsid w:val="00EC678E"/>
    <w:rsid w:val="00ED2043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1068F"/>
    <w:rsid w:val="00F165FB"/>
    <w:rsid w:val="00F20DBE"/>
    <w:rsid w:val="00F22251"/>
    <w:rsid w:val="00F27455"/>
    <w:rsid w:val="00F348F1"/>
    <w:rsid w:val="00F36984"/>
    <w:rsid w:val="00F40054"/>
    <w:rsid w:val="00F421DB"/>
    <w:rsid w:val="00F47F9A"/>
    <w:rsid w:val="00F52A81"/>
    <w:rsid w:val="00F56B4E"/>
    <w:rsid w:val="00F6061C"/>
    <w:rsid w:val="00F60E00"/>
    <w:rsid w:val="00F60EC5"/>
    <w:rsid w:val="00F6202A"/>
    <w:rsid w:val="00F6288B"/>
    <w:rsid w:val="00F67404"/>
    <w:rsid w:val="00F678EA"/>
    <w:rsid w:val="00F70986"/>
    <w:rsid w:val="00F75285"/>
    <w:rsid w:val="00F81414"/>
    <w:rsid w:val="00F8153C"/>
    <w:rsid w:val="00F86A52"/>
    <w:rsid w:val="00F906BC"/>
    <w:rsid w:val="00FA08DC"/>
    <w:rsid w:val="00FA0FB4"/>
    <w:rsid w:val="00FA34F3"/>
    <w:rsid w:val="00FA57A9"/>
    <w:rsid w:val="00FB7CB4"/>
    <w:rsid w:val="00FC3FF2"/>
    <w:rsid w:val="00FC4A32"/>
    <w:rsid w:val="00FD1271"/>
    <w:rsid w:val="00FD1A69"/>
    <w:rsid w:val="00FD5923"/>
    <w:rsid w:val="00FE122E"/>
    <w:rsid w:val="00FE5B2E"/>
    <w:rsid w:val="00FE728C"/>
    <w:rsid w:val="00FF50E2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CD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num">
    <w:name w:val="num"/>
    <w:basedOn w:val="DefaultParagraphFont"/>
    <w:rsid w:val="00C202B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05CDD-9834-4207-B566-FB89C7CA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4261</Words>
  <Characters>24292</Characters>
  <Application>Microsoft Office Word</Application>
  <DocSecurity>0</DocSecurity>
  <Lines>0</Lines>
  <Paragraphs>0</Paragraphs>
  <ScaleCrop>false</ScaleCrop>
  <Company>HP</Company>
  <LinksUpToDate>false</LinksUpToDate>
  <CharactersWithSpaces>28497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2015-04-17T16:31:00Z</cp:lastPrinted>
  <dcterms:created xsi:type="dcterms:W3CDTF">2015-04-17T17:40:00Z</dcterms:created>
  <dcterms:modified xsi:type="dcterms:W3CDTF">2015-04-17T17:40:00Z</dcterms:modified>
</cp:coreProperties>
</file>