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A26030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A26030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26030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A26030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A26030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26030" w:rsidR="00235C4E">
        <w:rPr>
          <w:rFonts w:ascii="Book Antiqua" w:hAnsi="Book Antiqua"/>
          <w:sz w:val="22"/>
          <w:szCs w:val="22"/>
        </w:rPr>
        <w:t>z ... 2015</w:t>
      </w:r>
      <w:r w:rsidRPr="00A26030">
        <w:rPr>
          <w:rFonts w:ascii="Book Antiqua" w:hAnsi="Book Antiqua"/>
          <w:sz w:val="22"/>
          <w:szCs w:val="22"/>
        </w:rPr>
        <w:t>,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A26030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37834" w:rsidR="00B37834">
        <w:rPr>
          <w:rFonts w:ascii="Book Antiqua" w:hAnsi="Book Antiqua"/>
          <w:b/>
          <w:sz w:val="22"/>
          <w:szCs w:val="22"/>
        </w:rPr>
        <w:t>ktorým sa mení a dopĺňa zákon č. 577/2004 Z. z. o rozsahu zdravotnej starostlivosti uhrádzanej na základe verejného zdravotného poistenia a o úhradách za služby súvisiace s poskytovaním zdravotnej starostlivosti v znení neskorší</w:t>
      </w:r>
      <w:r w:rsidR="00B37834">
        <w:rPr>
          <w:rFonts w:ascii="Book Antiqua" w:hAnsi="Book Antiqua"/>
          <w:b/>
          <w:sz w:val="22"/>
          <w:szCs w:val="22"/>
        </w:rPr>
        <w:t>ch predpisov a ktorým sa mení a </w:t>
      </w:r>
      <w:r w:rsidRPr="00B37834" w:rsidR="00B37834">
        <w:rPr>
          <w:rFonts w:ascii="Book Antiqua" w:hAnsi="Book Antiqua"/>
          <w:b/>
          <w:sz w:val="22"/>
          <w:szCs w:val="22"/>
        </w:rPr>
        <w:t>dopĺňa zákon č. 576/2004 Z. z. o zdravotnej starost</w:t>
      </w:r>
      <w:r w:rsidR="00B37834">
        <w:rPr>
          <w:rFonts w:ascii="Book Antiqua" w:hAnsi="Book Antiqua"/>
          <w:b/>
          <w:sz w:val="22"/>
          <w:szCs w:val="22"/>
        </w:rPr>
        <w:t>livosti, službách súvisiacich s </w:t>
      </w:r>
      <w:r w:rsidRPr="00B37834" w:rsidR="00B37834">
        <w:rPr>
          <w:rFonts w:ascii="Book Antiqua" w:hAnsi="Book Antiqua"/>
          <w:b/>
          <w:sz w:val="22"/>
          <w:szCs w:val="22"/>
        </w:rPr>
        <w:t>poskytovaním zdravotnej starostlivosti</w:t>
      </w:r>
      <w:r w:rsidRPr="00FA622D" w:rsidR="00FA622D">
        <w:rPr>
          <w:rFonts w:ascii="Times New Roman" w:hAnsi="Times New Roman"/>
        </w:rPr>
        <w:t xml:space="preserve"> </w:t>
      </w:r>
      <w:r w:rsidRPr="00FA622D" w:rsidR="00FA622D">
        <w:rPr>
          <w:rFonts w:ascii="Book Antiqua" w:hAnsi="Book Antiqua"/>
          <w:b/>
          <w:sz w:val="22"/>
          <w:szCs w:val="22"/>
        </w:rPr>
        <w:t>a o zmene a doplnení niektorých zákonov</w:t>
      </w:r>
      <w:r w:rsidR="00FA622D">
        <w:rPr>
          <w:rFonts w:ascii="Book Antiqua" w:hAnsi="Book Antiqua"/>
          <w:b/>
          <w:sz w:val="22"/>
          <w:szCs w:val="22"/>
        </w:rPr>
        <w:t xml:space="preserve"> v </w:t>
      </w:r>
      <w:r w:rsidRPr="00B37834" w:rsidR="00B37834">
        <w:rPr>
          <w:rFonts w:ascii="Book Antiqua" w:hAnsi="Book Antiqua"/>
          <w:b/>
          <w:sz w:val="22"/>
          <w:szCs w:val="22"/>
        </w:rPr>
        <w:t>znení neskorších predpisov</w:t>
      </w:r>
    </w:p>
    <w:p w:rsidR="00472FA4" w:rsidRPr="00A26030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26030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A26030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A26030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A26030">
        <w:rPr>
          <w:rFonts w:ascii="Book Antiqua" w:hAnsi="Book Antiqua"/>
          <w:b/>
          <w:sz w:val="22"/>
          <w:szCs w:val="22"/>
        </w:rPr>
        <w:t>Čl. I</w:t>
      </w:r>
    </w:p>
    <w:p w:rsidR="00472FA4" w:rsidRPr="00A26030" w:rsidP="00520878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A26030" w:rsidR="00D66668">
        <w:rPr>
          <w:rFonts w:ascii="Book Antiqua" w:hAnsi="Book Antiqua"/>
          <w:sz w:val="22"/>
          <w:szCs w:val="22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 zákona č. 220/2013 Z. z., zákona č. 365/2013 Z. z., zákona č. 185/2014 Z. z. a zákona č. 53/2015 sa mení a dopĺňa takto:</w:t>
      </w:r>
    </w:p>
    <w:p w:rsidR="00D66668" w:rsidRPr="00A26030" w:rsidP="00D6666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40D3" w:rsidRPr="00A26030" w:rsidP="00835754">
      <w:pPr>
        <w:pStyle w:val="ListParagraph"/>
        <w:numPr>
          <w:numId w:val="2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 w:rsidR="00D66668">
        <w:rPr>
          <w:rFonts w:ascii="Book Antiqua" w:hAnsi="Book Antiqua"/>
          <w:sz w:val="22"/>
          <w:szCs w:val="22"/>
        </w:rPr>
        <w:t>V §</w:t>
      </w:r>
      <w:r w:rsidRPr="00A26030">
        <w:rPr>
          <w:rFonts w:ascii="Book Antiqua" w:hAnsi="Book Antiqua"/>
          <w:sz w:val="22"/>
          <w:szCs w:val="22"/>
        </w:rPr>
        <w:t xml:space="preserve"> </w:t>
      </w:r>
      <w:r w:rsidRPr="00A26030" w:rsidR="00D66668">
        <w:rPr>
          <w:rFonts w:ascii="Book Antiqua" w:hAnsi="Book Antiqua"/>
          <w:sz w:val="22"/>
          <w:szCs w:val="22"/>
        </w:rPr>
        <w:t>3</w:t>
      </w:r>
      <w:r w:rsidRPr="00A26030">
        <w:rPr>
          <w:rFonts w:ascii="Book Antiqua" w:hAnsi="Book Antiqua"/>
          <w:sz w:val="22"/>
          <w:szCs w:val="22"/>
        </w:rPr>
        <w:t xml:space="preserve"> ods. 4 písmeno</w:t>
      </w:r>
      <w:r w:rsidRPr="00A26030" w:rsidR="00D66668">
        <w:rPr>
          <w:rFonts w:ascii="Book Antiqua" w:hAnsi="Book Antiqua"/>
          <w:sz w:val="22"/>
          <w:szCs w:val="22"/>
        </w:rPr>
        <w:t xml:space="preserve"> a) znie: </w:t>
      </w:r>
    </w:p>
    <w:p w:rsidR="00835754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 w:rsidR="00D66668">
        <w:rPr>
          <w:rFonts w:ascii="Book Antiqua" w:hAnsi="Book Antiqua"/>
          <w:sz w:val="22"/>
          <w:szCs w:val="22"/>
        </w:rPr>
        <w:t>„</w:t>
      </w:r>
      <w:r w:rsidRPr="00A26030" w:rsidR="001D40D3">
        <w:rPr>
          <w:rFonts w:ascii="Book Antiqua" w:hAnsi="Book Antiqua"/>
          <w:sz w:val="22"/>
          <w:szCs w:val="22"/>
        </w:rPr>
        <w:t xml:space="preserve">a) </w:t>
      </w:r>
      <w:r w:rsidRPr="00A26030" w:rsidR="00D66668">
        <w:rPr>
          <w:rFonts w:ascii="Book Antiqua" w:hAnsi="Book Antiqua"/>
          <w:sz w:val="22"/>
          <w:szCs w:val="22"/>
        </w:rPr>
        <w:t>objednanie poistenca na vyšetrenie</w:t>
      </w:r>
      <w:r w:rsidRPr="00A26030" w:rsidR="002A4C38">
        <w:rPr>
          <w:rFonts w:ascii="Book Antiqua" w:hAnsi="Book Antiqua"/>
          <w:sz w:val="22"/>
          <w:szCs w:val="22"/>
        </w:rPr>
        <w:t xml:space="preserve"> vrátane objednania na konkrétny čas</w:t>
      </w:r>
      <w:r w:rsidRPr="00A26030" w:rsidR="00CB7575">
        <w:rPr>
          <w:rFonts w:ascii="Book Antiqua" w:hAnsi="Book Antiqua"/>
          <w:sz w:val="22"/>
          <w:szCs w:val="22"/>
        </w:rPr>
        <w:t xml:space="preserve"> </w:t>
      </w:r>
      <w:r w:rsidRPr="00A26030" w:rsidR="002A4C38">
        <w:rPr>
          <w:rFonts w:ascii="Book Antiqua" w:hAnsi="Book Antiqua"/>
          <w:sz w:val="22"/>
          <w:szCs w:val="22"/>
        </w:rPr>
        <w:t>okrem objedn</w:t>
      </w:r>
      <w:r w:rsidRPr="00A26030" w:rsidR="00AD1E92">
        <w:rPr>
          <w:rFonts w:ascii="Book Antiqua" w:hAnsi="Book Antiqua"/>
          <w:sz w:val="22"/>
          <w:szCs w:val="22"/>
        </w:rPr>
        <w:t xml:space="preserve">ania na prednostné poskytnutie ambulantnej </w:t>
      </w:r>
      <w:r w:rsidRPr="00A26030" w:rsidR="002A4C38">
        <w:rPr>
          <w:rFonts w:ascii="Book Antiqua" w:hAnsi="Book Antiqua"/>
          <w:sz w:val="22"/>
          <w:szCs w:val="22"/>
        </w:rPr>
        <w:t>starostlivosti podľa § 44 ods. 2</w:t>
      </w:r>
      <w:r w:rsidRPr="00A26030" w:rsidR="00D66668">
        <w:rPr>
          <w:rFonts w:ascii="Book Antiqua" w:hAnsi="Book Antiqua"/>
          <w:sz w:val="22"/>
          <w:szCs w:val="22"/>
        </w:rPr>
        <w:t>,</w:t>
      </w:r>
      <w:r w:rsidRPr="00A26030" w:rsidR="00D66668">
        <w:rPr>
          <w:rFonts w:ascii="Book Antiqua" w:hAnsi="Book Antiqua"/>
          <w:sz w:val="22"/>
          <w:szCs w:val="22"/>
          <w:lang w:eastAsia="cs-CZ"/>
        </w:rPr>
        <w:t>“.</w:t>
      </w:r>
    </w:p>
    <w:p w:rsidR="009C7762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</w:p>
    <w:p w:rsidR="001D40D3" w:rsidRPr="00A26030" w:rsidP="00375B2E">
      <w:pPr>
        <w:pStyle w:val="ListParagraph"/>
        <w:numPr>
          <w:numId w:val="2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 w:rsidR="00D66668">
        <w:rPr>
          <w:rFonts w:ascii="Book Antiqua" w:hAnsi="Book Antiqua"/>
          <w:sz w:val="22"/>
          <w:szCs w:val="22"/>
          <w:lang w:eastAsia="cs-CZ"/>
        </w:rPr>
        <w:t>V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 §</w:t>
      </w:r>
      <w:r w:rsidRPr="00A26030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44 sa za odsek 1 vkladá</w:t>
      </w:r>
      <w:r w:rsidRPr="00A26030" w:rsidR="00D66668">
        <w:rPr>
          <w:rFonts w:ascii="Book Antiqua" w:hAnsi="Book Antiqua"/>
          <w:sz w:val="22"/>
          <w:szCs w:val="22"/>
          <w:lang w:eastAsia="cs-CZ"/>
        </w:rPr>
        <w:t xml:space="preserve"> nov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ý</w:t>
      </w:r>
      <w:r w:rsidRPr="00A26030" w:rsidR="00D66668">
        <w:rPr>
          <w:rFonts w:ascii="Book Antiqua" w:hAnsi="Book Antiqua"/>
          <w:sz w:val="22"/>
          <w:szCs w:val="22"/>
          <w:lang w:eastAsia="cs-CZ"/>
        </w:rPr>
        <w:t xml:space="preserve"> odsek 2, ktor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ý</w:t>
      </w:r>
      <w:r w:rsidRPr="00A26030" w:rsidR="00D66668">
        <w:rPr>
          <w:rFonts w:ascii="Book Antiqua" w:hAnsi="Book Antiqua"/>
          <w:sz w:val="22"/>
          <w:szCs w:val="22"/>
          <w:lang w:eastAsia="cs-CZ"/>
        </w:rPr>
        <w:t xml:space="preserve"> zn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ie</w:t>
      </w:r>
      <w:r w:rsidRPr="00A26030" w:rsidR="00D66668">
        <w:rPr>
          <w:rFonts w:ascii="Book Antiqua" w:hAnsi="Book Antiqua"/>
          <w:sz w:val="22"/>
          <w:szCs w:val="22"/>
          <w:lang w:eastAsia="cs-CZ"/>
        </w:rPr>
        <w:t>:</w:t>
      </w:r>
    </w:p>
    <w:p w:rsidR="00375B2E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 w:rsidR="00D6666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A26030" w:rsidR="00D66668">
        <w:rPr>
          <w:rFonts w:ascii="Book Antiqua" w:hAnsi="Book Antiqua"/>
          <w:sz w:val="22"/>
          <w:szCs w:val="22"/>
        </w:rPr>
        <w:t>„</w:t>
      </w:r>
      <w:r w:rsidRPr="00A26030" w:rsidR="001D40D3">
        <w:rPr>
          <w:rFonts w:ascii="Book Antiqua" w:hAnsi="Book Antiqua"/>
          <w:sz w:val="22"/>
          <w:szCs w:val="22"/>
        </w:rPr>
        <w:t xml:space="preserve">(2) </w:t>
      </w:r>
      <w:r w:rsidRPr="00A26030" w:rsidR="00D66668">
        <w:rPr>
          <w:rFonts w:ascii="Book Antiqua" w:hAnsi="Book Antiqua"/>
          <w:sz w:val="22"/>
          <w:szCs w:val="22"/>
        </w:rPr>
        <w:t xml:space="preserve">Poskytovateľ môže požadovať úhradu za </w:t>
      </w:r>
      <w:r w:rsidR="002E658E">
        <w:rPr>
          <w:rFonts w:ascii="Book Antiqua" w:hAnsi="Book Antiqua"/>
          <w:sz w:val="22"/>
          <w:szCs w:val="22"/>
        </w:rPr>
        <w:t xml:space="preserve">objednanie na </w:t>
      </w:r>
      <w:r w:rsidRPr="00A26030" w:rsidR="00D66668">
        <w:rPr>
          <w:rFonts w:ascii="Book Antiqua" w:hAnsi="Book Antiqua"/>
          <w:sz w:val="22"/>
          <w:szCs w:val="22"/>
        </w:rPr>
        <w:t>prednostné poskytnutie ambulantnej starostlivosti</w:t>
      </w:r>
      <w:r w:rsidR="002E658E">
        <w:rPr>
          <w:rFonts w:ascii="Book Antiqua" w:hAnsi="Book Antiqua"/>
          <w:sz w:val="22"/>
          <w:szCs w:val="22"/>
        </w:rPr>
        <w:t xml:space="preserve"> podľa § 3 ods. 4 písm. a). Poskytovateľ môže prednostne poskytovať ambulantnú starostlivosť podľa predošlej vety</w:t>
      </w:r>
      <w:r w:rsidRPr="00A26030" w:rsidR="00D66668">
        <w:rPr>
          <w:rFonts w:ascii="Book Antiqua" w:hAnsi="Book Antiqua"/>
          <w:sz w:val="22"/>
          <w:szCs w:val="22"/>
        </w:rPr>
        <w:t xml:space="preserve"> len v rámci na to vyhradených ordinačných hodín, ktoré musí schváliť samosprávny kraj a ktoré nesmú presiahnuť jednu </w:t>
      </w:r>
      <w:r w:rsidRPr="00A26030" w:rsidR="00835754">
        <w:rPr>
          <w:rFonts w:ascii="Book Antiqua" w:hAnsi="Book Antiqua"/>
          <w:sz w:val="22"/>
          <w:szCs w:val="22"/>
        </w:rPr>
        <w:t>šestinu</w:t>
      </w:r>
      <w:r w:rsidRPr="00A26030" w:rsidR="00A50C4D">
        <w:rPr>
          <w:rFonts w:ascii="Book Antiqua" w:hAnsi="Book Antiqua"/>
          <w:sz w:val="22"/>
          <w:szCs w:val="22"/>
        </w:rPr>
        <w:t xml:space="preserve"> jeho ordinačných hodín; </w:t>
      </w:r>
      <w:r w:rsidRPr="00A26030" w:rsidR="00D66668">
        <w:rPr>
          <w:rFonts w:ascii="Book Antiqua" w:hAnsi="Book Antiqua"/>
          <w:sz w:val="22"/>
          <w:szCs w:val="22"/>
        </w:rPr>
        <w:t xml:space="preserve"> ordinačn</w:t>
      </w:r>
      <w:r w:rsidRPr="00A26030" w:rsidR="00835754">
        <w:rPr>
          <w:rFonts w:ascii="Book Antiqua" w:hAnsi="Book Antiqua"/>
          <w:sz w:val="22"/>
          <w:szCs w:val="22"/>
        </w:rPr>
        <w:t xml:space="preserve">é </w:t>
      </w:r>
      <w:r w:rsidRPr="00A26030" w:rsidR="00D66668">
        <w:rPr>
          <w:rFonts w:ascii="Book Antiqua" w:hAnsi="Book Antiqua"/>
          <w:sz w:val="22"/>
          <w:szCs w:val="22"/>
        </w:rPr>
        <w:t>hodin</w:t>
      </w:r>
      <w:r w:rsidRPr="00A26030" w:rsidR="00835754">
        <w:rPr>
          <w:rFonts w:ascii="Book Antiqua" w:hAnsi="Book Antiqua"/>
          <w:sz w:val="22"/>
          <w:szCs w:val="22"/>
        </w:rPr>
        <w:t>y</w:t>
      </w:r>
      <w:r w:rsidRPr="00A26030" w:rsidR="00D66668">
        <w:rPr>
          <w:rFonts w:ascii="Book Antiqua" w:hAnsi="Book Antiqua"/>
          <w:sz w:val="22"/>
          <w:szCs w:val="22"/>
        </w:rPr>
        <w:t xml:space="preserve"> vyhraden</w:t>
      </w:r>
      <w:r w:rsidRPr="00A26030" w:rsidR="00835754">
        <w:rPr>
          <w:rFonts w:ascii="Book Antiqua" w:hAnsi="Book Antiqua"/>
          <w:sz w:val="22"/>
          <w:szCs w:val="22"/>
        </w:rPr>
        <w:t>é</w:t>
      </w:r>
      <w:r w:rsidRPr="00A26030" w:rsidR="00D66668">
        <w:rPr>
          <w:rFonts w:ascii="Book Antiqua" w:hAnsi="Book Antiqua"/>
          <w:sz w:val="22"/>
          <w:szCs w:val="22"/>
        </w:rPr>
        <w:t xml:space="preserve"> na prednostné poskytnutie </w:t>
      </w:r>
      <w:r w:rsidR="002E658E">
        <w:rPr>
          <w:rFonts w:ascii="Book Antiqua" w:hAnsi="Book Antiqua"/>
          <w:sz w:val="22"/>
          <w:szCs w:val="22"/>
        </w:rPr>
        <w:t xml:space="preserve">ambulantnej </w:t>
      </w:r>
      <w:r w:rsidRPr="00A26030" w:rsidR="00D66668">
        <w:rPr>
          <w:rFonts w:ascii="Book Antiqua" w:hAnsi="Book Antiqua"/>
          <w:sz w:val="22"/>
          <w:szCs w:val="22"/>
        </w:rPr>
        <w:t xml:space="preserve">zdravotnej starostlivosti </w:t>
      </w:r>
      <w:r w:rsidRPr="00A26030" w:rsidR="00835754">
        <w:rPr>
          <w:rFonts w:ascii="Book Antiqua" w:hAnsi="Book Antiqua"/>
          <w:sz w:val="22"/>
          <w:szCs w:val="22"/>
        </w:rPr>
        <w:t xml:space="preserve">možno vyhradiť vždy len </w:t>
      </w:r>
      <w:r w:rsidR="00E97C8D">
        <w:rPr>
          <w:rFonts w:ascii="Book Antiqua" w:hAnsi="Book Antiqua"/>
          <w:sz w:val="22"/>
          <w:szCs w:val="22"/>
        </w:rPr>
        <w:t xml:space="preserve">po 14.00 hod. a </w:t>
      </w:r>
      <w:r w:rsidRPr="00A26030" w:rsidR="00A50C4D">
        <w:rPr>
          <w:rFonts w:ascii="Book Antiqua" w:hAnsi="Book Antiqua"/>
          <w:sz w:val="22"/>
          <w:szCs w:val="22"/>
        </w:rPr>
        <w:t>na konci</w:t>
      </w:r>
      <w:r w:rsidRPr="00A26030" w:rsidR="00835754">
        <w:rPr>
          <w:rFonts w:ascii="Book Antiqua" w:hAnsi="Book Antiqua"/>
          <w:sz w:val="22"/>
          <w:szCs w:val="22"/>
        </w:rPr>
        <w:t xml:space="preserve"> ordinačných hodín v príslušnom dni</w:t>
      </w:r>
      <w:r w:rsidRPr="00A26030" w:rsidR="00D66668">
        <w:rPr>
          <w:rFonts w:ascii="Book Antiqua" w:hAnsi="Book Antiqua"/>
          <w:sz w:val="22"/>
          <w:szCs w:val="22"/>
        </w:rPr>
        <w:t xml:space="preserve">. Výšku úhrady </w:t>
      </w:r>
      <w:r w:rsidR="002E658E">
        <w:rPr>
          <w:rFonts w:ascii="Book Antiqua" w:hAnsi="Book Antiqua"/>
          <w:sz w:val="22"/>
          <w:szCs w:val="22"/>
        </w:rPr>
        <w:t xml:space="preserve">za objednanie na prednostné poskytnutie ambulantnej zdravotnej starostlivosti </w:t>
      </w:r>
      <w:r w:rsidRPr="00A26030" w:rsidR="00D66668">
        <w:rPr>
          <w:rFonts w:ascii="Book Antiqua" w:hAnsi="Book Antiqua"/>
          <w:sz w:val="22"/>
          <w:szCs w:val="22"/>
        </w:rPr>
        <w:t>schvaľuje samosprávny kraj podľa miesta prevádzkovania zdravotníckeho zariadenia.</w:t>
      </w:r>
      <w:r w:rsidRPr="00A26030" w:rsidR="00835754">
        <w:rPr>
          <w:rFonts w:ascii="Book Antiqua" w:hAnsi="Book Antiqua"/>
          <w:sz w:val="22"/>
          <w:szCs w:val="22"/>
        </w:rPr>
        <w:t xml:space="preserve"> Ustanovenia tohto odseku sa nevzťahujú na zdravotnú starostlivosť poskytovanú podľa osobitného predpisu.</w:t>
      </w:r>
      <w:r w:rsidRPr="00A26030" w:rsidR="00C33579">
        <w:rPr>
          <w:rFonts w:ascii="Book Antiqua" w:hAnsi="Book Antiqua"/>
          <w:sz w:val="22"/>
          <w:szCs w:val="22"/>
          <w:vertAlign w:val="superscript"/>
        </w:rPr>
        <w:t>3</w:t>
      </w:r>
      <w:r w:rsidRPr="00A26030" w:rsidR="0035204D">
        <w:rPr>
          <w:rFonts w:ascii="Book Antiqua" w:hAnsi="Book Antiqua"/>
          <w:sz w:val="22"/>
          <w:szCs w:val="22"/>
          <w:vertAlign w:val="superscript"/>
        </w:rPr>
        <w:t>4a</w:t>
      </w:r>
      <w:r w:rsidRPr="00A26030" w:rsidR="00C33579">
        <w:rPr>
          <w:rFonts w:ascii="Book Antiqua" w:hAnsi="Book Antiqua"/>
          <w:sz w:val="22"/>
          <w:szCs w:val="22"/>
          <w:vertAlign w:val="superscript"/>
        </w:rPr>
        <w:t>)</w:t>
      </w:r>
      <w:r w:rsidRPr="00A26030" w:rsidR="00835754">
        <w:rPr>
          <w:rFonts w:ascii="Book Antiqua" w:hAnsi="Book Antiqua"/>
          <w:sz w:val="22"/>
          <w:szCs w:val="22"/>
          <w:lang w:eastAsia="cs-CZ"/>
        </w:rPr>
        <w:t>“.</w:t>
      </w:r>
    </w:p>
    <w:p w:rsidR="001D40D3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</w:p>
    <w:p w:rsidR="0035204D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>
        <w:rPr>
          <w:rFonts w:ascii="Book Antiqua" w:hAnsi="Book Antiqua"/>
          <w:sz w:val="22"/>
          <w:szCs w:val="22"/>
          <w:lang w:eastAsia="cs-CZ"/>
        </w:rPr>
        <w:t>Doterajšie odseky 2 až 4 sa označujú ako odseky 3 až 5.</w:t>
      </w:r>
    </w:p>
    <w:p w:rsidR="0035204D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</w:p>
    <w:p w:rsidR="00C33579" w:rsidRPr="00A26030" w:rsidP="001D40D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A26030" w:rsidR="001D40D3">
        <w:rPr>
          <w:rFonts w:ascii="Book Antiqua" w:hAnsi="Book Antiqua"/>
          <w:sz w:val="22"/>
          <w:szCs w:val="22"/>
          <w:lang w:eastAsia="cs-CZ"/>
        </w:rPr>
        <w:t>P</w:t>
      </w:r>
      <w:r w:rsidRPr="00A26030">
        <w:rPr>
          <w:rFonts w:ascii="Book Antiqua" w:hAnsi="Book Antiqua"/>
          <w:sz w:val="22"/>
          <w:szCs w:val="22"/>
          <w:lang w:eastAsia="cs-CZ"/>
        </w:rPr>
        <w:t>oznámk</w:t>
      </w:r>
      <w:r w:rsidRPr="00A26030" w:rsidR="001D40D3">
        <w:rPr>
          <w:rFonts w:ascii="Book Antiqua" w:hAnsi="Book Antiqua"/>
          <w:sz w:val="22"/>
          <w:szCs w:val="22"/>
          <w:lang w:eastAsia="cs-CZ"/>
        </w:rPr>
        <w:t>a pod čiarou</w:t>
      </w:r>
      <w:r w:rsidRPr="00A26030" w:rsidR="00BF7AF9">
        <w:rPr>
          <w:rFonts w:ascii="Book Antiqua" w:hAnsi="Book Antiqua"/>
          <w:sz w:val="22"/>
          <w:szCs w:val="22"/>
          <w:lang w:eastAsia="cs-CZ"/>
        </w:rPr>
        <w:t xml:space="preserve"> k </w:t>
      </w:r>
      <w:r w:rsidRPr="00A26030">
        <w:rPr>
          <w:rFonts w:ascii="Book Antiqua" w:hAnsi="Book Antiqua"/>
          <w:sz w:val="22"/>
          <w:szCs w:val="22"/>
          <w:lang w:eastAsia="cs-CZ"/>
        </w:rPr>
        <w:t>odkaz</w:t>
      </w:r>
      <w:r w:rsidRPr="00A26030" w:rsidR="00BF7AF9">
        <w:rPr>
          <w:rFonts w:ascii="Book Antiqua" w:hAnsi="Book Antiqua"/>
          <w:sz w:val="22"/>
          <w:szCs w:val="22"/>
          <w:lang w:eastAsia="cs-CZ"/>
        </w:rPr>
        <w:t xml:space="preserve">u </w:t>
      </w:r>
      <w:r w:rsidRPr="00A26030" w:rsidR="00A50C4D">
        <w:rPr>
          <w:rFonts w:ascii="Book Antiqua" w:hAnsi="Book Antiqua"/>
          <w:sz w:val="22"/>
          <w:szCs w:val="22"/>
          <w:lang w:eastAsia="cs-CZ"/>
        </w:rPr>
        <w:t>34a</w:t>
      </w:r>
      <w:r w:rsidRPr="00A26030" w:rsidR="00BF7AF9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A26030">
        <w:rPr>
          <w:rFonts w:ascii="Book Antiqua" w:hAnsi="Book Antiqua"/>
          <w:sz w:val="22"/>
          <w:szCs w:val="22"/>
          <w:lang w:eastAsia="cs-CZ"/>
        </w:rPr>
        <w:t>zn</w:t>
      </w:r>
      <w:r w:rsidRPr="00A26030" w:rsidR="00BF7AF9">
        <w:rPr>
          <w:rFonts w:ascii="Book Antiqua" w:hAnsi="Book Antiqua"/>
          <w:sz w:val="22"/>
          <w:szCs w:val="22"/>
          <w:lang w:eastAsia="cs-CZ"/>
        </w:rPr>
        <w:t>ie</w:t>
      </w:r>
      <w:r w:rsidRPr="00A26030" w:rsidR="00375B2E">
        <w:rPr>
          <w:rFonts w:ascii="Book Antiqua" w:hAnsi="Book Antiqua"/>
          <w:sz w:val="22"/>
          <w:szCs w:val="22"/>
          <w:lang w:eastAsia="cs-CZ"/>
        </w:rPr>
        <w:t>:</w:t>
      </w:r>
    </w:p>
    <w:p w:rsidR="00375B2E" w:rsidRPr="00A26030" w:rsidP="00A2603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eastAsia="cs-CZ"/>
        </w:rPr>
      </w:pPr>
      <w:r w:rsidRPr="00A26030">
        <w:rPr>
          <w:rFonts w:ascii="Book Antiqua" w:hAnsi="Book Antiqua"/>
          <w:sz w:val="22"/>
          <w:szCs w:val="22"/>
        </w:rPr>
        <w:t>„</w:t>
      </w:r>
      <w:r w:rsidRPr="00A26030" w:rsidR="00A50C4D">
        <w:rPr>
          <w:rFonts w:ascii="Book Antiqua" w:hAnsi="Book Antiqua"/>
          <w:sz w:val="22"/>
          <w:szCs w:val="22"/>
          <w:vertAlign w:val="superscript"/>
        </w:rPr>
        <w:t>34a</w:t>
      </w:r>
      <w:r w:rsidRPr="00A26030">
        <w:rPr>
          <w:rFonts w:ascii="Book Antiqua" w:hAnsi="Book Antiqua"/>
          <w:sz w:val="22"/>
          <w:szCs w:val="22"/>
          <w:vertAlign w:val="superscript"/>
        </w:rPr>
        <w:t>)</w:t>
      </w:r>
      <w:r w:rsidRPr="00A26030">
        <w:rPr>
          <w:rFonts w:ascii="Book Antiqua" w:hAnsi="Book Antiqua"/>
          <w:sz w:val="22"/>
          <w:szCs w:val="22"/>
        </w:rPr>
        <w:t xml:space="preserve"> §</w:t>
      </w:r>
      <w:r w:rsidRPr="00A26030" w:rsidR="001D40D3">
        <w:rPr>
          <w:rFonts w:ascii="Book Antiqua" w:hAnsi="Book Antiqua"/>
          <w:sz w:val="22"/>
          <w:szCs w:val="22"/>
        </w:rPr>
        <w:t xml:space="preserve"> </w:t>
      </w:r>
      <w:r w:rsidRPr="00A26030">
        <w:rPr>
          <w:rFonts w:ascii="Book Antiqua" w:hAnsi="Book Antiqua"/>
          <w:sz w:val="22"/>
          <w:szCs w:val="22"/>
        </w:rPr>
        <w:t>6 ods. 2 zákona č. 581/2004 Z.</w:t>
      </w:r>
      <w:r w:rsidRPr="00A26030" w:rsidR="001D40D3">
        <w:rPr>
          <w:rFonts w:ascii="Book Antiqua" w:hAnsi="Book Antiqua"/>
          <w:sz w:val="22"/>
          <w:szCs w:val="22"/>
        </w:rPr>
        <w:t xml:space="preserve"> </w:t>
      </w:r>
      <w:r w:rsidRPr="00A26030">
        <w:rPr>
          <w:rFonts w:ascii="Book Antiqua" w:hAnsi="Book Antiqua"/>
          <w:sz w:val="22"/>
          <w:szCs w:val="22"/>
        </w:rPr>
        <w:t>z.</w:t>
      </w:r>
      <w:r w:rsidRPr="00A26030">
        <w:rPr>
          <w:rFonts w:ascii="Book Antiqua" w:hAnsi="Book Antiqua"/>
          <w:sz w:val="22"/>
          <w:szCs w:val="22"/>
          <w:lang w:eastAsia="cs-CZ"/>
        </w:rPr>
        <w:t>“.</w:t>
      </w:r>
      <w:r w:rsidRPr="00A26030">
        <w:rPr>
          <w:rFonts w:ascii="Book Antiqua" w:hAnsi="Book Antiqua"/>
          <w:strike/>
          <w:sz w:val="22"/>
          <w:szCs w:val="22"/>
          <w:lang w:eastAsia="cs-CZ"/>
        </w:rPr>
        <w:t xml:space="preserve"> </w:t>
      </w:r>
    </w:p>
    <w:p w:rsidR="00375B2E" w:rsidRPr="00A26030" w:rsidP="004E5B9C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</w:p>
    <w:p w:rsidR="00472FA4" w:rsidRPr="00A26030" w:rsidP="004E5B9C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A26030">
        <w:rPr>
          <w:rFonts w:ascii="Book Antiqua" w:hAnsi="Book Antiqua"/>
          <w:b/>
          <w:sz w:val="22"/>
          <w:szCs w:val="22"/>
        </w:rPr>
        <w:t>Čl. II</w:t>
      </w:r>
    </w:p>
    <w:p w:rsidR="004E5B9C" w:rsidRPr="00A26030" w:rsidP="00520878">
      <w:pPr>
        <w:bidi w:val="0"/>
        <w:adjustRightInd w:val="0"/>
        <w:spacing w:before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26030">
        <w:rPr>
          <w:rFonts w:ascii="Book Antiqua" w:hAnsi="Book Antiqua"/>
          <w:sz w:val="22"/>
          <w:szCs w:val="22"/>
        </w:rPr>
        <w:t>Zákon č. 576/2004 Z. z. o zdravotnej starost</w:t>
      </w:r>
      <w:r w:rsidR="006969B2">
        <w:rPr>
          <w:rFonts w:ascii="Book Antiqua" w:hAnsi="Book Antiqua"/>
          <w:sz w:val="22"/>
          <w:szCs w:val="22"/>
        </w:rPr>
        <w:t>livosti, službách súvisiacich s </w:t>
      </w:r>
      <w:r w:rsidRPr="00A26030">
        <w:rPr>
          <w:rFonts w:ascii="Book Antiqua" w:hAnsi="Book Antiqua"/>
          <w:sz w:val="22"/>
          <w:szCs w:val="22"/>
        </w:rPr>
        <w:t>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 Z. z.,   zákona   č. 133/2010 Z. z.,  zákona  č. 34/2011  Z. z.,  zákona  č. 172/2011 Z. z., zákona č. 313/2012 Z. z., zákona č. 345/2012 Z. z., zákona č. 41/2013 Z. z., zákona č. 153/2013 Z. z., zákona č. 160/2013 Z. z., zákona č. 220/2013 Z. z., zákona č. 365/2013 Z. z., zákona č. 185/2014 Z. z., zákona č. 204/2014 Z. z. a zákona č. 53/2015 sa mení a dopĺňa takto:</w:t>
      </w:r>
    </w:p>
    <w:p w:rsidR="004E5B9C" w:rsidRPr="00A26030" w:rsidP="004E5B9C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6961A8" w:rsidRPr="006969B2" w:rsidP="00520878">
      <w:pPr>
        <w:pStyle w:val="BodyText"/>
        <w:numPr>
          <w:numId w:val="30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A26030" w:rsidR="004E5B9C">
        <w:rPr>
          <w:rFonts w:ascii="Book Antiqua" w:hAnsi="Book Antiqua"/>
          <w:bCs/>
          <w:sz w:val="22"/>
          <w:szCs w:val="22"/>
          <w:lang w:eastAsia="cs-CZ"/>
        </w:rPr>
        <w:t xml:space="preserve">V </w:t>
      </w:r>
      <w:r w:rsidRPr="00A26030">
        <w:rPr>
          <w:rFonts w:ascii="Book Antiqua" w:hAnsi="Book Antiqua"/>
          <w:bCs/>
          <w:sz w:val="22"/>
          <w:szCs w:val="22"/>
          <w:lang w:eastAsia="cs-CZ"/>
        </w:rPr>
        <w:t>§ 46 ods. 1 písmeno</w:t>
      </w:r>
      <w:r w:rsidRPr="00A26030" w:rsidR="004E5B9C">
        <w:rPr>
          <w:rFonts w:ascii="Book Antiqua" w:hAnsi="Book Antiqua"/>
          <w:bCs/>
          <w:sz w:val="22"/>
          <w:szCs w:val="22"/>
          <w:lang w:eastAsia="cs-CZ"/>
        </w:rPr>
        <w:t xml:space="preserve"> m) </w:t>
      </w:r>
      <w:r w:rsidR="00520878">
        <w:rPr>
          <w:rFonts w:ascii="Book Antiqua" w:hAnsi="Book Antiqua"/>
          <w:bCs/>
          <w:sz w:val="22"/>
          <w:szCs w:val="22"/>
          <w:lang w:eastAsia="cs-CZ"/>
        </w:rPr>
        <w:t>sa za slov</w:t>
      </w:r>
      <w:r w:rsidR="00C13125">
        <w:rPr>
          <w:rFonts w:ascii="Book Antiqua" w:hAnsi="Book Antiqua"/>
          <w:bCs/>
          <w:sz w:val="22"/>
          <w:szCs w:val="22"/>
          <w:lang w:eastAsia="cs-CZ"/>
        </w:rPr>
        <w:t>o</w:t>
      </w:r>
      <w:r w:rsidR="00520878">
        <w:rPr>
          <w:rFonts w:ascii="Book Antiqua" w:hAnsi="Book Antiqua"/>
          <w:bCs/>
          <w:sz w:val="22"/>
          <w:szCs w:val="22"/>
          <w:lang w:eastAsia="cs-CZ"/>
        </w:rPr>
        <w:t xml:space="preserve"> „starostlivosť“ dopĺňajú slová „a schvaľuje výšku úhrady za objednanie na poskytnutie prednostnej ambulantnej zdravotnej starostlivosti“.</w:t>
      </w:r>
    </w:p>
    <w:p w:rsidR="006969B2" w:rsidRPr="00520878" w:rsidP="006969B2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520878" w:rsidRPr="00A1251E" w:rsidP="00520878">
      <w:pPr>
        <w:pStyle w:val="BodyText"/>
        <w:numPr>
          <w:numId w:val="30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="00A1251E">
        <w:rPr>
          <w:rFonts w:ascii="Book Antiqua" w:hAnsi="Book Antiqua"/>
          <w:bCs/>
          <w:sz w:val="22"/>
          <w:szCs w:val="22"/>
          <w:lang w:eastAsia="cs-CZ"/>
        </w:rPr>
        <w:t>Za § 49e sa vkladá § 49f, ktorý vrátane nadpisu znie:</w:t>
      </w:r>
    </w:p>
    <w:p w:rsidR="00A1251E" w:rsidP="00A1251E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  <w:lang w:eastAsia="cs-CZ"/>
        </w:rPr>
      </w:pPr>
      <w:r>
        <w:rPr>
          <w:rFonts w:ascii="Book Antiqua" w:hAnsi="Book Antiqua"/>
          <w:bCs/>
          <w:sz w:val="22"/>
          <w:szCs w:val="22"/>
          <w:lang w:eastAsia="cs-CZ"/>
        </w:rPr>
        <w:t>„§ 49f</w:t>
      </w:r>
    </w:p>
    <w:p w:rsidR="00A1251E" w:rsidP="00A1251E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  <w:lang w:eastAsia="cs-CZ"/>
        </w:rPr>
      </w:pPr>
      <w:r>
        <w:rPr>
          <w:rFonts w:ascii="Book Antiqua" w:hAnsi="Book Antiqua"/>
          <w:bCs/>
          <w:sz w:val="22"/>
          <w:szCs w:val="22"/>
          <w:lang w:eastAsia="cs-CZ"/>
        </w:rPr>
        <w:t>Prechodné ustanovenie k úpravám účinným od 1. januára 2016</w:t>
      </w:r>
    </w:p>
    <w:p w:rsidR="00A1251E" w:rsidRPr="00A26030" w:rsidP="00B6199C">
      <w:pPr>
        <w:pStyle w:val="BodyText"/>
        <w:numPr>
          <w:numId w:val="3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="00D3128F">
        <w:rPr>
          <w:rFonts w:ascii="Book Antiqua" w:hAnsi="Book Antiqua"/>
          <w:bCs/>
          <w:sz w:val="22"/>
          <w:szCs w:val="22"/>
          <w:lang w:eastAsia="cs-CZ"/>
        </w:rPr>
        <w:t>Poskytovateľ je povinný najneskôr do 31. decembra 2015 preukázateľne zaslať samosprávnemu kraju príslušnému podľa miesta prevádzkovania zdravotníckeho zariadenia cenník objednávania na poskytnutie prednostnej ambulantnej zdravotnej starostlivosti.</w:t>
      </w:r>
    </w:p>
    <w:p w:rsidR="004E5B9C" w:rsidRPr="00A26030" w:rsidP="00B6199C">
      <w:pPr>
        <w:pStyle w:val="BodyText"/>
        <w:numPr>
          <w:numId w:val="3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="00B6199C">
        <w:rPr>
          <w:rFonts w:ascii="Book Antiqua" w:hAnsi="Book Antiqua"/>
          <w:bCs/>
          <w:sz w:val="22"/>
          <w:szCs w:val="22"/>
          <w:lang w:eastAsia="cs-CZ"/>
        </w:rPr>
        <w:t>Konania o uložení pokuty, ktoré príslušný orgán začal do 31. decembra 2015, sa dokončia podľa doterajších predpisov.“.</w:t>
      </w:r>
    </w:p>
    <w:p w:rsidR="00B37834" w:rsidP="00FA622D">
      <w:pPr>
        <w:bidi w:val="0"/>
        <w:adjustRightInd w:val="0"/>
        <w:rPr>
          <w:rFonts w:ascii="Book Antiqua" w:hAnsi="Book Antiqua"/>
          <w:sz w:val="22"/>
          <w:szCs w:val="22"/>
        </w:rPr>
      </w:pPr>
    </w:p>
    <w:p w:rsidR="00FA622D" w:rsidP="00FA622D">
      <w:pPr>
        <w:bidi w:val="0"/>
        <w:adjustRightInd w:val="0"/>
        <w:rPr>
          <w:rFonts w:ascii="Book Antiqua" w:hAnsi="Book Antiqua"/>
          <w:b/>
          <w:sz w:val="22"/>
          <w:szCs w:val="22"/>
        </w:rPr>
      </w:pPr>
    </w:p>
    <w:p w:rsidR="006969B2" w:rsidP="00B741CC">
      <w:pPr>
        <w:bidi w:val="0"/>
        <w:adjustRightInd w:val="0"/>
        <w:jc w:val="center"/>
        <w:rPr>
          <w:rFonts w:ascii="Book Antiqua" w:hAnsi="Book Antiqua"/>
          <w:b/>
          <w:sz w:val="22"/>
          <w:szCs w:val="22"/>
        </w:rPr>
      </w:pPr>
    </w:p>
    <w:p w:rsidR="00B741CC" w:rsidRPr="00A26030" w:rsidP="00B741CC">
      <w:pPr>
        <w:bidi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 w:rsidRPr="00A26030">
        <w:rPr>
          <w:rFonts w:ascii="Book Antiqua" w:hAnsi="Book Antiqua"/>
          <w:b/>
          <w:sz w:val="22"/>
          <w:szCs w:val="22"/>
        </w:rPr>
        <w:t>Čl. III</w:t>
      </w:r>
    </w:p>
    <w:p w:rsidR="00B741CC" w:rsidRPr="00A26030" w:rsidP="00B741CC">
      <w:pPr>
        <w:bidi w:val="0"/>
        <w:adjustRightInd w:val="0"/>
        <w:jc w:val="center"/>
        <w:rPr>
          <w:rFonts w:ascii="Book Antiqua" w:hAnsi="Book Antiqua"/>
          <w:b/>
          <w:sz w:val="22"/>
          <w:szCs w:val="22"/>
        </w:rPr>
      </w:pPr>
    </w:p>
    <w:p w:rsidR="0035204D" w:rsidRPr="007546ED" w:rsidP="007546ED">
      <w:pPr>
        <w:bidi w:val="0"/>
        <w:spacing w:after="240"/>
        <w:ind w:left="708"/>
        <w:jc w:val="both"/>
        <w:rPr>
          <w:rFonts w:ascii="Book Antiqua" w:hAnsi="Book Antiqua"/>
          <w:sz w:val="22"/>
          <w:szCs w:val="22"/>
        </w:rPr>
      </w:pPr>
      <w:r w:rsidR="00B6199C">
        <w:rPr>
          <w:rFonts w:ascii="Book Antiqua" w:hAnsi="Book Antiqua"/>
          <w:bCs/>
          <w:sz w:val="22"/>
          <w:szCs w:val="22"/>
          <w:lang w:eastAsia="cs-CZ"/>
        </w:rPr>
        <w:t>Tento zákon nadobúda účinnosť 1. januára 2016, s výnimkou čl. II. bod 2, ktorý nadobúda účinnosť 1. decembra 2015.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3B2BCD"/>
    <w:multiLevelType w:val="hybridMultilevel"/>
    <w:tmpl w:val="73865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7275961"/>
    <w:multiLevelType w:val="hybridMultilevel"/>
    <w:tmpl w:val="B7887DAA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trike/>
        <w:rtl w:val="0"/>
        <w:cs w:val="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cs="Times New Roman"/>
        <w:rtl w:val="0"/>
        <w:cs w:val="0"/>
      </w:rPr>
    </w:lvl>
  </w:abstractNum>
  <w:abstractNum w:abstractNumId="6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C880616"/>
    <w:multiLevelType w:val="hybridMultilevel"/>
    <w:tmpl w:val="28140D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3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6">
    <w:nsid w:val="42C830B6"/>
    <w:multiLevelType w:val="hybridMultilevel"/>
    <w:tmpl w:val="A2307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A241D6A"/>
    <w:multiLevelType w:val="hybridMultilevel"/>
    <w:tmpl w:val="99F4A16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C0904B2"/>
    <w:multiLevelType w:val="hybridMultilevel"/>
    <w:tmpl w:val="19A08F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3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5">
    <w:nsid w:val="6DBC2684"/>
    <w:multiLevelType w:val="hybridMultilevel"/>
    <w:tmpl w:val="AA12EC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50D3A9E"/>
    <w:multiLevelType w:val="hybridMultilevel"/>
    <w:tmpl w:val="05805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8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C2C7FCC"/>
    <w:multiLevelType w:val="hybridMultilevel"/>
    <w:tmpl w:val="8374A08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0">
    <w:nsid w:val="7CB908C8"/>
    <w:multiLevelType w:val="hybridMultilevel"/>
    <w:tmpl w:val="532E7A2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23"/>
  </w:num>
  <w:num w:numId="7">
    <w:abstractNumId w:val="28"/>
  </w:num>
  <w:num w:numId="8">
    <w:abstractNumId w:val="9"/>
  </w:num>
  <w:num w:numId="9">
    <w:abstractNumId w:val="3"/>
  </w:num>
  <w:num w:numId="10">
    <w:abstractNumId w:val="19"/>
  </w:num>
  <w:num w:numId="11">
    <w:abstractNumId w:val="21"/>
  </w:num>
  <w:num w:numId="12">
    <w:abstractNumId w:val="0"/>
  </w:num>
  <w:num w:numId="13">
    <w:abstractNumId w:val="13"/>
  </w:num>
  <w:num w:numId="14">
    <w:abstractNumId w:val="14"/>
  </w:num>
  <w:num w:numId="15">
    <w:abstractNumId w:val="2"/>
  </w:num>
  <w:num w:numId="16">
    <w:abstractNumId w:val="22"/>
  </w:num>
  <w:num w:numId="17">
    <w:abstractNumId w:val="17"/>
  </w:num>
  <w:num w:numId="18">
    <w:abstractNumId w:val="6"/>
  </w:num>
  <w:num w:numId="19">
    <w:abstractNumId w:val="12"/>
  </w:num>
  <w:num w:numId="20">
    <w:abstractNumId w:val="24"/>
  </w:num>
  <w:num w:numId="21">
    <w:abstractNumId w:val="27"/>
  </w:num>
  <w:num w:numId="22">
    <w:abstractNumId w:val="16"/>
  </w:num>
  <w:num w:numId="23">
    <w:abstractNumId w:val="26"/>
  </w:num>
  <w:num w:numId="24">
    <w:abstractNumId w:val="18"/>
  </w:num>
  <w:num w:numId="25">
    <w:abstractNumId w:val="5"/>
  </w:num>
  <w:num w:numId="26">
    <w:abstractNumId w:val="1"/>
  </w:num>
  <w:num w:numId="27">
    <w:abstractNumId w:val="20"/>
  </w:num>
  <w:num w:numId="28">
    <w:abstractNumId w:val="29"/>
  </w:num>
  <w:num w:numId="29">
    <w:abstractNumId w:val="30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02770"/>
    <w:rsid w:val="00024F2E"/>
    <w:rsid w:val="00050426"/>
    <w:rsid w:val="00075F26"/>
    <w:rsid w:val="000A5EB9"/>
    <w:rsid w:val="000B0DEB"/>
    <w:rsid w:val="000B4724"/>
    <w:rsid w:val="000C262D"/>
    <w:rsid w:val="000C7A74"/>
    <w:rsid w:val="001641F3"/>
    <w:rsid w:val="00170850"/>
    <w:rsid w:val="00183A3B"/>
    <w:rsid w:val="001D40D3"/>
    <w:rsid w:val="001E7E62"/>
    <w:rsid w:val="001F40EF"/>
    <w:rsid w:val="00235C4E"/>
    <w:rsid w:val="00241FB8"/>
    <w:rsid w:val="002A152D"/>
    <w:rsid w:val="002A45C4"/>
    <w:rsid w:val="002A4C38"/>
    <w:rsid w:val="002D6DC2"/>
    <w:rsid w:val="002E658E"/>
    <w:rsid w:val="00301240"/>
    <w:rsid w:val="00304EAF"/>
    <w:rsid w:val="00320329"/>
    <w:rsid w:val="00331E76"/>
    <w:rsid w:val="0035204D"/>
    <w:rsid w:val="00361BE8"/>
    <w:rsid w:val="00375B2E"/>
    <w:rsid w:val="003C30F7"/>
    <w:rsid w:val="004119FF"/>
    <w:rsid w:val="004479CA"/>
    <w:rsid w:val="004639C9"/>
    <w:rsid w:val="00472FA4"/>
    <w:rsid w:val="00475B08"/>
    <w:rsid w:val="004E5B9C"/>
    <w:rsid w:val="004F4D60"/>
    <w:rsid w:val="00506233"/>
    <w:rsid w:val="00506551"/>
    <w:rsid w:val="00520878"/>
    <w:rsid w:val="00533CE3"/>
    <w:rsid w:val="0058200E"/>
    <w:rsid w:val="005978BA"/>
    <w:rsid w:val="00597958"/>
    <w:rsid w:val="005A7C03"/>
    <w:rsid w:val="005C663D"/>
    <w:rsid w:val="005E26C7"/>
    <w:rsid w:val="00600F42"/>
    <w:rsid w:val="00603895"/>
    <w:rsid w:val="00613B40"/>
    <w:rsid w:val="006175C9"/>
    <w:rsid w:val="00633819"/>
    <w:rsid w:val="00653312"/>
    <w:rsid w:val="006961A8"/>
    <w:rsid w:val="006969B2"/>
    <w:rsid w:val="006D5F37"/>
    <w:rsid w:val="006E44E8"/>
    <w:rsid w:val="00701EEC"/>
    <w:rsid w:val="007313DA"/>
    <w:rsid w:val="007430B4"/>
    <w:rsid w:val="007546ED"/>
    <w:rsid w:val="00762275"/>
    <w:rsid w:val="00765A85"/>
    <w:rsid w:val="007A30A8"/>
    <w:rsid w:val="007B477E"/>
    <w:rsid w:val="007C77AA"/>
    <w:rsid w:val="007F057C"/>
    <w:rsid w:val="007F4A7B"/>
    <w:rsid w:val="00804B10"/>
    <w:rsid w:val="00807F8F"/>
    <w:rsid w:val="0082494A"/>
    <w:rsid w:val="008317D8"/>
    <w:rsid w:val="00835754"/>
    <w:rsid w:val="008913E2"/>
    <w:rsid w:val="008B70A1"/>
    <w:rsid w:val="008C2FAC"/>
    <w:rsid w:val="008C375A"/>
    <w:rsid w:val="008E76A9"/>
    <w:rsid w:val="00962253"/>
    <w:rsid w:val="009966F6"/>
    <w:rsid w:val="009A1585"/>
    <w:rsid w:val="009C084F"/>
    <w:rsid w:val="009C7762"/>
    <w:rsid w:val="009F0FE6"/>
    <w:rsid w:val="00A1251E"/>
    <w:rsid w:val="00A26030"/>
    <w:rsid w:val="00A31406"/>
    <w:rsid w:val="00A35317"/>
    <w:rsid w:val="00A40619"/>
    <w:rsid w:val="00A448C0"/>
    <w:rsid w:val="00A50C4D"/>
    <w:rsid w:val="00AB7FB9"/>
    <w:rsid w:val="00AC6386"/>
    <w:rsid w:val="00AD1E92"/>
    <w:rsid w:val="00B242C1"/>
    <w:rsid w:val="00B35E5C"/>
    <w:rsid w:val="00B37834"/>
    <w:rsid w:val="00B6199C"/>
    <w:rsid w:val="00B741CC"/>
    <w:rsid w:val="00B76B9B"/>
    <w:rsid w:val="00BA2536"/>
    <w:rsid w:val="00BA3753"/>
    <w:rsid w:val="00BA6928"/>
    <w:rsid w:val="00BB3FDC"/>
    <w:rsid w:val="00BB5F9F"/>
    <w:rsid w:val="00BE503F"/>
    <w:rsid w:val="00BF2BA2"/>
    <w:rsid w:val="00BF2C90"/>
    <w:rsid w:val="00BF35A4"/>
    <w:rsid w:val="00BF7AF9"/>
    <w:rsid w:val="00C13125"/>
    <w:rsid w:val="00C17E7C"/>
    <w:rsid w:val="00C21E63"/>
    <w:rsid w:val="00C33579"/>
    <w:rsid w:val="00C5695C"/>
    <w:rsid w:val="00C9752B"/>
    <w:rsid w:val="00CB7575"/>
    <w:rsid w:val="00CC5C0A"/>
    <w:rsid w:val="00CD4B5C"/>
    <w:rsid w:val="00D271B3"/>
    <w:rsid w:val="00D3128F"/>
    <w:rsid w:val="00D66668"/>
    <w:rsid w:val="00D712D3"/>
    <w:rsid w:val="00DB0ADD"/>
    <w:rsid w:val="00DB1CC4"/>
    <w:rsid w:val="00E5683E"/>
    <w:rsid w:val="00E97C8D"/>
    <w:rsid w:val="00EB79C6"/>
    <w:rsid w:val="00EC5EE2"/>
    <w:rsid w:val="00ED04CA"/>
    <w:rsid w:val="00F11CB5"/>
    <w:rsid w:val="00F55CA4"/>
    <w:rsid w:val="00F63A5F"/>
    <w:rsid w:val="00F74EB1"/>
    <w:rsid w:val="00F869E6"/>
    <w:rsid w:val="00FA622D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locked/>
    <w:rsid w:val="007313DA"/>
    <w:rPr>
      <w:b/>
      <w:i/>
      <w:sz w:val="26"/>
    </w:rPr>
  </w:style>
  <w:style w:type="character" w:customStyle="1" w:styleId="Heading6Char">
    <w:name w:val="Heading 6 Char"/>
    <w:link w:val="Heading6"/>
    <w:uiPriority w:val="9"/>
    <w:locked/>
    <w:rsid w:val="007313DA"/>
    <w:rPr>
      <w:b/>
    </w:rPr>
  </w:style>
  <w:style w:type="character" w:customStyle="1" w:styleId="Heading7Char">
    <w:name w:val="Heading 7 Char"/>
    <w:link w:val="Heading7"/>
    <w:uiPriority w:val="9"/>
    <w:locked/>
    <w:rsid w:val="007313DA"/>
    <w:rPr>
      <w:sz w:val="24"/>
    </w:rPr>
  </w:style>
  <w:style w:type="character" w:customStyle="1" w:styleId="Heading8Char">
    <w:name w:val="Heading 8 Char"/>
    <w:link w:val="Heading8"/>
    <w:uiPriority w:val="9"/>
    <w:locked/>
    <w:rsid w:val="007313DA"/>
    <w:rPr>
      <w:i/>
      <w:sz w:val="24"/>
    </w:rPr>
  </w:style>
  <w:style w:type="character" w:customStyle="1" w:styleId="Heading9Char">
    <w:name w:val="Heading 9 Char"/>
    <w:link w:val="Heading9"/>
    <w:uiPriority w:val="9"/>
    <w:locked/>
    <w:rsid w:val="007313DA"/>
  </w:style>
  <w:style w:type="paragraph" w:customStyle="1" w:styleId="Nadpis1orobas">
    <w:name w:val="Nadpis 1.Čo robí (časť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313DA"/>
    <w:pPr>
      <w:jc w:val="both"/>
    </w:pPr>
  </w:style>
  <w:style w:type="character" w:customStyle="1" w:styleId="BodyTextChar">
    <w:name w:val="Body Text Char"/>
    <w:link w:val="BodyText"/>
    <w:uiPriority w:val="99"/>
    <w:locked/>
    <w:rsid w:val="007313DA"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semiHidden/>
    <w:rsid w:val="007313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313DA"/>
    <w:pPr>
      <w:jc w:val="left"/>
    </w:pPr>
  </w:style>
  <w:style w:type="character" w:customStyle="1" w:styleId="CommentTextChar">
    <w:name w:val="Comment Text Char"/>
    <w:link w:val="CommentText"/>
    <w:uiPriority w:val="99"/>
    <w:locked/>
    <w:rsid w:val="007313DA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313DA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13DA"/>
    <w:rPr>
      <w:rFonts w:ascii="Times New Roman" w:hAnsi="Times New Roman" w:cs="Times New Roman"/>
      <w:b/>
      <w:sz w:val="20"/>
    </w:rPr>
  </w:style>
  <w:style w:type="character" w:styleId="HTMLVariable">
    <w:name w:val="HTML Variable"/>
    <w:uiPriority w:val="99"/>
    <w:semiHidden/>
    <w:unhideWhenUsed/>
    <w:rsid w:val="007313DA"/>
    <w:rPr>
      <w:i/>
    </w:rPr>
  </w:style>
  <w:style w:type="character" w:customStyle="1" w:styleId="apple-converted-space">
    <w:name w:val="apple-converted-space"/>
    <w:rsid w:val="007313DA"/>
  </w:style>
  <w:style w:type="character" w:styleId="Hyperlink">
    <w:name w:val="Hyperlink"/>
    <w:uiPriority w:val="99"/>
    <w:unhideWhenUsed/>
    <w:rsid w:val="00BB3F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66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07932-8540-4E6D-BCA9-8A70AB4D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607</Words>
  <Characters>3465</Characters>
  <Application>Microsoft Office Word</Application>
  <DocSecurity>0</DocSecurity>
  <Lines>0</Lines>
  <Paragraphs>0</Paragraphs>
  <ScaleCrop>false</ScaleCrop>
  <Company>Nebo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Kadúc, Miroslav</dc:creator>
  <cp:lastModifiedBy>Gašparíková, Jarmila</cp:lastModifiedBy>
  <cp:revision>2</cp:revision>
  <dcterms:created xsi:type="dcterms:W3CDTF">2015-04-17T14:25:00Z</dcterms:created>
  <dcterms:modified xsi:type="dcterms:W3CDTF">2015-04-17T14:25:00Z</dcterms:modified>
</cp:coreProperties>
</file>