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1E79" w:rsidRPr="00DE1A70" w:rsidP="00A91E79">
      <w:pPr>
        <w:pStyle w:val="titulok"/>
        <w:tabs>
          <w:tab w:val="left" w:pos="0"/>
        </w:tabs>
        <w:overflowPunct w:val="0"/>
        <w:autoSpaceDE w:val="0"/>
        <w:autoSpaceDN w:val="0"/>
        <w:bidi w:val="0"/>
        <w:adjustRightInd w:val="0"/>
        <w:spacing w:before="0" w:beforeAutospacing="0" w:after="0" w:afterAutospacing="0"/>
        <w:ind w:right="278"/>
        <w:textAlignment w:val="baseline"/>
        <w:rPr>
          <w:rFonts w:ascii="Times New Roman" w:hAnsi="Times New Roman" w:cs="Times New Roman" w:hint="default"/>
          <w:lang w:val="sk-SK"/>
        </w:rPr>
      </w:pPr>
      <w:r w:rsidRPr="00DE1A70">
        <w:rPr>
          <w:rFonts w:ascii="Times New Roman" w:hAnsi="Times New Roman" w:cs="Times New Roman" w:hint="default"/>
          <w:lang w:val="sk-SK"/>
        </w:rPr>
        <w:t>DOLOŽ</w:t>
      </w:r>
      <w:r w:rsidRPr="00DE1A70">
        <w:rPr>
          <w:rFonts w:ascii="Times New Roman" w:hAnsi="Times New Roman" w:cs="Times New Roman" w:hint="default"/>
          <w:lang w:val="sk-SK"/>
        </w:rPr>
        <w:t>KA PREDNOSTI</w:t>
      </w:r>
    </w:p>
    <w:p w:rsidR="00A91E79" w:rsidRPr="00DE1A70" w:rsidP="00A91E79">
      <w:pPr>
        <w:bidi w:val="0"/>
        <w:ind w:right="27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medzinárodnej zmluvy pred zákonmi</w:t>
      </w:r>
    </w:p>
    <w:p w:rsidR="00A91E79" w:rsidRPr="00924454" w:rsidP="00A91E79">
      <w:pPr>
        <w:bidi w:val="0"/>
        <w:ind w:right="278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(čl. 7 ods. 5 ústavy)</w:t>
      </w:r>
    </w:p>
    <w:p w:rsidR="00A91E79" w:rsidP="00A91E79">
      <w:pPr>
        <w:bidi w:val="0"/>
        <w:ind w:right="278"/>
        <w:jc w:val="both"/>
        <w:rPr>
          <w:rFonts w:ascii="Times New Roman" w:hAnsi="Times New Roman"/>
          <w:sz w:val="24"/>
          <w:szCs w:val="24"/>
        </w:rPr>
      </w:pPr>
    </w:p>
    <w:p w:rsidR="00A91E79" w:rsidRPr="00DE1A70" w:rsidP="00A91E79">
      <w:pPr>
        <w:bidi w:val="0"/>
        <w:ind w:right="278"/>
        <w:jc w:val="both"/>
        <w:rPr>
          <w:rFonts w:ascii="Times New Roman" w:hAnsi="Times New Roman"/>
          <w:sz w:val="24"/>
          <w:szCs w:val="24"/>
        </w:rPr>
      </w:pPr>
    </w:p>
    <w:p w:rsidR="00A91E79" w:rsidRPr="00DE1A70" w:rsidP="00A91E79">
      <w:pPr>
        <w:numPr>
          <w:ilvl w:val="0"/>
          <w:numId w:val="1"/>
        </w:numPr>
        <w:overflowPunct w:val="0"/>
        <w:autoSpaceDE w:val="0"/>
        <w:autoSpaceDN w:val="0"/>
        <w:bidi w:val="0"/>
        <w:adjustRightInd w:val="0"/>
        <w:spacing w:after="120"/>
        <w:ind w:right="27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Gestor zmluvy:</w:t>
      </w:r>
    </w:p>
    <w:p w:rsidR="00A91E79" w:rsidRPr="00DE1A70" w:rsidP="00A91E79">
      <w:pPr>
        <w:bidi w:val="0"/>
        <w:spacing w:after="120"/>
        <w:ind w:right="278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sz w:val="24"/>
          <w:szCs w:val="24"/>
        </w:rPr>
        <w:t xml:space="preserve">Ministerstvo hospodárstva Slovenskej republiky </w:t>
      </w:r>
    </w:p>
    <w:p w:rsidR="00A91E79" w:rsidRPr="00DE1A70" w:rsidP="00A91E79">
      <w:pPr>
        <w:bidi w:val="0"/>
        <w:ind w:right="27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1E79" w:rsidRPr="00DE1A70" w:rsidP="00A91E79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spacing w:after="120"/>
        <w:ind w:right="27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Názov zmluvy:</w:t>
      </w:r>
    </w:p>
    <w:p w:rsidR="00A91E79" w:rsidRPr="002E46FE" w:rsidP="00A91E79">
      <w:pPr>
        <w:bidi w:val="0"/>
        <w:spacing w:after="120"/>
        <w:ind w:left="330" w:right="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Návrh na uzatvorenie Dohody </w:t>
      </w:r>
      <w:r w:rsidRPr="00530D91">
        <w:rPr>
          <w:rFonts w:ascii="Times New Roman" w:hAnsi="Times New Roman"/>
          <w:bCs/>
          <w:sz w:val="24"/>
          <w:szCs w:val="24"/>
        </w:rPr>
        <w:t xml:space="preserve">o účasti Chorvátskej republiky v Európskom hospodárskom priestore a </w:t>
      </w:r>
      <w:r>
        <w:rPr>
          <w:rFonts w:ascii="Times New Roman" w:hAnsi="Times New Roman"/>
          <w:bCs/>
          <w:sz w:val="24"/>
          <w:szCs w:val="24"/>
        </w:rPr>
        <w:t>troch súvisiacich dohôd</w:t>
      </w:r>
    </w:p>
    <w:p w:rsidR="00A91E79" w:rsidRPr="00DE1A70" w:rsidP="00A91E79">
      <w:pPr>
        <w:bidi w:val="0"/>
        <w:ind w:right="27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1E79" w:rsidRPr="00DE1A70" w:rsidP="00A91E79">
      <w:pPr>
        <w:bidi w:val="0"/>
        <w:spacing w:after="120"/>
        <w:ind w:right="278"/>
        <w:jc w:val="both"/>
        <w:rPr>
          <w:rFonts w:ascii="Times New Roman" w:hAnsi="Times New Roman"/>
          <w:b/>
          <w:bCs/>
          <w:sz w:val="24"/>
          <w:szCs w:val="24"/>
        </w:rPr>
      </w:pPr>
      <w:r w:rsidRPr="004076E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503B2">
        <w:rPr>
          <w:rFonts w:ascii="Times New Roman" w:hAnsi="Times New Roman"/>
          <w:b/>
          <w:bCs/>
          <w:sz w:val="24"/>
          <w:szCs w:val="24"/>
        </w:rPr>
        <w:t>Účel a predmet zmluvy a jeho úprava v právnom poriadku Slovenskej republiky:</w:t>
      </w:r>
      <w:r w:rsidRPr="00DE1A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1E79" w:rsidP="00A91E79">
      <w:pPr>
        <w:pStyle w:val="Point1"/>
        <w:bidi w:val="0"/>
        <w:spacing w:before="0"/>
        <w:ind w:left="284" w:firstLine="0"/>
        <w:rPr>
          <w:rFonts w:ascii="Times New Roman" w:hAnsi="Times New Roman"/>
          <w:color w:val="000000"/>
        </w:rPr>
      </w:pPr>
      <w:r w:rsidRPr="00926457">
        <w:rPr>
          <w:rFonts w:ascii="Times New Roman" w:hAnsi="Times New Roman"/>
          <w:noProof/>
        </w:rPr>
        <w:t>Dohoda o Európskom hospodárskom priestore, ďalej len „Dohoda o EHP“, bola podpísaná 2.</w:t>
      </w:r>
      <w:r>
        <w:rPr>
          <w:rFonts w:ascii="Times New Roman" w:hAnsi="Times New Roman"/>
          <w:noProof/>
        </w:rPr>
        <w:t> </w:t>
      </w:r>
      <w:r w:rsidRPr="00926457">
        <w:rPr>
          <w:rFonts w:ascii="Times New Roman" w:hAnsi="Times New Roman"/>
          <w:noProof/>
        </w:rPr>
        <w:t>mája 1992 a nadobudla platnosť 1. januára 1994.</w:t>
      </w:r>
      <w:r>
        <w:rPr>
          <w:rFonts w:ascii="Times New Roman" w:hAnsi="Times New Roman"/>
          <w:noProof/>
        </w:rPr>
        <w:t xml:space="preserve"> </w:t>
      </w:r>
      <w:r w:rsidRPr="00926457">
        <w:rPr>
          <w:rFonts w:ascii="Times New Roman" w:hAnsi="Times New Roman"/>
          <w:noProof/>
        </w:rPr>
        <w:t>Podľa Aktu o pristúpení Chorvátskej republiky sa Chorvátsko zaväzuje pristúpiť, za podmienok stanovených v akte, k Dohode o Európskom hospodárskom priestore v súlade s článkom 128 uvedenej dohody.</w:t>
      </w:r>
      <w:r>
        <w:rPr>
          <w:rFonts w:ascii="Times New Roman" w:hAnsi="Times New Roman"/>
          <w:noProof/>
        </w:rPr>
        <w:t xml:space="preserve"> </w:t>
      </w:r>
      <w:r w:rsidRPr="009B2356">
        <w:rPr>
          <w:rFonts w:ascii="Times New Roman" w:hAnsi="Times New Roman"/>
          <w:color w:val="000000"/>
        </w:rPr>
        <w:t xml:space="preserve">Navrhovanou dohodou sa Chorvátska republika stáva zmluvnou stranou </w:t>
      </w:r>
      <w:r w:rsidRPr="00B362C6">
        <w:rPr>
          <w:rFonts w:ascii="Times New Roman" w:hAnsi="Times New Roman"/>
        </w:rPr>
        <w:t>Dohody o</w:t>
      </w:r>
      <w:r w:rsidRPr="009B2356">
        <w:rPr>
          <w:rFonts w:ascii="Times New Roman" w:hAnsi="Times New Roman"/>
          <w:color w:val="000000"/>
        </w:rPr>
        <w:t xml:space="preserve"> EHP</w:t>
      </w:r>
      <w:r>
        <w:rPr>
          <w:rFonts w:ascii="Times New Roman" w:hAnsi="Times New Roman"/>
          <w:color w:val="000000"/>
        </w:rPr>
        <w:t xml:space="preserve"> </w:t>
      </w:r>
      <w:r w:rsidRPr="009B2356">
        <w:rPr>
          <w:rFonts w:ascii="Times New Roman" w:hAnsi="Times New Roman"/>
          <w:color w:val="000000"/>
        </w:rPr>
        <w:t xml:space="preserve">a EÚ sa zaväzuje zabezpečiť autentické znenie Dohody </w:t>
      </w:r>
      <w:r w:rsidRPr="00B362C6">
        <w:rPr>
          <w:rFonts w:ascii="Times New Roman" w:hAnsi="Times New Roman"/>
        </w:rPr>
        <w:t>o</w:t>
      </w:r>
      <w:r w:rsidRPr="009B2356">
        <w:rPr>
          <w:rFonts w:ascii="Times New Roman" w:hAnsi="Times New Roman"/>
          <w:color w:val="000000"/>
        </w:rPr>
        <w:t xml:space="preserve"> EHP v novom úradnom jazyku EÚ. Protokolom sa Chorvátsko začleňuje do nórskeho finančného mechanizmu.</w:t>
      </w:r>
    </w:p>
    <w:p w:rsidR="00A91E79" w:rsidRPr="000A5E2B" w:rsidP="00A91E79">
      <w:pPr>
        <w:pStyle w:val="Point1"/>
        <w:bidi w:val="0"/>
        <w:spacing w:before="0"/>
        <w:ind w:left="284" w:firstLine="0"/>
        <w:rPr>
          <w:rFonts w:ascii="Times New Roman" w:hAnsi="Times New Roman"/>
          <w:color w:val="000000"/>
        </w:rPr>
      </w:pPr>
      <w:r w:rsidRPr="000A5E2B">
        <w:rPr>
          <w:rFonts w:ascii="Times New Roman" w:hAnsi="Times New Roman"/>
          <w:color w:val="000000"/>
        </w:rPr>
        <w:t xml:space="preserve">Dohoda o Európskom hospodárskom priestore ustanovuje pravidlá jednotného trhu pre členské krajiny, t.j. pravidlá pre voľný pohyb osôb, tovaru, služieb a kapitálu v rámci celého Európskeho hospodárskeho priestoru.  </w:t>
      </w:r>
    </w:p>
    <w:p w:rsidR="00A91E79" w:rsidP="00A91E79">
      <w:pPr>
        <w:pStyle w:val="BodyText2"/>
        <w:bidi w:val="0"/>
        <w:spacing w:after="12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Dohodou o účasti sa zároveň do aktov komunitárnych inštitúcií, ktoré tvoria súčasť Dohody o Európskom hospodárskom priestore inkorporujú aj príslušné zmeny vyplývajúce z Aktu o pristúpení (súčasť Zmluvy o pristúpení k EÚ).</w:t>
      </w:r>
    </w:p>
    <w:p w:rsidR="00A91E79" w:rsidRPr="00C60190" w:rsidP="00A91E79">
      <w:pPr>
        <w:pStyle w:val="Point1"/>
        <w:bidi w:val="0"/>
        <w:spacing w:before="0" w:after="0"/>
        <w:ind w:left="284" w:firstLine="0"/>
        <w:rPr>
          <w:rFonts w:ascii="Times New Roman" w:hAnsi="Times New Roman"/>
          <w:color w:val="000000"/>
        </w:rPr>
      </w:pPr>
      <w:r w:rsidRPr="00C60190">
        <w:rPr>
          <w:rFonts w:ascii="Times New Roman" w:hAnsi="Times New Roman"/>
          <w:color w:val="000000"/>
        </w:rPr>
        <w:t>V právnom poriadku SR je predmet zmluvy upravený v množstve právnych predpisov v</w:t>
      </w:r>
      <w:r>
        <w:rPr>
          <w:rFonts w:ascii="Times New Roman" w:hAnsi="Times New Roman"/>
          <w:color w:val="000000"/>
        </w:rPr>
        <w:t> </w:t>
      </w:r>
      <w:r w:rsidRPr="00C60190">
        <w:rPr>
          <w:rFonts w:ascii="Times New Roman" w:hAnsi="Times New Roman"/>
          <w:color w:val="000000"/>
        </w:rPr>
        <w:t>príslušných</w:t>
      </w:r>
      <w:r>
        <w:rPr>
          <w:rFonts w:ascii="Times New Roman" w:hAnsi="Times New Roman"/>
          <w:color w:val="000000"/>
        </w:rPr>
        <w:t xml:space="preserve"> </w:t>
      </w:r>
      <w:r w:rsidRPr="00C60190">
        <w:rPr>
          <w:rFonts w:ascii="Times New Roman" w:hAnsi="Times New Roman"/>
          <w:color w:val="000000"/>
        </w:rPr>
        <w:t xml:space="preserve">oblastiach, a to napr. v zákone č. 199/2004 Z. z. colný zákon, zákone </w:t>
      </w:r>
      <w:r>
        <w:rPr>
          <w:rFonts w:ascii="Times New Roman" w:hAnsi="Times New Roman"/>
          <w:color w:val="000000"/>
        </w:rPr>
        <w:br/>
      </w:r>
      <w:r w:rsidRPr="00C60190">
        <w:rPr>
          <w:rFonts w:ascii="Times New Roman" w:hAnsi="Times New Roman"/>
          <w:color w:val="000000"/>
        </w:rPr>
        <w:t>č. 250/2007 Z. z. o ochrane spotrebiteľa, zákone č. 475/2004 o ochrane hospodárskej súťaže, zákone č. 142/2000 Z. z. o metrológii, zákone č. 428/2002 Z. z. o ochrane osobných údajov,  zákone č. 483/2001 Z. z. o bankách, zákone č. 17/1992 Z. z. o životnom prostredí, atď.</w:t>
      </w:r>
    </w:p>
    <w:p w:rsidR="00A91E79" w:rsidRPr="004133A0" w:rsidP="00A91E79">
      <w:pPr>
        <w:bidi w:val="0"/>
        <w:ind w:left="330" w:right="50"/>
        <w:jc w:val="both"/>
        <w:rPr>
          <w:rFonts w:ascii="Times New Roman" w:hAnsi="Times New Roman"/>
          <w:bCs/>
          <w:sz w:val="24"/>
          <w:szCs w:val="24"/>
        </w:rPr>
      </w:pPr>
    </w:p>
    <w:p w:rsidR="00A91E79" w:rsidRPr="00454E64" w:rsidP="00A91E79">
      <w:pPr>
        <w:numPr>
          <w:ilvl w:val="0"/>
          <w:numId w:val="3"/>
        </w:numPr>
        <w:overflowPunct w:val="0"/>
        <w:autoSpaceDE w:val="0"/>
        <w:autoSpaceDN w:val="0"/>
        <w:bidi w:val="0"/>
        <w:adjustRightInd w:val="0"/>
        <w:spacing w:after="120"/>
        <w:ind w:right="27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67F1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A91E79" w:rsidRPr="00892133" w:rsidP="00A91E79">
      <w:pPr>
        <w:bidi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892133">
        <w:rPr>
          <w:rFonts w:ascii="Times New Roman" w:hAnsi="Times New Roman"/>
          <w:sz w:val="24"/>
          <w:szCs w:val="24"/>
        </w:rPr>
        <w:t xml:space="preserve">Aj keď samotná dohoda o účasti nezakladá priamo práva alebo povinnosti fyzických osôb alebo právnických osôb, Dohoda o Európskom hospodárskom priestore obsahuje ustanovenia, ktoré zakladajú priamo práva alebo povinnosti fyzických osôb alebo právnických osôb. </w:t>
      </w:r>
    </w:p>
    <w:p w:rsidR="00A91E79" w:rsidP="00A91E79">
      <w:pPr>
        <w:bidi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892133">
        <w:rPr>
          <w:rFonts w:ascii="Times New Roman" w:hAnsi="Times New Roman"/>
          <w:sz w:val="24"/>
          <w:szCs w:val="24"/>
        </w:rPr>
        <w:t xml:space="preserve">Vzhľadom na komplikovanú štruktúru Dohody o Európskom hospodárskom priestore (vrátane príloh, protokolov a rozhodnutí Spoločného výboru EHP) a tiež vzhľadom </w:t>
      </w:r>
      <w:r>
        <w:rPr>
          <w:rFonts w:ascii="Times New Roman" w:hAnsi="Times New Roman"/>
          <w:sz w:val="24"/>
          <w:szCs w:val="24"/>
        </w:rPr>
        <w:br/>
      </w:r>
      <w:r w:rsidRPr="00892133">
        <w:rPr>
          <w:rFonts w:ascii="Times New Roman" w:hAnsi="Times New Roman"/>
          <w:sz w:val="24"/>
          <w:szCs w:val="24"/>
        </w:rPr>
        <w:t>na významný a </w:t>
      </w:r>
      <w:r>
        <w:rPr>
          <w:rFonts w:ascii="Times New Roman" w:hAnsi="Times New Roman"/>
          <w:sz w:val="24"/>
          <w:szCs w:val="24"/>
        </w:rPr>
        <w:t>dopredu</w:t>
      </w:r>
      <w:r w:rsidRPr="00892133">
        <w:rPr>
          <w:rFonts w:ascii="Times New Roman" w:hAnsi="Times New Roman"/>
          <w:sz w:val="24"/>
          <w:szCs w:val="24"/>
        </w:rPr>
        <w:t xml:space="preserve"> ťažko predvídateľný dopad priamej aplikácie niektorých ustanovení, si táto otázka bude vyžadovať posúdenie až orgánmi aplikácie práva </w:t>
      </w:r>
      <w:r>
        <w:rPr>
          <w:rFonts w:ascii="Times New Roman" w:hAnsi="Times New Roman"/>
          <w:sz w:val="24"/>
          <w:szCs w:val="24"/>
        </w:rPr>
        <w:t>Chorvátskej republiky</w:t>
      </w:r>
      <w:r w:rsidRPr="00892133">
        <w:rPr>
          <w:rFonts w:ascii="Times New Roman" w:hAnsi="Times New Roman"/>
          <w:sz w:val="24"/>
          <w:szCs w:val="24"/>
        </w:rPr>
        <w:t xml:space="preserve">. Z týchto dôvodov ďalej neuvádzame taxatívny výpočet tých článkov Dohody o Európskom hospodárskom priestore, ktoré priamo zakladajú práva alebo povinnosti fyzických osôb alebo právnických osôb. </w:t>
      </w:r>
    </w:p>
    <w:p w:rsidR="00A91E79" w:rsidRPr="00892133" w:rsidP="00A91E79">
      <w:pPr>
        <w:bidi w:val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1E79" w:rsidRPr="00892133" w:rsidP="00A91E79">
      <w:pPr>
        <w:pStyle w:val="ListParagraph"/>
        <w:bidi w:val="0"/>
        <w:spacing w:after="120"/>
        <w:ind w:left="0" w:right="278"/>
        <w:jc w:val="both"/>
        <w:rPr>
          <w:rFonts w:ascii="Times New Roman" w:hAnsi="Times New Roman"/>
          <w:b/>
          <w:bCs/>
        </w:rPr>
      </w:pPr>
      <w:r w:rsidRPr="00892133"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/>
          <w:b/>
          <w:bCs/>
        </w:rPr>
        <w:t xml:space="preserve"> </w:t>
      </w:r>
      <w:r w:rsidRPr="00892133">
        <w:rPr>
          <w:rFonts w:ascii="Times New Roman" w:hAnsi="Times New Roman"/>
          <w:b/>
          <w:bCs/>
        </w:rPr>
        <w:t>Úprava predmetu medzinárodnej zmluvy v práve EÚ:</w:t>
      </w:r>
    </w:p>
    <w:p w:rsidR="00A91E79" w:rsidP="00A91E79">
      <w:pPr>
        <w:pStyle w:val="Point1"/>
        <w:bidi w:val="0"/>
        <w:spacing w:before="0" w:after="0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>Obchodné vzťahy medzi EÚ a krajinami Európskeho združenia voľného obchodu (EZVO</w:t>
      </w:r>
      <w:r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</w:rPr>
        <w:t xml:space="preserve">upravuje Dohoda o Európskom hospodárskom priestore (EHP). Dohodu uzatvorili všetky členské krajiny EÚ a krajiny EZVO (t.j. Island, Nórsko a Lichtenštajnsko) s výnimkou Švajčiarska. EHP preto zahŕňa členské krajiny EÚ a tri krajiny EZVO. Dohoda o EHP bola podpísaná dňa 2. mája 1992 v Porte a nadobudla platnosť 1. januára 1994. Uverejnená </w:t>
        <w:br/>
        <w:t>bola v</w:t>
      </w:r>
      <w:r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</w:rPr>
        <w:t>Úradnom vestníku EÚ pod číslom L 001, 03/01/1994, str. 0001 – 0605</w:t>
      </w:r>
    </w:p>
    <w:p w:rsidR="00A91E79" w:rsidP="00A91E79">
      <w:pPr>
        <w:pStyle w:val="Point1"/>
        <w:bidi w:val="0"/>
        <w:spacing w:before="0" w:after="0"/>
        <w:ind w:left="284" w:firstLine="0"/>
        <w:rPr>
          <w:rFonts w:ascii="Times New Roman" w:hAnsi="Times New Roman"/>
        </w:rPr>
      </w:pPr>
      <w:r w:rsidRPr="00DB09E8">
        <w:rPr>
          <w:rFonts w:ascii="Times New Roman" w:hAnsi="Times New Roman"/>
        </w:rPr>
        <w:t xml:space="preserve">Nariadenie Európskeho parlamentu a Rady (EÚ) č. 952/2013 z 9. októbra 2013, ktorým </w:t>
      </w:r>
      <w:r>
        <w:rPr>
          <w:rFonts w:ascii="Times New Roman" w:hAnsi="Times New Roman"/>
        </w:rPr>
        <w:br/>
      </w:r>
      <w:r w:rsidRPr="00DB09E8">
        <w:rPr>
          <w:rFonts w:ascii="Times New Roman" w:hAnsi="Times New Roman"/>
        </w:rPr>
        <w:t>sa ustanovuje Colný kódex Únie (Ú. v. EÚ L 269, 10.10.2013)</w:t>
      </w:r>
    </w:p>
    <w:p w:rsidR="00A91E79" w:rsidRPr="005836E9" w:rsidP="00A91E79">
      <w:pPr>
        <w:pStyle w:val="Point1"/>
        <w:bidi w:val="0"/>
        <w:spacing w:before="0"/>
        <w:ind w:left="284" w:firstLine="0"/>
        <w:rPr>
          <w:rFonts w:ascii="Times New Roman" w:hAnsi="Times New Roman"/>
          <w:color w:val="000000"/>
        </w:rPr>
      </w:pPr>
      <w:r w:rsidRPr="005836E9">
        <w:rPr>
          <w:rFonts w:ascii="Times New Roman" w:hAnsi="Times New Roman"/>
          <w:color w:val="000000"/>
        </w:rPr>
        <w:t xml:space="preserve">Súlad medzinárodnej zmluvy s právom EÚ: úplná zhoda. </w:t>
      </w:r>
    </w:p>
    <w:p w:rsidR="00A91E79" w:rsidRPr="00DE1A70" w:rsidP="00A91E79">
      <w:pPr>
        <w:bidi w:val="0"/>
        <w:spacing w:after="12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6. Kategória zmluvy podľa čl. 7 ods. 4 Ústavy Slovenskej republiky (vyžaduje pred ratifikáciou súhlas Národnej rady Slovenskej republiky):</w:t>
      </w:r>
    </w:p>
    <w:p w:rsidR="00A91E79" w:rsidP="00A91E79">
      <w:pPr>
        <w:bidi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8373AF">
        <w:rPr>
          <w:rFonts w:ascii="Times New Roman" w:hAnsi="Times New Roman"/>
          <w:sz w:val="24"/>
          <w:szCs w:val="24"/>
        </w:rPr>
        <w:t>Medzinárodná hospodárska zmluva všeobecnej povahy</w:t>
      </w:r>
      <w:r w:rsidRPr="00DE1A70">
        <w:rPr>
          <w:rFonts w:ascii="Times New Roman" w:hAnsi="Times New Roman"/>
          <w:sz w:val="24"/>
          <w:szCs w:val="24"/>
        </w:rPr>
        <w:t>, medzinárodná zmluva, ktorá priamo zakladá práva alebo povinnosti fyzických osôb alebo právnických osôb.</w:t>
      </w:r>
    </w:p>
    <w:p w:rsidR="00A91E79" w:rsidRPr="00DE1A70" w:rsidP="00A91E79">
      <w:pPr>
        <w:bidi w:val="0"/>
        <w:spacing w:after="12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E1A70">
        <w:rPr>
          <w:rFonts w:ascii="Times New Roman" w:hAnsi="Times New Roman"/>
          <w:b/>
          <w:bCs/>
          <w:sz w:val="24"/>
          <w:szCs w:val="24"/>
        </w:rPr>
        <w:t>7. Kategória zmluvy podľa čl. 7 ods. 5 Ústavy Slovenskej republiky (má prednosť pred zákonmi):</w:t>
      </w:r>
    </w:p>
    <w:p w:rsidR="00A91E79" w:rsidRPr="00DE1A70" w:rsidP="00A91E79">
      <w:pPr>
        <w:bidi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E1A70">
        <w:rPr>
          <w:rFonts w:ascii="Times New Roman" w:hAnsi="Times New Roman"/>
          <w:sz w:val="24"/>
          <w:szCs w:val="24"/>
        </w:rPr>
        <w:t>Medzinárodná zmluva, ktorá priamo zakladá práva a povinnosti fyzických osôb alebo právnických osôb; medzinárodná zmluva, na ktorej vykonanie nie je potrebný zákon.</w:t>
      </w:r>
    </w:p>
    <w:p w:rsidR="00A91E79" w:rsidRPr="00DE1A70" w:rsidP="00A91E79">
      <w:pPr>
        <w:numPr>
          <w:numId w:val="4"/>
        </w:numPr>
        <w:tabs>
          <w:tab w:val="left" w:pos="284"/>
          <w:tab w:val="clear" w:pos="720"/>
        </w:tabs>
        <w:bidi w:val="0"/>
        <w:adjustRightInd w:val="0"/>
        <w:spacing w:after="120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1A70">
        <w:rPr>
          <w:rFonts w:ascii="Times New Roman" w:hAnsi="Times New Roman"/>
          <w:b/>
          <w:bCs/>
          <w:color w:val="000000"/>
          <w:sz w:val="24"/>
          <w:szCs w:val="24"/>
        </w:rPr>
        <w:t xml:space="preserve">Dopady prijatia medzinárodnej zmluvy, ktorá má prednosť pred zákonmi,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DE1A70">
        <w:rPr>
          <w:rFonts w:ascii="Times New Roman" w:hAnsi="Times New Roman"/>
          <w:b/>
          <w:bCs/>
          <w:color w:val="000000"/>
          <w:sz w:val="24"/>
          <w:szCs w:val="24"/>
        </w:rPr>
        <w:t xml:space="preserve">na slovenský právny poriadok: </w:t>
      </w:r>
    </w:p>
    <w:p w:rsidR="00A91E79" w:rsidRPr="00E94E63" w:rsidP="00A91E79">
      <w:pPr>
        <w:pStyle w:val="Point1"/>
        <w:bidi w:val="0"/>
        <w:spacing w:before="0"/>
        <w:ind w:left="284" w:firstLine="0"/>
        <w:rPr>
          <w:rFonts w:ascii="Times New Roman" w:hAnsi="Times New Roman"/>
        </w:rPr>
      </w:pPr>
      <w:r w:rsidRPr="00E94E63">
        <w:rPr>
          <w:rFonts w:ascii="Times New Roman" w:hAnsi="Times New Roman"/>
        </w:rPr>
        <w:t>Vzhľadom na priamu použiteľnosť ustanovení medzinárodnej zmluvy a jej prednosť pred zákonmi, nie je potrebné zrušiť alebo zmeniť z dôvodu duplicity žiadny právny predpis.</w:t>
      </w:r>
    </w:p>
    <w:p w:rsidR="005205E8" w:rsidP="00A91E79">
      <w:pPr>
        <w:bidi w:val="0"/>
        <w:spacing w:after="200"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6EC"/>
    <w:multiLevelType w:val="hybridMultilevel"/>
    <w:tmpl w:val="7B5E2D44"/>
    <w:lvl w:ilvl="0">
      <w:start w:val="8"/>
      <w:numFmt w:val="decimal"/>
      <w:pStyle w:val="Par-number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FB517F"/>
    <w:multiLevelType w:val="singleLevel"/>
    <w:tmpl w:val="5142BF20"/>
    <w:lvl w:ilvl="0">
      <w:start w:val="1"/>
      <w:numFmt w:val="decimal"/>
      <w:pStyle w:val="Par-number10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2">
    <w:nsid w:val="6DCA20B4"/>
    <w:multiLevelType w:val="singleLevel"/>
    <w:tmpl w:val="A4AA8DB6"/>
    <w:lvl w:ilvl="0">
      <w:start w:val="2"/>
      <w:numFmt w:val="decimal"/>
      <w:pStyle w:val="Par-number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3">
    <w:nsid w:val="72FA2E08"/>
    <w:multiLevelType w:val="singleLevel"/>
    <w:tmpl w:val="6F44129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1E79"/>
    <w:rsid w:val="000A5E2B"/>
    <w:rsid w:val="000A67F1"/>
    <w:rsid w:val="002E46FE"/>
    <w:rsid w:val="004076EA"/>
    <w:rsid w:val="004133A0"/>
    <w:rsid w:val="00454E64"/>
    <w:rsid w:val="005205E8"/>
    <w:rsid w:val="00530D91"/>
    <w:rsid w:val="005836E9"/>
    <w:rsid w:val="008373AF"/>
    <w:rsid w:val="00844C9A"/>
    <w:rsid w:val="008503B2"/>
    <w:rsid w:val="00892133"/>
    <w:rsid w:val="008E1C2E"/>
    <w:rsid w:val="00924454"/>
    <w:rsid w:val="00926457"/>
    <w:rsid w:val="009B2356"/>
    <w:rsid w:val="009C6781"/>
    <w:rsid w:val="00A91E79"/>
    <w:rsid w:val="00B362C6"/>
    <w:rsid w:val="00B81381"/>
    <w:rsid w:val="00B97102"/>
    <w:rsid w:val="00C60190"/>
    <w:rsid w:val="00DB09E8"/>
    <w:rsid w:val="00DE1A70"/>
    <w:rsid w:val="00E94E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91E79"/>
    <w:pPr>
      <w:jc w:val="left"/>
    </w:pPr>
    <w:rPr>
      <w:sz w:val="24"/>
    </w:rPr>
  </w:style>
  <w:style w:type="character" w:customStyle="1" w:styleId="BodyText2Char">
    <w:name w:val="Body Text 2 Char"/>
    <w:basedOn w:val="DefaultParagraphFont"/>
    <w:link w:val="BodyText2"/>
    <w:locked/>
    <w:rsid w:val="00A91E79"/>
    <w:rPr>
      <w:rFonts w:ascii="Times New Roman" w:hAnsi="Times New Roman" w:cs="Times New Roman"/>
      <w:sz w:val="20"/>
      <w:szCs w:val="20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A91E79"/>
    <w:pPr>
      <w:ind w:left="720"/>
      <w:contextualSpacing/>
      <w:jc w:val="left"/>
    </w:pPr>
    <w:rPr>
      <w:sz w:val="24"/>
      <w:szCs w:val="24"/>
    </w:rPr>
  </w:style>
  <w:style w:type="paragraph" w:customStyle="1" w:styleId="titulok">
    <w:name w:val="titulok"/>
    <w:basedOn w:val="Normal"/>
    <w:rsid w:val="00A91E7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 w:eastAsia="cs-CZ"/>
    </w:rPr>
  </w:style>
  <w:style w:type="paragraph" w:customStyle="1" w:styleId="Point1">
    <w:name w:val="Point 1"/>
    <w:basedOn w:val="Normal"/>
    <w:rsid w:val="00A91E79"/>
    <w:pPr>
      <w:spacing w:before="120" w:after="120"/>
      <w:ind w:left="1417" w:hanging="567"/>
      <w:jc w:val="both"/>
    </w:pPr>
    <w:rPr>
      <w:sz w:val="24"/>
      <w:szCs w:val="24"/>
      <w:lang w:eastAsia="de-DE"/>
    </w:rPr>
  </w:style>
  <w:style w:type="paragraph" w:customStyle="1" w:styleId="Par-number1">
    <w:name w:val="Par-number 1)"/>
    <w:basedOn w:val="Normal"/>
    <w:next w:val="Normal"/>
    <w:rsid w:val="00A91E79"/>
    <w:pPr>
      <w:widowControl w:val="0"/>
      <w:numPr>
        <w:numId w:val="2"/>
      </w:numPr>
      <w:spacing w:line="360" w:lineRule="auto"/>
      <w:ind w:left="283" w:hanging="283"/>
      <w:jc w:val="left"/>
    </w:pPr>
    <w:rPr>
      <w:sz w:val="24"/>
      <w:lang w:eastAsia="fr-BE"/>
    </w:rPr>
  </w:style>
  <w:style w:type="paragraph" w:customStyle="1" w:styleId="Par-number10">
    <w:name w:val="Par-number (1)"/>
    <w:basedOn w:val="Normal"/>
    <w:next w:val="Normal"/>
    <w:rsid w:val="00A91E79"/>
    <w:pPr>
      <w:widowControl w:val="0"/>
      <w:numPr>
        <w:numId w:val="1"/>
      </w:numPr>
      <w:spacing w:line="360" w:lineRule="auto"/>
      <w:ind w:left="283" w:hanging="283"/>
      <w:jc w:val="left"/>
    </w:pPr>
    <w:rPr>
      <w:sz w:val="24"/>
      <w:lang w:eastAsia="fr-BE"/>
    </w:rPr>
  </w:style>
  <w:style w:type="paragraph" w:customStyle="1" w:styleId="Par-numberA">
    <w:name w:val="Par-number A."/>
    <w:basedOn w:val="Normal"/>
    <w:next w:val="Normal"/>
    <w:rsid w:val="00A91E79"/>
    <w:pPr>
      <w:widowControl w:val="0"/>
      <w:numPr>
        <w:numId w:val="4"/>
      </w:numPr>
      <w:tabs>
        <w:tab w:val="num" w:pos="720"/>
      </w:tabs>
      <w:spacing w:line="360" w:lineRule="auto"/>
      <w:ind w:left="720" w:hanging="360"/>
      <w:jc w:val="left"/>
    </w:pPr>
    <w:rPr>
      <w:sz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632</Words>
  <Characters>3606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Durovcik Jaroslav</dc:creator>
  <cp:lastModifiedBy>Gašparíková, Jarmila</cp:lastModifiedBy>
  <cp:revision>2</cp:revision>
  <dcterms:created xsi:type="dcterms:W3CDTF">2015-04-17T14:28:00Z</dcterms:created>
  <dcterms:modified xsi:type="dcterms:W3CDTF">2015-04-17T14:28:00Z</dcterms:modified>
</cp:coreProperties>
</file>