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967"/>
        <w:gridCol w:w="1176"/>
        <w:gridCol w:w="1134"/>
        <w:gridCol w:w="4395"/>
        <w:gridCol w:w="992"/>
        <w:gridCol w:w="1134"/>
      </w:tblGrid>
      <w:tr>
        <w:tblPrEx>
          <w:tblW w:w="139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3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9DF" w:rsidRPr="004E24C9" w:rsidP="00CE69DF">
            <w:pPr>
              <w:keepNext/>
              <w:bidi w:val="0"/>
              <w:spacing w:after="0" w:line="240" w:lineRule="auto"/>
              <w:ind w:left="-70"/>
              <w:jc w:val="center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E24C9" w:rsid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TABUĽ</w:t>
            </w:r>
            <w:r w:rsidRPr="004E24C9" w:rsid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 xml:space="preserve">KA ZHODY </w:t>
            </w:r>
          </w:p>
          <w:p w:rsidR="00B7594E" w:rsidRPr="004E24C9" w:rsidP="00B7594E">
            <w:pPr>
              <w:keepNext/>
              <w:bidi w:val="0"/>
              <w:spacing w:after="0" w:line="240" w:lineRule="auto"/>
              <w:ind w:left="-70"/>
              <w:jc w:val="center"/>
              <w:outlineLvl w:val="6"/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k ná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vrhu Autorské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ho zá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kona č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. .../2015 Z. z.</w:t>
            </w:r>
          </w:p>
          <w:p w:rsidR="00B7594E" w:rsidP="00B7594E">
            <w:pPr>
              <w:keepNext/>
              <w:bidi w:val="0"/>
              <w:spacing w:after="0" w:line="240" w:lineRule="auto"/>
              <w:ind w:left="-70"/>
              <w:jc w:val="center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s prá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vom Euró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pskej ú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nie</w:t>
            </w: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3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594E" w:rsidRPr="004E24C9" w:rsidP="00B7594E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</w:pP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Ná</w:t>
            </w:r>
            <w:r w:rsidRPr="004E24C9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zov smernice:</w:t>
            </w:r>
            <w:r w:rsidRPr="004E24C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Smernica Euró</w:t>
            </w:r>
            <w:r w:rsidRPr="004E24C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pskeho parlamentu a Rady 2009/24/ES z 23. aprí</w:t>
            </w:r>
            <w:r w:rsidRPr="004E24C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la 2009 o prá</w:t>
            </w:r>
            <w:r w:rsidRPr="004E24C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vnej ochrane počí</w:t>
            </w:r>
            <w:r w:rsidRPr="004E24C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tač</w:t>
            </w:r>
            <w:r w:rsidRPr="004E24C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ový</w:t>
            </w:r>
            <w:r w:rsidRPr="004E24C9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programov</w:t>
            </w: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7594E" w:rsidP="00B7594E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Smernica EÚ</w:t>
            </w:r>
          </w:p>
          <w:p w:rsidR="00CE69DF" w:rsidRPr="00B7594E" w:rsidP="00B7594E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</w:pP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Smernica Euró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pskeho parlamentu a Rady 2009/24/ES z 23. aprí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la 2009 o prá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vnej ochrane počí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tač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ový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programov</w:t>
            </w:r>
          </w:p>
          <w:p w:rsidR="00CE69DF" w:rsidRPr="008E4F06" w:rsidP="00CE69DF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9DF" w:rsidP="00CE69DF">
            <w:pPr>
              <w:keepNext/>
              <w:bidi w:val="0"/>
              <w:spacing w:after="0" w:line="240" w:lineRule="auto"/>
              <w:ind w:left="-70"/>
              <w:jc w:val="center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7594E" w:rsidR="00B7594E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Vš</w:t>
            </w:r>
            <w:r w:rsidRPr="00B7594E" w:rsidR="00B7594E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eobecne zá</w:t>
            </w:r>
            <w:r w:rsidRPr="00B7594E" w:rsidR="00B7594E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vä</w:t>
            </w:r>
            <w:r w:rsidRPr="00B7594E" w:rsidR="00B7594E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zné</w:t>
            </w:r>
            <w:r w:rsidRPr="00B7594E" w:rsidR="00B7594E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 xml:space="preserve"> prá</w:t>
            </w:r>
            <w:r w:rsidRPr="00B7594E" w:rsidR="00B7594E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vne predpisy Slovenskej republiky</w:t>
            </w:r>
          </w:p>
          <w:p w:rsidR="00CE69DF" w:rsidRPr="00B7594E" w:rsidP="00CE69DF">
            <w:pPr>
              <w:keepNext/>
              <w:bidi w:val="0"/>
              <w:spacing w:after="0" w:line="240" w:lineRule="auto"/>
              <w:ind w:left="-70"/>
              <w:jc w:val="center"/>
              <w:outlineLvl w:val="6"/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</w:pP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Ná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vrh Autorské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ho zá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kona č</w:t>
            </w:r>
            <w:r w:rsidRPr="00B7594E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. .../2015 Z. z.</w:t>
            </w: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1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B7594E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lá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nok</w:t>
            </w:r>
          </w:p>
          <w:p w:rsidR="00B7594E" w:rsidRPr="00B7594E" w:rsidP="00B7594E">
            <w:pPr>
              <w:keepNext/>
              <w:bidi w:val="0"/>
              <w:spacing w:after="0" w:line="240" w:lineRule="exact"/>
              <w:jc w:val="center"/>
              <w:outlineLvl w:val="8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7594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(Č</w:t>
            </w:r>
            <w:r w:rsidRPr="00B7594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O,</w:t>
            </w:r>
          </w:p>
          <w:p w:rsidR="00B7594E" w:rsidRPr="008E4F06" w:rsidP="00B7594E">
            <w:pPr>
              <w:keepNext/>
              <w:bidi w:val="0"/>
              <w:spacing w:after="0" w:line="240" w:lineRule="exact"/>
              <w:jc w:val="center"/>
              <w:outlineLvl w:val="8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94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P)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Text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Spô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sob</w:t>
            </w:r>
          </w:p>
          <w:p w:rsidR="008E4F06" w:rsidP="008E4F06">
            <w:pPr>
              <w:bidi w:val="0"/>
              <w:spacing w:after="0" w:line="240" w:lineRule="auto"/>
              <w:ind w:left="-70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transpozí</w:t>
            </w:r>
            <w:r w:rsidRPr="008E4F06"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  <w:t>cie</w:t>
            </w:r>
          </w:p>
          <w:p w:rsidR="00B7594E" w:rsidRPr="00B7594E" w:rsidP="00B7594E">
            <w:pPr>
              <w:bidi w:val="0"/>
              <w:spacing w:after="0" w:line="240" w:lineRule="auto"/>
              <w:ind w:left="-70"/>
              <w:jc w:val="center"/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</w:pPr>
            <w:r w:rsidRPr="00B7594E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 xml:space="preserve">(N, O, </w:t>
            </w:r>
            <w:r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br/>
            </w:r>
            <w:r w:rsidRPr="00B7594E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>D, n.</w:t>
            </w:r>
            <w:r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 xml:space="preserve"> </w:t>
            </w:r>
            <w:r w:rsidRPr="00B7594E">
              <w:rPr>
                <w:rFonts w:ascii="Times New Roman" w:hAnsi="Times New Roman" w:eastAsiaTheme="minorEastAsia"/>
                <w:bCs/>
                <w:sz w:val="16"/>
                <w:szCs w:val="16"/>
                <w:lang w:eastAsia="sk-SK"/>
              </w:rPr>
              <w:t>a.)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Čí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lá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nok</w:t>
            </w:r>
          </w:p>
          <w:p w:rsidR="00B7594E" w:rsidRPr="00B7594E" w:rsidP="00B7594E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</w:pPr>
            <w:r w:rsidRPr="00B7594E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(Č</w:t>
            </w:r>
            <w:r w:rsidRPr="00B7594E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, §</w:t>
            </w:r>
            <w:r w:rsidRPr="00B7594E">
              <w:rPr>
                <w:rFonts w:ascii="Times New Roman" w:hAnsi="Times New Roman" w:eastAsiaTheme="minorEastAsia" w:hint="default"/>
                <w:bCs/>
                <w:sz w:val="16"/>
                <w:szCs w:val="16"/>
                <w:lang w:eastAsia="sk-SK"/>
              </w:rPr>
              <w:t>, O, V, P)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vertAlign w:val="superscript"/>
                <w:lang w:eastAsia="sk-SK"/>
              </w:rPr>
            </w:pP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vertAlign w:val="superscript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 xml:space="preserve"> Zhoda</w:t>
            </w:r>
          </w:p>
          <w:p w:rsidR="008E4F06" w:rsidRPr="00B7594E" w:rsidP="00B7594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color w:val="000000"/>
                <w:sz w:val="16"/>
                <w:szCs w:val="16"/>
                <w:lang w:eastAsia="sk-SK"/>
              </w:rPr>
            </w:pPr>
            <w:r w:rsidR="00B7594E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(Ú</w:t>
            </w:r>
            <w:r w:rsidR="00B7594E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Č</w:t>
            </w:r>
            <w:r w:rsidRPr="00B7594E" w:rsidR="00B7594E">
              <w:rPr>
                <w:rFonts w:ascii="Times New Roman" w:hAnsi="Times New Roman" w:eastAsiaTheme="minorEastAsia"/>
                <w:bCs/>
                <w:color w:val="000000"/>
                <w:sz w:val="16"/>
                <w:szCs w:val="16"/>
                <w:lang w:eastAsia="sk-SK"/>
              </w:rPr>
              <w:t xml:space="preserve">, </w:t>
            </w:r>
            <w:r w:rsidR="00B7594E">
              <w:rPr>
                <w:rFonts w:ascii="Times New Roman" w:hAnsi="Times New Roman" w:eastAsiaTheme="minorEastAsia"/>
                <w:bCs/>
                <w:color w:val="000000"/>
                <w:sz w:val="16"/>
                <w:szCs w:val="16"/>
                <w:lang w:eastAsia="sk-SK"/>
              </w:rPr>
              <w:br/>
            </w:r>
            <w:r w:rsidRPr="00B7594E" w:rsidR="00B7594E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Ž</w:t>
            </w:r>
            <w:r w:rsidRPr="00B7594E" w:rsidR="00B7594E">
              <w:rPr>
                <w:rFonts w:ascii="Times New Roman" w:hAnsi="Times New Roman" w:eastAsiaTheme="minorEastAsia" w:hint="default"/>
                <w:bCs/>
                <w:color w:val="000000"/>
                <w:sz w:val="16"/>
                <w:szCs w:val="16"/>
                <w:lang w:eastAsia="sk-SK"/>
              </w:rPr>
              <w:t>, n.</w:t>
            </w:r>
            <w:r w:rsidR="00B7594E">
              <w:rPr>
                <w:rFonts w:ascii="Times New Roman" w:hAnsi="Times New Roman" w:eastAsiaTheme="minorEastAsia"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B7594E" w:rsidR="00B7594E">
              <w:rPr>
                <w:rFonts w:ascii="Times New Roman" w:hAnsi="Times New Roman" w:eastAsiaTheme="minorEastAsia"/>
                <w:bCs/>
                <w:color w:val="000000"/>
                <w:sz w:val="16"/>
                <w:szCs w:val="16"/>
                <w:lang w:eastAsia="sk-SK"/>
              </w:rPr>
              <w:t>a.)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Pozná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mky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</w:t>
            </w:r>
          </w:p>
          <w:p w:rsidR="008E4F06" w:rsidRPr="008E4F06" w:rsidP="008E4F06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ustanoveniami tejto smernice 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ch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nia počí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programy podľ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autorské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ako literá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 diela v zmys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Bernské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dohovoru o 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ochrane literá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 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umelecký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diel. Na úč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tejto smernice zahŕň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pojem "počí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programy" aj ich prí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pravný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koncepč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materiá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8</w:t>
            </w:r>
            <w:r w:rsidRPr="00F146DC" w:rsidR="00F146D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7</w:t>
            </w: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O. 1</w:t>
            </w: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863FA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863FA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146DC" w:rsidRP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6AEF" w:rsidRPr="00386AEF" w:rsidP="00386AE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program, ktorý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 sú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bor prí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kazov a inš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trukcií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vyjadrený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 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akejkoľ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forme použ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priamo alebo nepriamo v 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alebo v 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podobnom technickom zariadení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je chrá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 ak je vý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sledkom tvorivej duš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evnej č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innosti autora. 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kazy a inš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trukcie môž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byť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napí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sané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vyjadrené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zdrojovom kó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 alebo v strojovom kó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de. Súč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počí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je aj podkladový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materiá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 použ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jeho vytvorenie.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Myš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lienky a 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princí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py, na ktorý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je založ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prvok počí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programu, vrá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tý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ch, ktoré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podkladom jeho rozhrania, nie sú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chrá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kona.</w:t>
            </w:r>
          </w:p>
          <w:p w:rsidR="00386AEF" w:rsidRPr="00386AEF" w:rsidP="00386AEF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63FAB" w:rsidRPr="00863FAB" w:rsidP="00863FAB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odsek 1 a §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88 a 89 neupravujú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inak, vzť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na počí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a jeho autora 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primerane ustanovenia tejto 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asti.</w:t>
            </w:r>
          </w:p>
          <w:p w:rsidR="008E4F06" w:rsidRPr="008E4F06" w:rsidP="00F146D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F146DC" w:rsidP="00F146DC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146DC" w:rsidR="00F146D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Ochrana podľ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tejto smernice sa vzť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ahuje na vyjadrenia poč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v 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akejkoľ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vek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forme. Myš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lienky a princí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py, na ktorý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je založ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ktorý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prvok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počí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programu, vrá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tane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ch, ktoré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podkladom jeho rozhrania, nie sú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tejto smernice chrá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</w:t>
            </w:r>
            <w:r w:rsidR="00F146D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7 </w:t>
            </w: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F146D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V. </w:t>
            </w:r>
            <w:r w:rsidR="00BF746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386AEF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3FA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86AEF" w:rsidP="00BF746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program, ktorý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 sú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bor prí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kazov a inš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trukcií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vyjadrený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 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akejkoľ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forme použ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priamo alebo nepriamo v 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alebo v 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podobnom technickom zariadení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je chrá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 ak je vý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sledkom tvorivej duš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evnej č</w:t>
            </w:r>
            <w:r w:rsidRPr="00863FAB"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innosti autora. </w:t>
            </w:r>
          </w:p>
          <w:p w:rsidR="00863FAB" w:rsidP="00BF746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BF746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Myš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lienky a princí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py, na ktorý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je založ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prvok počí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programu, vrá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tý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ch, ktoré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podkladom jeho rozhrania, nie sú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chrá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odľ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kona.</w:t>
            </w:r>
          </w:p>
          <w:p w:rsidR="00BF746C" w:rsidRPr="008E4F06" w:rsidP="00BF746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146D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je chrá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je pô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tom z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mysle, ž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je autorový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vlastný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evný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tvorom. 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iadne iné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krité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urč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ochrany sa nepouž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ijú.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</w:t>
            </w:r>
            <w:r w:rsidR="00BF746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7 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83D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883DFF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1</w:t>
            </w:r>
          </w:p>
          <w:p w:rsidR="00883DFF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83DFF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83DFF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83DFF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87</w:t>
            </w:r>
          </w:p>
          <w:p w:rsidR="00883DFF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83DFF" w:rsidP="00386AE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program, ktorý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je sú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bor prí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kazov a inš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trukcií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vyjadrený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 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akejkoľ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forme použ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priamo alebo nepriamo v 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alebo v 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podobnom technickom zariadení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je chrá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 ak je vý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sledkom tvorivej duš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evnej č</w:t>
            </w:r>
            <w:r w:rsidRPr="00883D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autora.</w:t>
            </w:r>
          </w:p>
          <w:p w:rsidR="00883DFF" w:rsidP="00386AE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63FAB" w:rsidRPr="008E4F06" w:rsidP="00386AE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odsek 1 a §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88 a 89 neupravujú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inak, vzť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na počí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a 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autora primerane ustanovenia tejto 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476D34" w:rsidP="008E4F06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476D34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8E4F06" w:rsidP="00476D3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tejto smernice sa vzť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 prog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ramy vytvorené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 1. januá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rom 1993 bez 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toho, aby boli dotknuté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kony, ku ktorý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pred tý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dá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tumom, a prá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nadobudnuté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 tý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to 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tumom.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8E4F06" w:rsidP="008E4F06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F746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D34" w:rsidRPr="00476D34" w:rsidP="00476D3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Autorom počí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je fyzická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alebo skupin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fyzický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osô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b, ktorá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vytvorila, alebo, kde to umožň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prá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 poriadok č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tu,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označ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mto 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vnym poriadkom za majiteľ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476D34" w:rsidP="00476D3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E4F06" w:rsidRPr="008E4F06" w:rsidP="00476D3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sú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vnym poriadkom 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uzná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 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diela, pokladá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za ich autora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osoba považ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vnym poriadk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č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za tú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476D34" w:rsidR="00476D3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vytvorila dielo.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7 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13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386AEF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B3B97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B3B97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B3B97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B3B97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746C" w:rsidP="008E4F06">
            <w:pPr>
              <w:bidi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sk-SK"/>
              </w:rPr>
            </w:pP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Ak odsek 1 a §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88 a 89 neupravujú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inak, vzť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ahujú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sa na počí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tač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ový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program a 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jeho autora primerane ustanovenia tejto č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asti.</w:t>
            </w:r>
          </w:p>
          <w:p w:rsidR="00863FAB" w:rsidP="008E4F06">
            <w:pPr>
              <w:bidi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sk-SK"/>
              </w:rPr>
            </w:pPr>
          </w:p>
          <w:p w:rsidR="00386AEF" w:rsidRPr="00386AEF" w:rsidP="00386AEF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(1) Autor je fyzická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osoba, ktorá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dielo vytvorila.</w:t>
            </w:r>
          </w:p>
          <w:p w:rsidR="00386AEF" w:rsidRPr="00386AEF" w:rsidP="00386AEF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</w:p>
          <w:p w:rsidR="00FB3B97" w:rsidRPr="00FB3B97" w:rsidP="00FB3B97">
            <w:pPr>
              <w:bidi w:val="0"/>
              <w:spacing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  <w:r w:rsidRPr="00386AEF" w:rsidR="00386AEF">
              <w:rPr>
                <w:rFonts w:ascii="Times New Roman" w:eastAsia="MS Mincho" w:hAnsi="Times New Roman"/>
                <w:sz w:val="18"/>
                <w:szCs w:val="18"/>
                <w:lang w:eastAsia="sk-SK"/>
              </w:rPr>
              <w:t xml:space="preserve">(2) 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Fyzická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osoba, ktorej meno, priezvisko alebo meno a 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priezvisko (ď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alej len „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eno“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)</w:t>
            </w:r>
            <w:r>
              <w:rPr>
                <w:rFonts w:ascii="Times New Roman" w:eastAsia="MS Mincho" w:hAnsi="Times New Roman"/>
                <w:sz w:val="18"/>
                <w:szCs w:val="18"/>
                <w:vertAlign w:val="superscript"/>
                <w:lang w:eastAsia="sk-SK"/>
              </w:rPr>
              <w:t>9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) je uvedené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na diele alebo vo vzť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ahu k 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dielu obvyklý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 spô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sobom ako označ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enie autora, sa považ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uje za autora diela, ak nie je preuká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zaný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opak. </w:t>
            </w:r>
            <w:r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To platí</w:t>
            </w:r>
            <w:r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aj vtedy, keď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je dielo označ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ené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pseudonymom, ak nie sú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nijaké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pochybnosti o totož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nosti autora. </w:t>
            </w:r>
          </w:p>
          <w:p w:rsidR="00FB3B97" w:rsidRPr="00FB3B97" w:rsidP="00FB3B97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  <w:r w:rsidRPr="00FB3B97">
              <w:rPr>
                <w:rFonts w:ascii="Times New Roman" w:eastAsia="MS Mincho" w:hAnsi="Times New Roman"/>
                <w:sz w:val="18"/>
                <w:szCs w:val="18"/>
                <w:lang w:eastAsia="sk-SK"/>
              </w:rPr>
              <w:t>(3)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Osoba, ktorá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po uplynutí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t</w:t>
            </w:r>
            <w:r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rvania majetkový</w:t>
            </w:r>
            <w:r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ch prá</w:t>
            </w:r>
            <w:r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zverejní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predtý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 nezverejnené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dielo, tý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mto zverejnení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 vykoná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va majetkové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prá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va k tomuto dielu. </w:t>
            </w:r>
          </w:p>
          <w:p w:rsidR="00FB3B97" w:rsidRPr="00FB3B97" w:rsidP="00FB3B97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</w:p>
          <w:p w:rsidR="00BF746C" w:rsidP="00FB3B97">
            <w:pPr>
              <w:bidi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sk-SK"/>
              </w:rPr>
            </w:pP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(4) Ustanovenia tohto zá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kona o autorovi sa vzť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ahujú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aj na jeho dedič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ov, na osobu, ktorá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je nadobú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dateľ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om vý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hradnej licencie podľ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 §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70 ods. 2 v 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rozsahu nadobudnutej vý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hradnej licencie a na osobu, ktorá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vykoná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va majetkové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va autora na zá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klade tohto zá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kona (ď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alej len „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nositeľ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prá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v“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), ak z ich povahy nevyplý</w:t>
            </w:r>
            <w:r w:rsidRPr="00FB3B97" w:rsid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va iné.</w:t>
            </w:r>
          </w:p>
          <w:p w:rsidR="00FB3B97" w:rsidP="00FB3B97">
            <w:pPr>
              <w:bidi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sk-SK"/>
              </w:rPr>
            </w:pPr>
          </w:p>
          <w:p w:rsidR="00FB3B97" w:rsidRPr="00FB3B97" w:rsidP="003F14B8">
            <w:pPr>
              <w:bidi w:val="0"/>
              <w:spacing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vertAlign w:val="superscript"/>
                <w:lang w:eastAsia="sk-SK"/>
              </w:rPr>
              <w:t>9</w:t>
            </w:r>
            <w:r>
              <w:rPr>
                <w:rFonts w:ascii="Times New Roman" w:eastAsia="MS Mincho" w:hAnsi="Times New Roman"/>
                <w:sz w:val="18"/>
                <w:szCs w:val="18"/>
                <w:lang w:eastAsia="sk-SK"/>
              </w:rPr>
              <w:t xml:space="preserve">) 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§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1 a §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4 zá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kona č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. 300/1993 Z. z. o mene 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 priezvisku v 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znení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neskorší</w:t>
            </w:r>
            <w:r w:rsidRPr="00FB3B97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ch predpisov.</w:t>
            </w:r>
          </w:p>
          <w:p w:rsidR="00386AEF" w:rsidRPr="00386AEF" w:rsidP="003F14B8">
            <w:pPr>
              <w:bidi w:val="0"/>
              <w:spacing w:line="240" w:lineRule="auto"/>
              <w:rPr>
                <w:rFonts w:ascii="Times New Roman" w:eastAsia="MS Mincho" w:hAnsi="Times New Roman"/>
                <w:sz w:val="18"/>
                <w:szCs w:val="18"/>
                <w:lang w:eastAsia="sk-SK"/>
              </w:rPr>
            </w:pP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(1) Spoloč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dielo je dielo, ktoré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vytvorili dvaja alebo viacerí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autori na podnet a pod vedení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 osoby, ktorá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usmerň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ovala a zabezpeč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ovala proces vytvorenia tohto diela. </w:t>
            </w:r>
            <w:r w:rsidRPr="003F14B8" w:rsidR="003F14B8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Tvorivé</w:t>
            </w:r>
            <w:r w:rsidRPr="003F14B8" w:rsidR="003F14B8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vklady autorov zahrnuté</w:t>
            </w:r>
            <w:r w:rsidRPr="003F14B8" w:rsidR="003F14B8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do spoloč</w:t>
            </w:r>
            <w:r w:rsidRPr="003F14B8" w:rsidR="003F14B8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né</w:t>
            </w:r>
            <w:r w:rsidRPr="003F14B8" w:rsidR="003F14B8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ho</w:t>
            </w:r>
            <w:r w:rsidRPr="003F14B8" w:rsidR="003F14B8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diela 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nie je mož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né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samostatne použ</w:t>
            </w:r>
            <w:r w:rsidRPr="00863FAB" w:rsidR="00863FAB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iť</w:t>
            </w:r>
            <w:r w:rsidRPr="003F14B8" w:rsidR="003F14B8">
              <w:rPr>
                <w:rFonts w:ascii="Times New Roman" w:eastAsia="MS Mincho" w:hAnsi="Times New Roman"/>
                <w:sz w:val="18"/>
                <w:szCs w:val="18"/>
                <w:lang w:eastAsia="sk-SK"/>
              </w:rPr>
              <w:t>.</w:t>
            </w:r>
          </w:p>
          <w:p w:rsidR="00386AEF" w:rsidRPr="00386AEF" w:rsidP="00386AEF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(2) Na vý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kon prá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 k spoloč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mu dielu sa primerane použ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ijú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ustanovenia o zamestnaneckom diele.</w:t>
            </w:r>
          </w:p>
          <w:p w:rsidR="00386AEF" w:rsidRPr="00386AEF" w:rsidP="00386AEF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</w:p>
          <w:p w:rsidR="00386AEF" w:rsidRPr="00386AEF" w:rsidP="00386AEF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(3) Ak tvorbu spoloč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ho diela usmerň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ovali a 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zabezpeč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ovali dve alebo viaceré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osoby, nakladajú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so spoloč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ný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 dielom spoloč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ne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, ak nie je dohodnuté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inak.</w:t>
            </w:r>
          </w:p>
          <w:p w:rsidR="00386AEF" w:rsidRPr="00386AEF" w:rsidP="00386AEF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</w:p>
          <w:p w:rsidR="00386AEF" w:rsidRPr="00386AEF" w:rsidP="00386AEF">
            <w:pPr>
              <w:bidi w:val="0"/>
              <w:spacing w:after="0" w:line="240" w:lineRule="auto"/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</w:pP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(4) Smrť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ou fyzickej osoby alebo zá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nikom prá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vnickej osoby podľ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a od</w:t>
            </w:r>
            <w:r w:rsidR="0014074A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seku 1 bez prá</w:t>
            </w:r>
            <w:r w:rsidR="0014074A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vneho ná</w:t>
            </w:r>
            <w:r w:rsidR="0014074A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stupcu jej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vo vý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konu majetkový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ch prá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 k 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spoloč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mu dielu zaniká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a majetkové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va k spoloč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né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mu dielu vykoná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vajú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autori; ustanovenia §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15 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sa použ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>ijú</w:t>
            </w:r>
            <w:r w:rsidRPr="00386AEF">
              <w:rPr>
                <w:rFonts w:ascii="Times New Roman" w:eastAsia="MS Mincho" w:hAnsi="Times New Roman" w:hint="default"/>
                <w:sz w:val="18"/>
                <w:szCs w:val="18"/>
                <w:lang w:eastAsia="sk-SK"/>
              </w:rPr>
              <w:t xml:space="preserve"> primerane.</w:t>
            </w:r>
          </w:p>
          <w:p w:rsidR="00BF746C" w:rsidRPr="008E4F06" w:rsidP="00386AEF">
            <w:pPr>
              <w:bidi w:val="0"/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Pri počí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tač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ovom programe vytvorenom spoloč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skupinou fyzický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ch </w:t>
            </w:r>
            <w:r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osô</w:t>
            </w:r>
            <w:r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 patria vý</w:t>
            </w:r>
            <w:r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luč</w:t>
            </w:r>
            <w:r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prá</w:t>
            </w:r>
            <w:r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va 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tý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mto osobá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spoloč</w:t>
            </w:r>
            <w:r w:rsidRPr="00476D34" w:rsidR="00476D3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F746C" w:rsidRPr="00BF746C" w:rsidP="00BF746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87</w:t>
            </w:r>
            <w:r w:rsidRPr="00BF746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BF746C" w:rsidP="00BF746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F746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86A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F97C2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FAB" w:rsidRPr="00863FAB" w:rsidP="00863FAB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odsek 1 a §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88 a 89 neupravujú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inak, vzť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na počí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a jeho autora 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primerane ustanovenia tejto 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asti.</w:t>
            </w:r>
          </w:p>
          <w:p w:rsidR="00386AEF" w:rsidP="00BF746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(1) </w:t>
            </w:r>
            <w:r w:rsidR="0014074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Spoluautor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sú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dvaja alebo viacerí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autori, ktorí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vytvorili jediné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 tak, ž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nie je mož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seba odlíš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</w:t>
            </w:r>
            <w:r w:rsidR="00140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vorivé</w:t>
            </w:r>
            <w:r w:rsidR="00140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vklady jednotlivý</w:t>
            </w:r>
            <w:r w:rsidR="00140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F97C2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autorov a 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ich ako samostatné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diela.</w:t>
            </w: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Prá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 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dielu podľ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patria vš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spoluautorom spoloč</w:t>
            </w:r>
            <w:r w:rsidRP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ne a nerozdielne, ak sa spoluautori nedohodli </w:t>
            </w:r>
            <w:r w:rsidR="00140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pí</w:t>
            </w:r>
            <w:r w:rsidR="00140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somne </w:t>
            </w:r>
            <w:r w:rsidRPr="00F97C2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inak. </w:t>
            </w: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F746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Spoluautori sa môž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dohodnúť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pri nakladaní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 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dielom podľ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ich bude zastupovať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ich mene a 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ich úč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niektorý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zo spoluautorov. Tak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udelené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plnomocenstvo musí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mať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somnú</w:t>
            </w:r>
            <w:r w:rsidRPr="00F97C2C"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formu.</w:t>
            </w:r>
          </w:p>
          <w:p w:rsidR="00F97C2C" w:rsidRPr="008E4F06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je počí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vytvorený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zamestnancom pri pln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jeho povinnosti alebo podľ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pokynov vydaný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jeho zamestná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om, je zamestná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uč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oprá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etky 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majetkové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 takto vytvorené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programu, ak nie je v zmluve dohodnuté</w:t>
            </w:r>
            <w:r w:rsidRPr="00476D34" w:rsidR="00476D3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476D3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</w:t>
            </w:r>
            <w:r w:rsidR="00BF746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7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  <w:p w:rsidR="00BF746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F97C2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90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9219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7C2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6E3B21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FAB" w:rsidRPr="00863FAB" w:rsidP="00863FAB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odsek 1 a §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88 a 89 neupravujú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inak, vzť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na počí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a 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autora primerane ustanovenia tejto č</w:t>
            </w:r>
            <w:r w:rsidRP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asti.</w:t>
            </w:r>
          </w:p>
          <w:p w:rsidR="00BF746C" w:rsidP="008E4F06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Dielo vytvorené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autorom na splnenie povinností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vyplý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vajú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cich mu z pracovnoprá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vneho vzť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ahu alebo z 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obdobné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pracovné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vzť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ahu sa považ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za zamestnanecké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dielo. </w:t>
            </w: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Zamestnanecký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dielom je aj dielo vytvorené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autorom, ktorý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je č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riadiacich, kontrolný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alebo dozorný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nov prá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osoby alebo 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tatutá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rnym orgá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</w:t>
            </w:r>
            <w:r w:rsidR="00863FA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prá</w:t>
            </w:r>
            <w:r w:rsidR="00863FA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osoby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alebo č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tatutá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rneho orgá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prá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osoby</w:t>
            </w:r>
            <w:r w:rsidR="0014074A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,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na splnenie povinností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vyplý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vajú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cich mu z 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lenstva v orgá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tejto prá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osoby, ktorá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sa považ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za zamestná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ľ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a.</w:t>
            </w: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14074A" w:rsidRPr="0014074A" w:rsidP="0014074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Zamestnanecký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dielom je aj dielo vytvorené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autorom, ktorý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je zamestnancom doč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asne pridelený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k 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zamestná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vateľ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ovi na vý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prá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ce podľ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osobitné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predpisu</w:t>
            </w:r>
            <w:r w:rsidRPr="00F97C2C" w:rsidR="00F97C2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.</w:t>
            </w:r>
            <w:r w:rsidR="00E92199">
              <w:rPr>
                <w:rFonts w:ascii="Times New Roman" w:hAnsi="Times New Roman" w:eastAsiaTheme="minorEastAsia"/>
                <w:bCs/>
                <w:sz w:val="18"/>
                <w:szCs w:val="18"/>
                <w:vertAlign w:val="superscript"/>
                <w:lang w:eastAsia="sk-SK"/>
              </w:rPr>
              <w:t>28)</w:t>
            </w:r>
            <w:r w:rsidRPr="00F97C2C" w:rsidR="00F97C2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Taký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 zamestná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vateľ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sa považ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za zamestná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vateľ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doč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asne pridelené</w:t>
            </w:r>
            <w:r w:rsidRPr="0014074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zamestnanca.</w:t>
            </w:r>
          </w:p>
          <w:p w:rsidR="00E92199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E92199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vertAlign w:val="superscript"/>
                <w:lang w:eastAsia="sk-SK"/>
              </w:rPr>
              <w:t>28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)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vertAlign w:val="superscript"/>
                <w:lang w:eastAsia="sk-SK"/>
              </w:rPr>
              <w:t xml:space="preserve"> </w:t>
            </w:r>
            <w:r w:rsidRPr="00E921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§</w:t>
            </w:r>
            <w:r w:rsidRPr="00E921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58</w:t>
            </w:r>
            <w:r w:rsidRPr="00E921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E921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konní</w:t>
            </w:r>
            <w:r w:rsidRPr="00E921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ka prá</w:t>
            </w:r>
            <w:r w:rsidRPr="00E92199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ce.</w:t>
            </w: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F97C2C" w:rsidRPr="00F97C2C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Majetkové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autora k zamestnanecké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dielu vykoná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vo svojom mene a na svoj úč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et zamestná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vateľ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ak nie je dohodnuté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inak. Pri vý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kone majetkový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autora k zamestnanecké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dielu zamestná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vateľ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om nesmie autor udeliť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tretej osobe sú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hlas na použ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itie tohto diela a autor je povinný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sa zdrž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ať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majetkový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F97C2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 k tomuto dielu. </w:t>
            </w:r>
          </w:p>
          <w:p w:rsidR="006E3B21" w:rsidRPr="006E3B21" w:rsidP="00F97C2C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F746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E334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E334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CC68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Ochrana sa prizná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fyzický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prá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vnický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</w:t>
            </w:r>
            <w:r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osobá</w:t>
            </w:r>
            <w:r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ktorý</w:t>
            </w:r>
            <w:r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prislú</w:t>
            </w:r>
            <w:r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cha podľ</w:t>
            </w:r>
            <w:r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vnú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tnych autorskoprá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predpisov vzť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sa na literá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 diela.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CC68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58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0F5A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0F5A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63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64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6E3B21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Autor, do ktoré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sa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zasiahlo alebo ktoré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hrozí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sah, sa môž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domá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najmä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urč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enia svojho autorstva,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ohrozenia svojho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opakovania také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hoto ohrozenia, a to aj proti poskytovateľ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by, prostrední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ktorej je toto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ohrozené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do svojho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 </w:t>
            </w:r>
            <w:r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vrá</w:t>
            </w:r>
            <w:r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zá</w:t>
            </w:r>
            <w:r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zá</w:t>
            </w:r>
            <w:r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podľ</w:t>
            </w:r>
            <w:r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="00863FA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60 a 61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to aj proti poskytovateľ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by, prostred</w:t>
            </w:r>
            <w:r w:rsidR="00FE7B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="00FE7B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ktorej je do tohto prá</w:t>
            </w:r>
            <w:r w:rsidR="00FE7B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zasiahnuté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poskytnutia informá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pô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vode rozmnož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 alebo napodobeniny diela, o spô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sobe a rozsahu jej použ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a o slu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poruš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autora vrá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tane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ú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o vlastní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kovi, vydavateľ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vý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robcovi, distributé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rovi, dodá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prijí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odosielateľ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vý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vozcovi alebo predajcovi rozmnož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 alebo napodobeniny diela alebo o poskytovateľ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ieb,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ú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o vydanom, vyrobenom, dodanom, poskytnutom, prijatom, odoslanom, vyvezenom alebo objednanom množ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stve alebo cene rozmnož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diela, napodobeniny diela alebo služ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by,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poskytnutia informá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 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verejnosti spô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 poruš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im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autora vrá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</w:t>
            </w:r>
            <w:r w:rsidRPr="007E0F5A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7E0F5A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o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1. 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uží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 a poskytovateľ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 elektronický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komunikač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a služ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poskytujú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 obsah,</w:t>
            </w:r>
            <w:r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23</w:t>
            </w:r>
            <w:r w:rsidR="00FE7BF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  <w:r w:rsidRPr="007E0F5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2. 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rozsahu použ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diela,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3. 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priamom alebo nepriamom majetkovom prospechu sú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visiacom s taký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poruš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odstrá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nenia ná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sledkov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do 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ná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osoby, ktorá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zasiahla alebo hrozila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sahom, a to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znič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vyhotovenej rozmnož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 alebo napodobeniny diela, jej stiahnutí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 obehu alebo z iné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itia alebo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znič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materiá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lov</w:t>
            </w: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ná</w:t>
            </w: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strojov a pomô</w:t>
            </w: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cok podľ</w:t>
            </w: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60</w:t>
            </w:r>
            <w:r w:rsidRPr="007E0F5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 </w:t>
            </w:r>
            <w:r w:rsidR="00B940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61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vnenom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alebo hrozbe neoprá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sahu, ich stiahnutí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 obehu alebo z iné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itia,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ná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hrady nemajetkovej ujmy podľ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predpisu,</w:t>
            </w: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24</w:t>
            </w:r>
            <w:r w:rsidR="00FE7BF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  <w:r w:rsidRPr="007E0F5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ná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hrady š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kody podľ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predpisu</w:t>
            </w:r>
            <w:r w:rsidRPr="00E921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  <w:r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25</w:t>
            </w:r>
            <w:r w:rsidRPr="00E921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0F5A" w:rsidRPr="007E0F5A" w:rsidP="007E0F5A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vydania bezdô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vodné</w:t>
            </w:r>
            <w:r w:rsidRP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obohatenia.</w:t>
            </w:r>
          </w:p>
          <w:p w:rsidR="006C36CB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RPr="00E92199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23</w:t>
            </w:r>
            <w:r w:rsidRPr="00E921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 pí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zá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308/2000 Z. z. o vysielaní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retransmisii a o zmene zá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195/2000 Z. z. o telekomuniká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 </w:t>
            </w:r>
            <w:r w:rsidRPr="00FC23F9"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 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znení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498/2009 Z. </w:t>
            </w:r>
            <w:r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z.</w:t>
            </w:r>
          </w:p>
          <w:p w:rsidR="006C36CB" w:rsidRPr="00E92199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24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§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442a Obč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ianskeho zá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</w:t>
            </w:r>
            <w:r w:rsidRPr="00FC23F9" w:rsidR="00FC23F9">
              <w:rPr>
                <w:rFonts w:ascii="Times New Roman" w:hAnsi="Times New Roman"/>
              </w:rPr>
              <w:t xml:space="preserve"> </w:t>
            </w:r>
            <w:r w:rsidRPr="00FC23F9"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 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znení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84/2007 Z. z.</w:t>
            </w:r>
          </w:p>
          <w:p w:rsidR="006E3B21" w:rsidRPr="006C36CB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25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§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442 Obč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ianskeho zá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konní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</w:t>
            </w:r>
            <w:r w:rsidRPr="00FC23F9" w:rsidR="00FC23F9">
              <w:rPr>
                <w:rFonts w:ascii="Times New Roman" w:hAnsi="Times New Roman"/>
              </w:rPr>
              <w:t xml:space="preserve"> 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znení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FC23F9" w:rsidR="00FC23F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</w:t>
            </w:r>
            <w:r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6E3B21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roku podľ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58 ods. 1 pí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sa môž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domá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ktorý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zo spoluautorov v mene a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vš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spoluautorov.</w:t>
            </w: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rokov podľ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58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ods. 1 pí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až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i) a odseku 2 sa môž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domá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aj ktorý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zo spoluautorov v mene a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vš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spoluautorov,</w:t>
            </w: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namiesto autora nositeľ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namiesto autora osoba, ktorá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zverejnila anonymné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 alebo pseudonymné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dielo, pri ktorom nemož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urč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totož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autora; to neplatí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 sa autor anonymné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diela alebo pseudonymné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diela, pri ktorom nemož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urč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totož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autora, stane verejne zná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mym a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uplatní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autorstvo k tomuto dielu alebo</w:t>
            </w: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940C9" w:rsidRPr="00B940C9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vo svojom mene a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autora aj organizá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6E3B21" w:rsidRPr="006E3B21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rokov podľ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58 ods. 1 pí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c), f) a 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ods. 2 pri poruš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povinností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 ods. 4 sa môž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 smrti autora domá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ktorá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autorovi blí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zka osoba,</w:t>
            </w:r>
            <w:r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26)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dedič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prí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profesijná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komora alebo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združ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autorov.</w:t>
            </w:r>
          </w:p>
          <w:p w:rsidR="007E0F5A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26</w:t>
            </w:r>
            <w:r w:rsidR="006C36C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) </w:t>
            </w:r>
            <w:r w:rsidRPr="006C36CB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6C36CB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116 Obč</w:t>
            </w:r>
            <w:r w:rsidRPr="006C36CB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ianskeho zá</w:t>
            </w:r>
            <w:r w:rsidRPr="006C36CB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konní</w:t>
            </w:r>
            <w:r w:rsidRPr="006C36CB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</w:t>
            </w:r>
            <w:r w:rsidR="002E434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2E434E" w:rsidRPr="006C36CB" w:rsidP="006E3B2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C23F9" w:rsidR="00FC23F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(1) 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tohto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sa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na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 autora a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osobu, ktorá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 uplynutí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trvania majetkový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zverejní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predtý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nezverejnené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dielo,</w:t>
            </w:r>
            <w:r w:rsidRPr="00B940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dielu, ktoré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bolo zverejnené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umelca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umelecké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ktorý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 podaný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prvý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zaznamenaný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prvý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vysielaný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robcu zvukové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k zvukové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robcu audiovizuá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lnemu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ktorý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 vyrobený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zverejnený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vysielateľ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vysielaniu, ktoré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uskut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očň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vysielateľ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z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zemia Slovenskej republiky, 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autora databá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zy a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zhotoviteľ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databá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zy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databá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ze, ktorá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bola zverejnená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zhotovená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zemia.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Ak je zaruč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jomnosť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medziná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zmlú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dohô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d, ktorý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je Slovenská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republika viazaná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ustanovenia tohto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sa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autora a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osobu, ktorá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 uplynutí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trvania majetkový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zverejní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predtý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nezverejnené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dielo,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dielu, ktoré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bolo zverejnené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ako je Slovenská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republika (ď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t“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iné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 bolo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použ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ité,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umelca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umelecké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ktorý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 podaný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prvý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zaznamenan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prvý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oprá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vysielaný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iné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 bol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použ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itý,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robcu zvukové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k zvukové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a vý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robcu audiovizuá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audiovizuá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emu zá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ktorý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 vyrobený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zverejnený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iné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 bol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použ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B940C9" w:rsidRPr="00B940C9" w:rsidP="00B940C9">
            <w:pPr>
              <w:bidi w:val="0"/>
              <w:spacing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vysielateľ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vo vzť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vysielaniu, ktoré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uskutočň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vysielateľ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z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iné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a je na ú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použ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6E3B21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autora databá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zy a 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zhotoviteľ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databá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zy vo vzť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databá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ze, ktorá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bola zverejnená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zhotovená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iné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alebo z 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iné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 bola na ú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alebo z 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ú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pou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B940C9" w:rsidR="00B940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itá.</w:t>
            </w:r>
          </w:p>
          <w:p w:rsidR="00B940C9" w:rsidRPr="008E4F06" w:rsidP="00B940C9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E3B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</w:t>
            </w:r>
          </w:p>
          <w:p w:rsidR="0035051C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C6884" w:rsidRPr="00CC6884" w:rsidP="0035051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 vý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nimkou ustanovení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nkov 5 a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zahŕň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majiteľ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v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zmysle č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</w:t>
            </w:r>
            <w:r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robiť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povoľ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:</w:t>
            </w:r>
          </w:p>
          <w:p w:rsidR="00CC6884" w:rsidRPr="00CC6884" w:rsidP="0035051C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C688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 tr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doč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rozmnož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eniny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aký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mikoľ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prostriedkami a 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akejkoľ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vek forme,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alebo v celku. Ak si zavedenie, predvedenie, prevá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dzka, prenos alebo</w:t>
            </w:r>
          </w:p>
          <w:p w:rsidR="00CC6884" w:rsidRPr="00CC6884" w:rsidP="0035051C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ulož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počí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vyž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aduje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takú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rozmnož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eninu, na také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ú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 sa vyž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aduje povolenie zo</w:t>
            </w:r>
            <w:r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strany majiteľ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CC6884" w:rsidRPr="00CC6884" w:rsidP="0035051C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b) preklad, 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spracovanie, ú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pravu a kaž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dú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inú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zmenu počí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a 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rozmnož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ovanie 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takto vzniknutý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programov bez toho, aby tý</w:t>
            </w:r>
            <w:r w:rsidRP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boli d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otknuté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osoby, ktorá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mení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CC688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program;</w:t>
            </w:r>
          </w:p>
          <w:p w:rsidR="008E4F06" w:rsidRPr="008E4F06" w:rsidP="0035051C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akú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formu verejné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rozš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 originá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alebo rozmnož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počí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programu 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ná</w:t>
            </w:r>
            <w:r w:rsidRPr="00CC6884" w:rsidR="00CC68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CC68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87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E0F5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E3B21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3B21" w:rsidP="006E3B21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odsek 1 a §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88 a 89 neupravujú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inak, vzť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na počí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a 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autora primerane ustanovenia tejto č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asti.</w:t>
            </w:r>
          </w:p>
          <w:p w:rsidR="0098126F" w:rsidRPr="006E3B21" w:rsidP="006E3B21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Autor má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dielo a 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udeliť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svojho diela.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Dielo je mož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iba so sú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hlasom aut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ora, ak tento zá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neustanovuje inak.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Za použ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má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 prá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odmenu, ak tento zá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v 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tvrtej hlave neustanovuje inak; tý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nie je dotknuté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ustanovenie §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65 ods. 1 druhej vety. 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Použ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 je najmä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spracovanie diela,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sp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ojenie diela s 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dielom, 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zaradenie diela do databá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zy podľ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131,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vyhotovenie rozmnož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eniny diela, 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verejné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alebo rozmnož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prevodom vlastní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ckeho prá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vypož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ič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ná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jmom. 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f) uvedenie diela 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verejnosti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verejný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vystavení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originá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alebo rozmnož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diela,</w:t>
            </w:r>
          </w:p>
          <w:p w:rsidR="0098126F" w:rsidRPr="0098126F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verejný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vykonaní</w:t>
            </w:r>
            <w:r w:rsidRP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diela, </w:t>
            </w:r>
          </w:p>
          <w:p w:rsidR="008E4F06" w:rsidRPr="008E4F06" w:rsidP="0098126F">
            <w:pPr>
              <w:tabs>
                <w:tab w:val="num" w:pos="72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verejný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prenosom diela.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E3B2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rPr>
          <w:trHeight w:val="24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35051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35051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35051C" w:rsidP="0035051C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Prvý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predaj rozmnož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počí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v Spoloč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enstve uskutoč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majiteľ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s jeho sú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hlasom vyč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erpá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verejné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takejto rozmnož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v Spoloč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enstve, s</w:t>
            </w:r>
          </w:p>
          <w:p w:rsidR="0035051C" w:rsidRPr="008E4F06" w:rsidP="0035051C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nimkou prá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kontrolu ď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ieho ná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počí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alebo jeho rozmnož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8E4F06" w:rsidP="0035051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6E3B2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</w:t>
            </w:r>
            <w:r w:rsidR="007E0F5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</w:t>
            </w:r>
            <w:r w:rsidR="006E3B2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6E3B21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8E4F06" w:rsidP="006E3B2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autora udeliť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verejné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 originá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alebo rozmnož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p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očí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prevodom uží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vacieho prá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zaniká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ú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zemie č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alebo zmluvné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prvý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odplatný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prevodom 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originá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 alebo rozmnož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počí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na ú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alebo zmluvné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tu, a to pre originá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rozmnož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 počí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programu, ktorá</w:t>
            </w:r>
            <w:r w:rsidRPr="007E0F5A" w:rsidR="007E0F5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bola predmetom tohto prevodu.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rPr>
          <w:trHeight w:val="24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5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5051C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nie sú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osobitné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zmluvné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ustanovenia, 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 uvedené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4 ods. 1 pí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 b)</w:t>
            </w:r>
            <w:r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nevyž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povolenie majiteľ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ak i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 o ú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 potrebné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použ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počí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programu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nadobú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v sú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so zamýšľ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úč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elom, vrá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opravy chý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5051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89</w:t>
            </w:r>
          </w:p>
          <w:p w:rsidR="005425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5425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891" w:rsidP="00030799">
            <w:pPr>
              <w:tabs>
                <w:tab w:val="left" w:pos="214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 prá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autora počí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programu </w:t>
            </w:r>
            <w:r w:rsidR="000C0E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370C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nezasahuje 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uží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bez sú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hlasu autora počí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70C76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="00370C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ho </w:t>
            </w:r>
            <w:r w:rsidRPr="00370C76" w:rsidR="00370C7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programu  </w:t>
            </w:r>
          </w:p>
          <w:p w:rsidR="008E4F06" w:rsidRPr="007D1891" w:rsidP="007D1891">
            <w:pPr>
              <w:tabs>
                <w:tab w:val="left" w:pos="214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D1891" w:rsidR="007D189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</w:t>
            </w:r>
            <w:r w:rsidR="007D189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ije počí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na úč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riadneho využ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počí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vrá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opravy jeho chý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b, ak nie je dohodnuté</w:t>
            </w:r>
            <w:r w:rsidRPr="007D1891"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</w:t>
            </w:r>
            <w:r w:rsidRPr="007D1891" w:rsid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5051C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Osobe oprá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vnenej použí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počí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sa nesmie zmluvne brá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niť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z</w:t>
            </w:r>
            <w:r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  <w:r w:rsidRPr="0035051C"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neho</w:t>
            </w:r>
            <w:r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vyhotovila zá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rozmnož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eninu, pokiaľ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na také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pou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potrebná.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5051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25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70C7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89</w:t>
            </w:r>
          </w:p>
          <w:p w:rsidR="005425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5425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891" w:rsidP="00030799">
            <w:pPr>
              <w:bidi w:val="0"/>
              <w:spacing w:after="0" w:line="240" w:lineRule="auto"/>
              <w:jc w:val="both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Do prá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va autora počí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 nezasahuje oprá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vnený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uží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vateľ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, ak bez sú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hlasu autora počí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ho programu </w:t>
            </w:r>
          </w:p>
          <w:p w:rsidR="00030799" w:rsidRPr="00030799" w:rsidP="00030799">
            <w:pPr>
              <w:bidi w:val="0"/>
              <w:spacing w:after="0" w:line="240" w:lineRule="auto"/>
              <w:jc w:val="both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  <w:r w:rsidR="007D1891"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  <w:t xml:space="preserve">b) 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vyhotoví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zá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lož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nú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rozmnož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eninu počí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 na úč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el zabezpeč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enia riadneho</w:t>
            </w:r>
            <w:r w:rsidR="000C0EA4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využ</w:t>
            </w:r>
            <w:r w:rsidR="000C0EA4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itia počí</w:t>
            </w:r>
            <w:r w:rsidR="000C0EA4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="000C0EA4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="000C0EA4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programu.</w:t>
            </w:r>
          </w:p>
          <w:p w:rsidR="00542506" w:rsidRPr="008E4F06" w:rsidP="00542506">
            <w:pPr>
              <w:bidi w:val="0"/>
              <w:spacing w:after="0" w:line="240" w:lineRule="auto"/>
              <w:jc w:val="both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35051C">
            <w:pPr>
              <w:widowControl w:val="0"/>
              <w:bidi w:val="0"/>
              <w:spacing w:after="0" w:line="20" w:lineRule="atLeast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Osoba, ktorá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použí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rozmnož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 počí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programu, je oprá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bez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povolenia majiteľ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tento program skú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mať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tudovať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skúš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fungovanie na úč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ely zistenia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lienok a princí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pov, na ktorý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je založ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ktorý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prvok progra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mu, ak tak koná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niektorom z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zavá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dzania, predvedenia, prevá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dzkovania, prenáš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ania aleb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ukladania, ktoré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vykonať.</w:t>
            </w:r>
          </w:p>
          <w:p w:rsidR="0035051C" w:rsidRPr="008E4F06" w:rsidP="0035051C">
            <w:pPr>
              <w:widowControl w:val="0"/>
              <w:bidi w:val="0"/>
              <w:spacing w:after="0" w:line="20" w:lineRule="atLeast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5051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</w:t>
            </w:r>
            <w:r w:rsidR="005425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</w:t>
            </w:r>
          </w:p>
          <w:p w:rsidR="005425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  <w:p w:rsidR="005425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1891" w:rsidP="00030799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Do prá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va autora počí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 nezasahuje oprá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vnený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uží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vateľ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, ak bez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sú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hlasu autora počí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ho programu </w:t>
            </w:r>
          </w:p>
          <w:p w:rsidR="00030799" w:rsidRPr="00030799" w:rsidP="00030799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</w:pPr>
            <w:r w:rsidR="007D1891"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  <w:t xml:space="preserve">c) 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skú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ma, 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tuduje alebo skúš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 funkč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nosť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počí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 na úč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el urč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enia myš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lienky alebo princí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pov, ktoré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sú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zá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kladom akejkoľ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vek 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asti počí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programu, a to poč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as nahr</w:t>
            </w:r>
            <w:r w:rsidR="007D1891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á</w:t>
            </w:r>
            <w:r w:rsidR="007D1891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vania, zobrazovania, prenosu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, overovania funkč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nosti a ukladania počí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 do pamä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te počí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a.</w:t>
            </w:r>
          </w:p>
          <w:p w:rsidR="008E4F06" w:rsidRPr="008E4F06" w:rsidP="00542506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6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35051C" w:rsidP="0035051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Povolenie majiteľ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sa nevyž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aduje tam, kde reprodukcia kó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 alebo preklad jeho formy v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zmysle 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4 ods. 1 pí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 b) sú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nevyhnutné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skanie info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rmá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 potrebnej na dosiahnutie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interoperability nezá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visle vytvorené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počí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s iný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programami pod podmienkou, 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splnené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nasledujú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predpoklady:</w:t>
            </w:r>
          </w:p>
          <w:p w:rsidR="0035051C" w:rsidRPr="0035051C" w:rsidP="0035051C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tieto ú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 uskutočň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nadobú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licencie alebo iná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osoba, ktorá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použí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rozmnož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 počí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programu, alebo osoba oprá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 konať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ich mene;</w:t>
            </w:r>
          </w:p>
          <w:p w:rsidR="0035051C" w:rsidRPr="0035051C" w:rsidP="0035051C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informá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potrebná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dosiahnutie interoperability nebo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osobá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uvedený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 pí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smene a)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skô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ahko a rý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chlo dostupná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</w:t>
            </w:r>
          </w:p>
          <w:p w:rsidR="008E4F06" w:rsidRPr="008E4F06" w:rsidP="0035051C">
            <w:pPr>
              <w:bidi w:val="0"/>
              <w:spacing w:after="0" w:line="240" w:lineRule="auto"/>
              <w:ind w:left="214" w:hanging="214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tieto 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 sú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obmedzené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tie č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pô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gramu, k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potrebné</w:t>
            </w:r>
            <w:r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dosiahnutie </w:t>
            </w:r>
            <w:r w:rsidRPr="0035051C"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interoperability.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</w:t>
            </w:r>
            <w:r w:rsidR="005425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</w:t>
            </w:r>
          </w:p>
          <w:p w:rsidR="005425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5425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jc w:val="both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 prá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autora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nezasahuje oprá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uží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nadobú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licencie k 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programu, ktorý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vyhotoví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bez sú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hlasu autora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rozmnož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 zdrojové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kó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 alebo strojové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kó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alebo jeho 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alebo preloží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formu zdrojové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kó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 alebo strojové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kó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alebo jeho 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asti, v rozsahu nevyhnutnom na zí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skanie informá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cie potrebnej 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dosiahnutie vzá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jomnej súč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s 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nezá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visle vytvorený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programami, ak tá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informá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nebola predtý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bež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dostupná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51C" w:rsidRPr="0035051C" w:rsidP="0035051C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odseku l nedovoľ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informá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zí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ich uplatnení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m:</w:t>
            </w:r>
          </w:p>
          <w:p w:rsidR="0035051C" w:rsidRPr="0035051C" w:rsidP="0035051C">
            <w:pPr>
              <w:widowControl w:val="0"/>
              <w:bidi w:val="0"/>
              <w:spacing w:after="0" w:line="240" w:lineRule="auto"/>
              <w:ind w:left="214" w:hanging="19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 bo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použ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ciele, ako na </w:t>
            </w:r>
            <w:r w:rsidRP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dosiahn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utie interoperability nezá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visle vytvorené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programu;</w:t>
            </w:r>
          </w:p>
          <w:p w:rsidR="0035051C" w:rsidRPr="0035051C" w:rsidP="003D420A">
            <w:pPr>
              <w:widowControl w:val="0"/>
              <w:bidi w:val="0"/>
              <w:spacing w:after="0" w:line="240" w:lineRule="auto"/>
              <w:ind w:left="214" w:hanging="26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3D42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 </w:t>
            </w:r>
            <w:r w:rsidRP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b) b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ola poskytnutá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s 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nimkou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padov, keď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to potrebné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3D42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na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dosiahnutie interoperability 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nezá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visle vytvorené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počí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programu, alebo</w:t>
            </w:r>
          </w:p>
          <w:p w:rsidR="008E4F06" w:rsidRPr="008E4F06" w:rsidP="003D420A">
            <w:pPr>
              <w:widowControl w:val="0"/>
              <w:bidi w:val="0"/>
              <w:spacing w:after="0" w:line="240" w:lineRule="auto"/>
              <w:ind w:left="214" w:hanging="194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bola využ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voj, vý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robu alebo odbyt počí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v podstate podobné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</w:t>
            </w:r>
            <w:r w:rsidR="003D42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  <w:r w:rsidRPr="0035051C" w:rsidR="0035051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jeho</w:t>
            </w:r>
            <w:r w:rsidR="003D42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vyjadrení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na aké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iné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kony, ktoré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poruš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autorské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35051C" w:rsidR="003505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</w:t>
            </w:r>
            <w:r w:rsidR="005425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</w:t>
            </w:r>
          </w:p>
          <w:p w:rsidR="005425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5425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0799" w:rsidRPr="00030799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Informá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ciu zí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skanú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podľ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 predchá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dzajú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cej vety nemož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no použ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iť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na</w:t>
            </w:r>
          </w:p>
          <w:p w:rsidR="00030799" w:rsidRPr="00030799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a) dosiahnutie iné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cieľ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a, ako je dosiahnutie vzá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jomnej súč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innosti nezá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visle vytvorený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ch počí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ový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ch programov,</w:t>
            </w:r>
          </w:p>
          <w:p w:rsidR="00030799" w:rsidRPr="00030799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b) poskytnutie iný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m osobá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m s 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vý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nimkou, ak je to nevyhnutné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na zabezpeč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enie vzá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jomnej súč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innosti nezá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visle vytvorený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ch počí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ový</w:t>
            </w:r>
            <w:r w:rsidRP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ch programov,</w:t>
            </w:r>
          </w:p>
          <w:p w:rsidR="00030799" w:rsidRPr="00030799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</w:pPr>
          </w:p>
          <w:p w:rsidR="00542506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c) zabez</w:t>
            </w:r>
            <w:r w:rsidR="005C5C5F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peč</w:t>
            </w:r>
            <w:r w:rsidR="005C5C5F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enie vý</w:t>
            </w:r>
            <w:r w:rsidR="005C5C5F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voja, vý</w:t>
            </w:r>
            <w:r w:rsidR="005C5C5F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roby alebo 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obchodovanie s počí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ový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m programom, ktorý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je podobný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vo svojom vyjadrení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alebo </w:t>
            </w:r>
            <w:r w:rsidR="005C5C5F"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  <w:t xml:space="preserve">na 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akú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koľ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vek inú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 xml:space="preserve"> č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innosť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, ktorou by sa poruš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ilo prá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vo autora počí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eastAsia="MS Mincho" w:hAnsi="Times New Roman" w:cs="Courier New" w:hint="default"/>
                <w:sz w:val="18"/>
                <w:szCs w:val="18"/>
                <w:lang w:eastAsia="sk-SK"/>
              </w:rPr>
              <w:t>ho programu.</w:t>
            </w:r>
          </w:p>
          <w:p w:rsidR="00030799" w:rsidRPr="008E4F06" w:rsidP="00030799">
            <w:pPr>
              <w:tabs>
                <w:tab w:val="left" w:pos="0"/>
                <w:tab w:val="left" w:pos="342"/>
              </w:tabs>
              <w:bidi w:val="0"/>
              <w:spacing w:after="0" w:line="240" w:lineRule="auto"/>
              <w:rPr>
                <w:rFonts w:ascii="Times New Roman" w:eastAsia="MS Mincho" w:hAnsi="Times New Roman" w:cs="Courier New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ustanoveniami Bernské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doho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voru o ochrane literá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umelecký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nesmú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byť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 tohto č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vykladané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tak, 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dovoľ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aby bol použ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spô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sobom, ktorý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neodô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vodnene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spô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sobuje ujmu oprá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ujmov 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majiteľ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alebo ktorý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v rozpore so zvyč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ajný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využí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počí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89</w:t>
            </w:r>
          </w:p>
          <w:p w:rsidR="005425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126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Osoba</w:t>
            </w:r>
            <w:r w:rsidR="009812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98126F"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uží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 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rozmnož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(ď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uží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vateľ“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), nesmie použí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program v rozpore s bež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využ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a 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nesmie neprimerane zasahovať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prá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 chrá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 autora počí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7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420A" w:rsidRPr="003D420A" w:rsidP="003D420A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D42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Bez toho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boli dotknuté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 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4, 5 a 6, 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enské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v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svojimi 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vnú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tnymi prá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vnymi predpismi ustanovia primerané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prostriedky ná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voč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osobe, ktorá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dopustí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niektoré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 nasledujú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inov:</w:t>
            </w:r>
          </w:p>
          <w:p w:rsidR="003D420A" w:rsidRPr="003D420A" w:rsidP="003D420A">
            <w:pPr>
              <w:widowControl w:val="0"/>
              <w:bidi w:val="0"/>
              <w:spacing w:after="0" w:line="240" w:lineRule="auto"/>
              <w:ind w:left="214" w:hanging="19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kaž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uvedenie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nedovolenej 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rozmnož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počí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do obehu vedome alebo v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domnienke, 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ide o nedovolenú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rozmnož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eninu;</w:t>
            </w:r>
          </w:p>
          <w:p w:rsidR="003D420A" w:rsidRPr="003D420A" w:rsidP="003D420A">
            <w:pPr>
              <w:widowControl w:val="0"/>
              <w:bidi w:val="0"/>
              <w:spacing w:after="0" w:line="240" w:lineRule="auto"/>
              <w:ind w:left="214" w:hanging="194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drž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 nedovolenej rozmnož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počí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na obchodné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vedome alebo v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domnienke, 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ide o nedovolenú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rozmnož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eninu;</w:t>
            </w:r>
          </w:p>
          <w:p w:rsidR="008E4F06" w:rsidRPr="008E4F06" w:rsidP="003D420A">
            <w:pPr>
              <w:widowControl w:val="0"/>
              <w:bidi w:val="0"/>
              <w:spacing w:after="0" w:line="240" w:lineRule="auto"/>
              <w:ind w:left="214" w:hanging="194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kaž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uvedenie do obehu alebo drž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na obchodné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aký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chkoľ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vek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prostriedkov, ktorý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  <w:r w:rsidR="003D42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D420A" w:rsidR="003D42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jedin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zamýšľ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úč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elom je uľ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ahč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neoprá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nené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odstrá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nenie alebo obí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aké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vek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technické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zariadenia, ktoré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 mohlo byť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ochranu počí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2506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E3340" w:rsid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CE3340" w:rsid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58</w:t>
            </w: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126F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F3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F3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60</w:t>
            </w:r>
          </w:p>
          <w:p w:rsidR="00070F33" w:rsidRPr="008E4F06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126F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70F33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Autor, do ktoré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sa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zasiahlo alebo ktoré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hrozí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sah, sa môž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domá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najmä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urč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enia svojho autorstva,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ohrozenia svojho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opakovania také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hoto ohrozenia, a to aj proti poskytovateľ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by, prostrední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ktorej je toto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ohrozené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z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do svojho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 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vrá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zá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zá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podľ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60 a 61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to aj proti poskytovateľ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by, prostred</w:t>
            </w:r>
            <w:r w:rsidR="000C0E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="000C0E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ktorej je do tohto prá</w:t>
            </w:r>
            <w:r w:rsidR="000C0E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zasiahnuté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poskytnutia informá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pô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vode rozmnož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 alebo napodobeniny diela, o spô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sobe a rozsahu jej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a o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poruš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autora vrá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tane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o vlastní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kovi, vydavateľ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vý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robcovi, distributé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rovi, dodá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prijí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odosielateľ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ovi, vý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vozcovi alebo predajcovi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rozmnož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 alebo napodobeniny diela alebo o poskytovateľ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ieb,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o vydanom, vyrobenom, dodanom, poskytnutom, prijatom, odoslanom, vyvezenom alebo objednanom množ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stve alebo cene rozmnož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diela, napodobeniny diela alebo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by,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poskytnutia informá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 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verejnosti spô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 poruš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cim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autora vrá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</w:t>
            </w:r>
            <w:r w:rsidRPr="00030799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030799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o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1. 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uží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 a poskytovateľ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 elektronický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komunikač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a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poskytujú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 obsah,</w:t>
            </w:r>
            <w:r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23</w:t>
            </w:r>
            <w:r w:rsidRP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) 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5C5C5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2. 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rozsahu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diela,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5C5C5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3. </w:t>
            </w:r>
            <w:r w:rsidRP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priamom a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lebo nepriamom majetkovom prospechu sú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visiacom s taký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poruš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odstrá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nenia ná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sledkov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do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ná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osoby, ktorá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zasiahla alebo hrozila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sahom, a to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znič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vyhotovenej rozmnož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 aleb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napodobeniny diela, jej stiahnutí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 obehu alebo z iné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itia alebo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znič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materiá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lov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ná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strojov a pomô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cok podľ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60</w:t>
            </w:r>
            <w:r w:rsidRP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 </w:t>
            </w:r>
            <w:r w:rsidR="0098126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61</w:t>
            </w:r>
            <w:r w:rsidRPr="003F1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3F1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vnenom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alebo hrozbe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sahu, ich stiahnutí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 obehu alebo z iné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itia,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g) 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hrady nemajetkovej ujmy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predpisu,</w:t>
            </w:r>
            <w:r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24</w:t>
            </w:r>
            <w:r w:rsidRP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)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ná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hrady 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kody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predpisu,</w:t>
            </w:r>
            <w:r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25</w:t>
            </w:r>
            <w:r w:rsidRPr="0003079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vydania bezdô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obohatenia.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Informá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pí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d) a 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je povinná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osoba, ktorá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má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drž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 rozmnož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eninu di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ela alebo napodobeninu diela,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využí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poruš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 autora,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poskytuje alebo 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prevá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dzkuje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využí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poruš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autora,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070F33" w:rsidRPr="00070F33" w:rsidP="0003079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bola označ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osobou uvedenou v pí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a) až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c) ako osoba zúč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astnená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vý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robe, spracovaní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lebo distribú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rozmnož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diela, napodobeniny diela, na poskytovaní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prevá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dzkovaní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poruš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prá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autora alebo na sprí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verejnosti spô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 poruš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cim prá</w:t>
            </w:r>
            <w:r w:rsidRPr="00030799" w:rsid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 autora. </w:t>
            </w:r>
          </w:p>
          <w:p w:rsidR="006C36CB" w:rsidP="00070F3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C36CB" w:rsidRPr="00E92199" w:rsidP="00F64FD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23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)§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 pí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zá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308/2000 Z. z. o vysielaní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retransmisii a o zmene zá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195/2000 Z. z. o telekomuniká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 </w:t>
            </w:r>
            <w:r w:rsidRPr="005C5C5F" w:rsidR="005C5C5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 </w:t>
            </w:r>
            <w:r w:rsidRPr="005C5C5F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znení</w:t>
            </w:r>
            <w:r w:rsidRPr="005C5C5F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5C5C5F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5C5C5F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498/2009 Z. z.</w:t>
            </w:r>
          </w:p>
          <w:p w:rsidR="00F64FDB" w:rsidP="00F64FDB">
            <w:pPr>
              <w:bidi w:val="0"/>
              <w:spacing w:after="0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24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§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442a Obč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ianskeho zá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konní</w:t>
            </w:r>
            <w:r w:rsidRPr="00E92199" w:rsidR="006C36C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</w:t>
            </w:r>
            <w:r w:rsidRPr="00F64FDB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 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znení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84/2007 Z. z. </w:t>
            </w:r>
          </w:p>
          <w:p w:rsidR="006C36CB" w:rsidP="00F64FDB">
            <w:pPr>
              <w:bidi w:val="0"/>
              <w:spacing w:after="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92199" w:rsidR="00E92199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25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§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442 Obč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ianskeho zá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konní</w:t>
            </w:r>
            <w:r w:rsidRPr="00E921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</w:t>
            </w:r>
            <w:r w:rsidRPr="00E92199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E92199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E92199" w:rsidR="005C5C5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</w:t>
            </w:r>
            <w:r w:rsidR="00F64FD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070F33" w:rsidP="00070F3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 autorské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neopr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zasahuje ten, kto vedome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 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technologické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na ochranu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 alebo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 nevyhnutnosť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kona.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 autorské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vnene zasahuje aj ten, kto za priamy aleb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nepriamy majetkový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prospech poskytuje služ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alebo vyrá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ba, dováž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a, rozš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</w:t>
            </w:r>
            <w:r w:rsidR="00F64FD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predajom alebo ná</w:t>
            </w:r>
            <w:r w:rsidR="00F64FD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jmom, 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propaguje také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rozš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irovanie, alebo vlastní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zariadenia, vý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robky alebo súč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iastky, ktoré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sú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propagované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ponú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knuté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predaj na 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dzania 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technologický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opatrení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dzania nevyhnutnosti zí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popri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technologický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opatrení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nevyhnutnosti zí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diela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tohto zá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m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="0098126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len obmedzene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obchodný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alebo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itie, alebo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sú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 urč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vyrobené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upravené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vykonané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umož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uľ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dzanie 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technologický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opatrení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obchá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dzanie nevyhnutnosti zí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itie 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diela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kona. </w:t>
            </w: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30799" w:rsidRPr="00030799" w:rsidP="0003079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Technologické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opatrenie </w:t>
            </w:r>
            <w:r w:rsidRPr="00F64FDB" w:rsidR="00F64FD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F64FDB" w:rsidR="00F64FD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tohto zá</w:t>
            </w:r>
            <w:r w:rsidRPr="00F64FDB" w:rsidR="00F64FD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kona 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 aký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postup, vý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robok alebo súč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iastka, ktoré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bež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spô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sobe ich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majú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predchá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obmedziť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zabrá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niť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neoprá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sahu do prá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predmetom ochrany podľ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kona. Za technologické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opatrenie sa považ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uje </w:t>
            </w:r>
            <w:r w:rsidR="00F64FD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aj 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ifrovanie, kó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dovanie alebo iná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prava predmetu ochrany, alebo uplatnenie iné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kontrolné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mechanizmu použ</w:t>
            </w:r>
            <w:r w:rsidRPr="0003079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itia predmetu ochrany. </w:t>
            </w:r>
          </w:p>
          <w:p w:rsidR="00070F33" w:rsidRPr="008E4F06" w:rsidP="00070F3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Nedovolené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rozmnož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počí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tač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programu budú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abavené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vneho poriadku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2506" w:rsidRPr="008E4F06" w:rsidP="005425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</w:pPr>
            <w:r w:rsidRPr="008E4F06" w:rsidR="008E4F06"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  <w:t xml:space="preserve"> 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425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0260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30260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83 a §</w:t>
            </w:r>
            <w:r w:rsidR="0030260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283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300/2005 Z. z. Trestný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v 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znení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</w:t>
            </w:r>
            <w:r w:rsidR="00CE334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ustanoviť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zabavenie aký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chkoľ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ostriedkov uvedený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v odseku 1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pí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c).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074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0260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83 a §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283 zá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300/2005 Z. z. Trestný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v znení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9074FF" w:rsidR="009074F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</w:t>
            </w:r>
            <w:r w:rsidR="00CE334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8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P="003D420A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tejto smernice sa nedotý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iadnych iný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ych ustanovení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vzť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cich sa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najmä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patentové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vo, ochranné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zná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mky, nekalú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súť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obchodné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jomstvo, ochranu polovodič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robkov alebo zmluvné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vo.</w:t>
            </w:r>
          </w:p>
          <w:p w:rsidR="003D420A" w:rsidP="003D420A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3D420A" w:rsidRPr="008E4F06" w:rsidP="003D420A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zmluvné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ustanovenia, ktoré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rozpore s 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nkom 6 a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lebo s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nimkami ustanovený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mi v 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5 ods. 2 a 3, sú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neplatné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poč</w:t>
            </w:r>
            <w:r w:rsidRP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iatku.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074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9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ozná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mia Komisii znenie hlavný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ustanovení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tnych prá</w:t>
            </w:r>
            <w:r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vnych predpisov, 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ktoré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prijmú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oblasti pô</w:t>
            </w:r>
            <w:r w:rsidRPr="003D420A" w:rsidR="003D420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sobnosti tejto smernice.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3D420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074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E4F0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10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0514" w:rsidRPr="00090514" w:rsidP="00090514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Smernica 91/250/EHS, zmenená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doplnená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smernicou uvedenou 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lohe I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A, sa zruš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uje 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toho, aby boli dotknuté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povinnosti č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 tý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l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ehô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na transpozí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smerní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 do 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vnú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ktoré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uvedené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lohe I č</w:t>
            </w:r>
            <w:r w:rsidRP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B.</w:t>
            </w:r>
          </w:p>
          <w:p w:rsidR="00090514" w:rsidP="00090514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E4F06" w:rsidRPr="008E4F06" w:rsidP="00090514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Odkazy na zruš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enú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smernicu sa považ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odkazy na tú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icu a znejú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tabuľ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kou 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zhody uvedenou v prí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lohe II.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09051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074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090514" w:rsidR="0009051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090514" w:rsidR="0009051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</w:t>
            </w:r>
            <w:r w:rsidR="00090514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</w:t>
            </w:r>
            <w:r w:rsidRPr="00090514" w:rsidR="00090514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090514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smernica nadobú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 úč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dvadsiatym dň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po je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 uverejnení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Ú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radnom vestní</w:t>
            </w:r>
            <w:r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ku 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Euró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pskej ú</w:t>
            </w:r>
            <w:r w:rsidRPr="00090514" w:rsidR="0009051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09051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9051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074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3962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="00090514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="00090514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12</w:t>
            </w:r>
          </w:p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smernica je adresovaná</w:t>
            </w:r>
            <w:r w:rsidRP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š</w:t>
            </w:r>
            <w:r w:rsidRP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E4F0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tom.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09051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E4F0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074F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E4F06" w:rsidRPr="008E4F06" w:rsidP="008E4F0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</w:tbl>
    <w:p w:rsidR="007103CB">
      <w:pPr>
        <w:bidi w:val="0"/>
      </w:pPr>
    </w:p>
    <w:sectPr w:rsidSect="008E4F06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onsolas">
    <w:panose1 w:val="00000000000000000000"/>
    <w:charset w:val="EE"/>
    <w:family w:val="modern"/>
    <w:pitch w:val="fixed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387F"/>
    <w:multiLevelType w:val="multilevel"/>
    <w:tmpl w:val="9DECD6A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  <w:rtl w:val="0"/>
        <w:cs w:val="0"/>
      </w:rPr>
    </w:lvl>
  </w:abstractNum>
  <w:abstractNum w:abstractNumId="1">
    <w:nsid w:val="4BFB2CC8"/>
    <w:multiLevelType w:val="hybridMultilevel"/>
    <w:tmpl w:val="1C740C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11437A9"/>
    <w:multiLevelType w:val="multilevel"/>
    <w:tmpl w:val="8C26F28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60F61186"/>
    <w:multiLevelType w:val="multilevel"/>
    <w:tmpl w:val="AF3C081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8E4F06"/>
    <w:rsid w:val="00030799"/>
    <w:rsid w:val="000378EC"/>
    <w:rsid w:val="00070F33"/>
    <w:rsid w:val="00090514"/>
    <w:rsid w:val="000C0EA4"/>
    <w:rsid w:val="0014074A"/>
    <w:rsid w:val="001C3E2B"/>
    <w:rsid w:val="00283355"/>
    <w:rsid w:val="002E434E"/>
    <w:rsid w:val="002F549B"/>
    <w:rsid w:val="00302607"/>
    <w:rsid w:val="00335697"/>
    <w:rsid w:val="0035051C"/>
    <w:rsid w:val="00367BDA"/>
    <w:rsid w:val="00370C76"/>
    <w:rsid w:val="00386AEF"/>
    <w:rsid w:val="003A35FF"/>
    <w:rsid w:val="003D420A"/>
    <w:rsid w:val="003F14B8"/>
    <w:rsid w:val="00476D34"/>
    <w:rsid w:val="004E24C9"/>
    <w:rsid w:val="005266E4"/>
    <w:rsid w:val="00542506"/>
    <w:rsid w:val="00550BE5"/>
    <w:rsid w:val="005856FE"/>
    <w:rsid w:val="005C5C5F"/>
    <w:rsid w:val="006426DE"/>
    <w:rsid w:val="006A4859"/>
    <w:rsid w:val="006C36CB"/>
    <w:rsid w:val="006E3B21"/>
    <w:rsid w:val="007103CB"/>
    <w:rsid w:val="007D1891"/>
    <w:rsid w:val="007D3ABB"/>
    <w:rsid w:val="007E0F5A"/>
    <w:rsid w:val="007F151C"/>
    <w:rsid w:val="00863FAB"/>
    <w:rsid w:val="0087405C"/>
    <w:rsid w:val="00883DFF"/>
    <w:rsid w:val="00893F25"/>
    <w:rsid w:val="008E4F06"/>
    <w:rsid w:val="008F3808"/>
    <w:rsid w:val="009074FF"/>
    <w:rsid w:val="0098126F"/>
    <w:rsid w:val="00A21771"/>
    <w:rsid w:val="00AC5DEB"/>
    <w:rsid w:val="00B16FE7"/>
    <w:rsid w:val="00B70CF1"/>
    <w:rsid w:val="00B7594E"/>
    <w:rsid w:val="00B80FD7"/>
    <w:rsid w:val="00B940C9"/>
    <w:rsid w:val="00BF746C"/>
    <w:rsid w:val="00C666EE"/>
    <w:rsid w:val="00CC6884"/>
    <w:rsid w:val="00CE3340"/>
    <w:rsid w:val="00CE69DF"/>
    <w:rsid w:val="00DE6CBD"/>
    <w:rsid w:val="00E137C3"/>
    <w:rsid w:val="00E92199"/>
    <w:rsid w:val="00EB40B1"/>
    <w:rsid w:val="00EF3C5F"/>
    <w:rsid w:val="00F146DC"/>
    <w:rsid w:val="00F64FDB"/>
    <w:rsid w:val="00F97C2C"/>
    <w:rsid w:val="00FB3B97"/>
    <w:rsid w:val="00FC23F9"/>
    <w:rsid w:val="00FE7B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6C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6E3B21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6E3B21"/>
    <w:rPr>
      <w:rFonts w:cs="Times New Roman"/>
      <w:sz w:val="20"/>
      <w:szCs w:val="20"/>
      <w:rtl w:val="0"/>
      <w:cs w:val="0"/>
    </w:rPr>
  </w:style>
  <w:style w:type="character" w:customStyle="1" w:styleId="ObyajntextChar1">
    <w:name w:val="Obyčajný text Char1"/>
    <w:basedOn w:val="DefaultParagraphFont"/>
    <w:link w:val="PlainText"/>
    <w:uiPriority w:val="99"/>
    <w:locked/>
    <w:rsid w:val="003F14B8"/>
    <w:rPr>
      <w:rFonts w:ascii="Consolas" w:hAnsi="Consolas" w:cs="Times New Roman"/>
      <w:sz w:val="21"/>
      <w:szCs w:val="21"/>
      <w:rtl w:val="0"/>
      <w:cs w:val="0"/>
    </w:rPr>
  </w:style>
  <w:style w:type="paragraph" w:styleId="PlainText">
    <w:name w:val="Plain Text"/>
    <w:basedOn w:val="Normal"/>
    <w:link w:val="ObyajntextChar1"/>
    <w:uiPriority w:val="99"/>
    <w:unhideWhenUsed/>
    <w:rsid w:val="003F14B8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</w:rPr>
  </w:style>
  <w:style w:type="character" w:customStyle="1" w:styleId="ObyajntextChar3">
    <w:name w:val="Obyčajný text Char3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</w:rPr>
  </w:style>
  <w:style w:type="character" w:customStyle="1" w:styleId="ObyajntextChar2">
    <w:name w:val="Obyčajný text Char2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7D1891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7E0F5A"/>
    <w:rPr>
      <w:rFonts w:cs="Times New Roman"/>
      <w:color w:val="0000FF" w:themeColor="hlink" w:themeShade="FF"/>
      <w:u w:val="single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6E3B21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F5C6-F3C7-4324-B236-E65AB15C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15</Pages>
  <Words>4095</Words>
  <Characters>23347</Characters>
  <Application>Microsoft Office Word</Application>
  <DocSecurity>0</DocSecurity>
  <Lines>0</Lines>
  <Paragraphs>0</Paragraphs>
  <ScaleCrop>false</ScaleCrop>
  <Company>MKSR</Company>
  <LinksUpToDate>false</LinksUpToDate>
  <CharactersWithSpaces>27388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 Jakub</dc:creator>
  <cp:lastModifiedBy>Slovák Jakub</cp:lastModifiedBy>
  <cp:revision>6</cp:revision>
  <dcterms:created xsi:type="dcterms:W3CDTF">2015-04-09T12:43:00Z</dcterms:created>
  <dcterms:modified xsi:type="dcterms:W3CDTF">2015-04-13T10:51:00Z</dcterms:modified>
</cp:coreProperties>
</file>