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585E" w:rsidRPr="004F6B01" w:rsidP="0006723A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4F6B01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F585E" w:rsidRPr="004F6B01" w:rsidP="0006723A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CF585E" w:rsidRPr="004F6B01" w:rsidP="0006723A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4F6B01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CF585E" w:rsidRPr="004F6B01" w:rsidP="0006723A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CF585E" w:rsidRPr="004F6B01" w:rsidP="0006723A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CF585E" w:rsidRPr="004F6B01" w:rsidP="0006723A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4F6B01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CF585E" w:rsidRPr="004F6B01" w:rsidP="0006723A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CF585E" w:rsidRPr="004F6B01" w:rsidP="0006723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F6B01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CF585E" w:rsidRPr="004F6B01" w:rsidP="0006723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F585E" w:rsidRPr="004F6B01" w:rsidP="0006723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F6B01">
        <w:rPr>
          <w:rFonts w:ascii="Book Antiqua" w:hAnsi="Book Antiqua"/>
          <w:sz w:val="22"/>
          <w:szCs w:val="22"/>
        </w:rPr>
        <w:t>z ... 2015,</w:t>
      </w:r>
    </w:p>
    <w:p w:rsidR="00CF585E" w:rsidRPr="004F6B01" w:rsidP="0006723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F585E" w:rsidRPr="004F6B01" w:rsidP="0006723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F6B01">
        <w:rPr>
          <w:rFonts w:ascii="Book Antiqua" w:hAnsi="Book Antiqua"/>
          <w:b/>
          <w:bCs/>
          <w:sz w:val="22"/>
          <w:szCs w:val="22"/>
        </w:rPr>
        <w:t>ktorým sa dopĺňa zákon č. 461/ 2003 Z. z. o sociálnom poiste</w:t>
      </w:r>
      <w:r w:rsidRPr="004F6B01" w:rsidR="0006723A">
        <w:rPr>
          <w:rFonts w:ascii="Book Antiqua" w:hAnsi="Book Antiqua"/>
          <w:b/>
          <w:bCs/>
          <w:sz w:val="22"/>
          <w:szCs w:val="22"/>
        </w:rPr>
        <w:t>ní v znení neskorších predpisov</w:t>
      </w:r>
    </w:p>
    <w:p w:rsidR="00CF585E" w:rsidRPr="004F6B01" w:rsidP="0006723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F585E" w:rsidRPr="004F6B01" w:rsidP="0006723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F6B01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CF585E" w:rsidRPr="004F6B01" w:rsidP="0006723A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CF585E" w:rsidRPr="004F6B01" w:rsidP="0006723A">
      <w:pPr>
        <w:pStyle w:val="Nadpis3Podloha"/>
        <w:numPr>
          <w:ilvl w:val="0"/>
          <w:numId w:val="0"/>
        </w:numPr>
        <w:tabs>
          <w:tab w:val="clear" w:pos="1418"/>
          <w:tab w:val="left" w:pos="4253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4F6B01">
        <w:rPr>
          <w:rFonts w:ascii="Book Antiqua" w:hAnsi="Book Antiqua"/>
          <w:b/>
          <w:bCs/>
          <w:sz w:val="22"/>
          <w:szCs w:val="22"/>
        </w:rPr>
        <w:t>Čl. I</w:t>
      </w:r>
    </w:p>
    <w:p w:rsidR="00CF585E" w:rsidRPr="004F6B01" w:rsidP="0006723A">
      <w:pPr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F6B01">
        <w:rPr>
          <w:rFonts w:ascii="Book Antiqua" w:hAnsi="Book Antiqua"/>
          <w:sz w:val="22"/>
          <w:szCs w:val="22"/>
        </w:rPr>
        <w:t xml:space="preserve">Zákon č. 461/2003 Z. z. o sociálnom poistení v znení zákona č. 551/2003 Z. z., zákona č. 600/2003 Z. z., zákona č. 5/2004 Z. z., zákona č. 43/2004 Z. z., zákona č. 186/2004 Z. z., zákona č. 365/2004 Z. z., zákona č. 391/2004 Z. z., zákona č. 439/2004 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zákona č. 592/2006 Z. z., zákona č. 677/2006 Z. z., zákona č. 274/2007 Z. z., zákona č. 519/2007 Z. z., zákona č. 555/2007 Z. z., zákona č. 659/2007 Z. z., nálezu Ústavného súdu Slovenskej republiky č. 204/2008 Z. z., zákona č. 434/2008 Z. z., zákona č. 449/2008 Z. z., zákona č. 599/2008 Z. z., zákona č. 108/2009 Z. z., zákona č. 192/2009 Z. z., zákona č. 200/2009 Z. z., zákona č. 285/2009 Z. z., zákona č. 571/2009  Z. z., zákona č. 572/2009 Z. z., zákona č. 52/2010 Z. z., zákona č. 151/2010 Z. z., zákona č. 403/2010 Z. z., zákona č. 543/2010 Z. z., zákona č. 125/2011 Z. z., zákona č. 223/2011 Z. z., zákona č. 250/2011 Z. z., zákona č. 334/2011 Z. z., zákona č. 348/2011 Z. z., zákona č. 521/2011 Z. z., zákona č. 69/2012 Z. z., zákona č. 252/2012 Z. z., zákona č. 413/2012 Z. z., zákona č. 96/2013 Z. z., zákona č. 338/2013, zákona č. 352/2013 Z. z., zákona č. 183/2014 Z. z., zákona </w:t>
      </w:r>
      <w:r w:rsidRPr="004F6B01" w:rsidR="0006723A">
        <w:rPr>
          <w:rFonts w:ascii="Book Antiqua" w:hAnsi="Book Antiqua"/>
          <w:sz w:val="22"/>
          <w:szCs w:val="22"/>
        </w:rPr>
        <w:t xml:space="preserve">              </w:t>
      </w:r>
      <w:r w:rsidRPr="004F6B01">
        <w:rPr>
          <w:rFonts w:ascii="Book Antiqua" w:hAnsi="Book Antiqua"/>
          <w:sz w:val="22"/>
          <w:szCs w:val="22"/>
        </w:rPr>
        <w:t>č. 195/2014 Z. z., zákona č. 204/2014 Z. z., zákona č. 240/2014 Z. z. a zákona č. 298/2014 Z. z. sa dopĺňa takto:</w:t>
      </w:r>
    </w:p>
    <w:p w:rsidR="00CF585E" w:rsidRPr="004F6B01" w:rsidP="0006723A">
      <w:pPr>
        <w:bidi w:val="0"/>
        <w:spacing w:before="120" w:line="276" w:lineRule="auto"/>
        <w:ind w:left="502"/>
        <w:rPr>
          <w:rFonts w:ascii="Book Antiqua" w:hAnsi="Book Antiqua"/>
          <w:sz w:val="22"/>
          <w:szCs w:val="22"/>
        </w:rPr>
      </w:pPr>
    </w:p>
    <w:p w:rsidR="00CF585E" w:rsidRPr="004F6B01" w:rsidP="0006723A">
      <w:pPr>
        <w:pStyle w:val="ListParagraph"/>
        <w:bidi w:val="0"/>
        <w:spacing w:before="120" w:after="0"/>
        <w:ind w:left="426"/>
        <w:contextualSpacing w:val="0"/>
        <w:jc w:val="both"/>
        <w:rPr>
          <w:rFonts w:ascii="Book Antiqua" w:hAnsi="Book Antiqua"/>
          <w:lang w:eastAsia="sk-SK"/>
        </w:rPr>
      </w:pPr>
      <w:r w:rsidRPr="004F6B01" w:rsidR="004F6B01">
        <w:rPr>
          <w:rFonts w:ascii="Book Antiqua" w:hAnsi="Book Antiqua" w:hint="default"/>
          <w:lang w:eastAsia="sk-SK"/>
        </w:rPr>
        <w:t>Za §</w:t>
      </w:r>
      <w:r w:rsidRPr="004F6B01" w:rsidR="004F6B01">
        <w:rPr>
          <w:rFonts w:ascii="Book Antiqua" w:hAnsi="Book Antiqua" w:hint="default"/>
          <w:lang w:eastAsia="sk-SK"/>
        </w:rPr>
        <w:t xml:space="preserve"> 293di sa vkladajú</w:t>
      </w:r>
      <w:r w:rsidRPr="004F6B01">
        <w:rPr>
          <w:rFonts w:ascii="Book Antiqua" w:hAnsi="Book Antiqua" w:hint="default"/>
          <w:lang w:eastAsia="sk-SK"/>
        </w:rPr>
        <w:t xml:space="preserve"> §</w:t>
      </w:r>
      <w:r w:rsidRPr="004F6B01">
        <w:rPr>
          <w:rFonts w:ascii="Book Antiqua" w:hAnsi="Book Antiqua" w:hint="default"/>
          <w:lang w:eastAsia="sk-SK"/>
        </w:rPr>
        <w:t xml:space="preserve"> 293dj</w:t>
      </w:r>
      <w:r w:rsidRPr="004F6B01" w:rsidR="004F6B01">
        <w:rPr>
          <w:rFonts w:ascii="Book Antiqua" w:hAnsi="Book Antiqua" w:hint="default"/>
          <w:lang w:eastAsia="sk-SK"/>
        </w:rPr>
        <w:t xml:space="preserve"> a §</w:t>
      </w:r>
      <w:r w:rsidRPr="004F6B01" w:rsidR="004F6B01">
        <w:rPr>
          <w:rFonts w:ascii="Book Antiqua" w:hAnsi="Book Antiqua" w:hint="default"/>
          <w:lang w:eastAsia="sk-SK"/>
        </w:rPr>
        <w:t xml:space="preserve"> 293dk, ktoré</w:t>
      </w:r>
      <w:r w:rsidRPr="004F6B01" w:rsidR="004F6B01">
        <w:rPr>
          <w:rFonts w:ascii="Book Antiqua" w:hAnsi="Book Antiqua" w:hint="default"/>
          <w:lang w:eastAsia="sk-SK"/>
        </w:rPr>
        <w:t xml:space="preserve"> vrá</w:t>
      </w:r>
      <w:r w:rsidRPr="004F6B01" w:rsidR="004F6B01">
        <w:rPr>
          <w:rFonts w:ascii="Book Antiqua" w:hAnsi="Book Antiqua" w:hint="default"/>
          <w:lang w:eastAsia="sk-SK"/>
        </w:rPr>
        <w:t>tane nadpisu zn</w:t>
      </w:r>
      <w:r w:rsidRPr="004F6B01">
        <w:rPr>
          <w:rFonts w:ascii="Book Antiqua" w:hAnsi="Book Antiqua"/>
          <w:lang w:eastAsia="sk-SK"/>
        </w:rPr>
        <w:t>e</w:t>
      </w:r>
      <w:r w:rsidRPr="004F6B01" w:rsidR="004F6B01">
        <w:rPr>
          <w:rFonts w:ascii="Book Antiqua" w:hAnsi="Book Antiqua" w:hint="default"/>
          <w:lang w:eastAsia="sk-SK"/>
        </w:rPr>
        <w:t>jú</w:t>
      </w:r>
      <w:r w:rsidRPr="004F6B01">
        <w:rPr>
          <w:rFonts w:ascii="Book Antiqua" w:hAnsi="Book Antiqua"/>
          <w:lang w:eastAsia="sk-SK"/>
        </w:rPr>
        <w:t>:</w:t>
      </w:r>
    </w:p>
    <w:p w:rsidR="005500B0" w:rsidP="005500B0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F6B01" w:rsidR="00CF585E">
        <w:rPr>
          <w:rFonts w:ascii="Book Antiqua" w:hAnsi="Book Antiqua"/>
          <w:sz w:val="22"/>
          <w:szCs w:val="22"/>
        </w:rPr>
        <w:t>„</w:t>
      </w:r>
      <w:r w:rsidRPr="004F6B01">
        <w:rPr>
          <w:rFonts w:ascii="Book Antiqua" w:hAnsi="Book Antiqua"/>
          <w:b/>
          <w:sz w:val="22"/>
          <w:szCs w:val="22"/>
        </w:rPr>
        <w:t xml:space="preserve">Prechodné ustanovenia </w:t>
      </w:r>
    </w:p>
    <w:p w:rsidR="005500B0" w:rsidRPr="004F6B01" w:rsidP="005500B0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F6B01">
        <w:rPr>
          <w:rFonts w:ascii="Book Antiqua" w:hAnsi="Book Antiqua"/>
          <w:b/>
          <w:sz w:val="22"/>
          <w:szCs w:val="22"/>
        </w:rPr>
        <w:t>k úpravám účinným od 1. augusta 2015</w:t>
      </w:r>
    </w:p>
    <w:p w:rsidR="0006723A" w:rsidRPr="004F6B01" w:rsidP="005500B0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F6B01">
        <w:rPr>
          <w:rFonts w:ascii="Book Antiqua" w:hAnsi="Book Antiqua"/>
          <w:b/>
          <w:sz w:val="22"/>
          <w:szCs w:val="22"/>
        </w:rPr>
        <w:t>§ 293dj</w:t>
      </w:r>
    </w:p>
    <w:p w:rsidR="0006723A" w:rsidRPr="004F6B01" w:rsidP="005500B0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4F6B01">
        <w:rPr>
          <w:rFonts w:ascii="Book Antiqua" w:hAnsi="Book Antiqua"/>
          <w:sz w:val="22"/>
          <w:szCs w:val="22"/>
        </w:rPr>
        <w:t>(1)</w:t>
        <w:tab/>
      </w:r>
      <w:r w:rsidRPr="004F6B01" w:rsidR="00CF585E">
        <w:rPr>
          <w:rFonts w:ascii="Book Antiqua" w:hAnsi="Book Antiqua"/>
          <w:sz w:val="22"/>
          <w:szCs w:val="22"/>
        </w:rPr>
        <w:t>Vdovec, ktorého manželka zomrela pred 1. januárom 2004 a bol mu priznaný vdovecký dôchodok podľa predpisov účinných do 31. decembra 2003 a ná</w:t>
      </w:r>
      <w:r w:rsidRPr="004F6B01" w:rsidR="009F1092">
        <w:rPr>
          <w:rFonts w:ascii="Book Antiqua" w:hAnsi="Book Antiqua"/>
          <w:sz w:val="22"/>
          <w:szCs w:val="22"/>
        </w:rPr>
        <w:t xml:space="preserve">rok na tento vdovecký dôchodok </w:t>
      </w:r>
      <w:r w:rsidRPr="004F6B01" w:rsidR="00CF585E">
        <w:rPr>
          <w:rFonts w:ascii="Book Antiqua" w:hAnsi="Book Antiqua"/>
          <w:sz w:val="22"/>
          <w:szCs w:val="22"/>
        </w:rPr>
        <w:t xml:space="preserve">mu zanikol po 1. januári 2004, má </w:t>
      </w:r>
      <w:r w:rsidRPr="004F6B01" w:rsidR="004F6B01">
        <w:rPr>
          <w:rFonts w:ascii="Book Antiqua" w:hAnsi="Book Antiqua"/>
          <w:sz w:val="22"/>
          <w:szCs w:val="22"/>
        </w:rPr>
        <w:t xml:space="preserve">na základe žiadosti </w:t>
      </w:r>
      <w:r w:rsidRPr="004F6B01" w:rsidR="00CF585E">
        <w:rPr>
          <w:rFonts w:ascii="Book Antiqua" w:hAnsi="Book Antiqua"/>
          <w:sz w:val="22"/>
          <w:szCs w:val="22"/>
        </w:rPr>
        <w:t>nárok na vdovecký dôchodok po manželke, ak vychoval aspoň tri deti alebo dovŕšil vek 52 rokov a vychoval dve deti a</w:t>
      </w:r>
      <w:r w:rsidRPr="004F6B01">
        <w:rPr>
          <w:rFonts w:ascii="Book Antiqua" w:hAnsi="Book Antiqua"/>
          <w:sz w:val="22"/>
          <w:szCs w:val="22"/>
        </w:rPr>
        <w:t> </w:t>
      </w:r>
      <w:r w:rsidRPr="004F6B01" w:rsidR="00CF585E">
        <w:rPr>
          <w:rFonts w:ascii="Book Antiqua" w:hAnsi="Book Antiqua"/>
          <w:sz w:val="22"/>
          <w:szCs w:val="22"/>
        </w:rPr>
        <w:t>manželka</w:t>
      </w:r>
    </w:p>
    <w:p w:rsidR="0006723A" w:rsidRPr="004F6B01" w:rsidP="005500B0">
      <w:pPr>
        <w:bidi w:val="0"/>
        <w:spacing w:before="12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4F6B01">
        <w:rPr>
          <w:rFonts w:ascii="Book Antiqua" w:hAnsi="Book Antiqua"/>
          <w:sz w:val="22"/>
          <w:szCs w:val="22"/>
        </w:rPr>
        <w:t>a)</w:t>
        <w:tab/>
      </w:r>
      <w:r w:rsidRPr="004F6B01" w:rsidR="00CF585E">
        <w:rPr>
          <w:rFonts w:ascii="Book Antiqua" w:hAnsi="Book Antiqua"/>
          <w:sz w:val="22"/>
          <w:szCs w:val="22"/>
        </w:rPr>
        <w:t>ku dňu smrti bola poberateľkou starobného dôchodku, pomerného starobného dôchodku, invalidného dôchodku, čiastočného invalidného dôchodku alebo dôchodku za výsluhu rokov,</w:t>
      </w:r>
    </w:p>
    <w:p w:rsidR="0006723A" w:rsidRPr="004F6B01" w:rsidP="005500B0">
      <w:pPr>
        <w:bidi w:val="0"/>
        <w:spacing w:before="12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4F6B01">
        <w:rPr>
          <w:rFonts w:ascii="Book Antiqua" w:hAnsi="Book Antiqua"/>
          <w:sz w:val="22"/>
          <w:szCs w:val="22"/>
        </w:rPr>
        <w:t>b)</w:t>
        <w:tab/>
      </w:r>
      <w:r w:rsidRPr="004F6B01" w:rsidR="00CF585E">
        <w:rPr>
          <w:rFonts w:ascii="Book Antiqua" w:hAnsi="Book Antiqua"/>
          <w:sz w:val="22"/>
          <w:szCs w:val="22"/>
        </w:rPr>
        <w:t>ku dňu smrti splnila podmienky nároku na starobný dôchodok, pomerný starobný dôchodok alebo získala dobu zamestnania na nárok na invalidný dôchodok alebo dôchodok za výsluhu rokov, alebo</w:t>
      </w:r>
    </w:p>
    <w:p w:rsidR="0006723A" w:rsidRPr="004F6B01" w:rsidP="005500B0">
      <w:pPr>
        <w:bidi w:val="0"/>
        <w:spacing w:before="12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4F6B01">
        <w:rPr>
          <w:rFonts w:ascii="Book Antiqua" w:hAnsi="Book Antiqua"/>
          <w:sz w:val="22"/>
          <w:szCs w:val="22"/>
        </w:rPr>
        <w:t>c)</w:t>
        <w:tab/>
      </w:r>
      <w:r w:rsidRPr="004F6B01" w:rsidR="00CF585E">
        <w:rPr>
          <w:rFonts w:ascii="Book Antiqua" w:hAnsi="Book Antiqua"/>
          <w:sz w:val="22"/>
          <w:szCs w:val="22"/>
        </w:rPr>
        <w:t>zomrela v dôsledku pracovného úrazu alebo choroby z povolania.</w:t>
      </w:r>
    </w:p>
    <w:p w:rsidR="0006723A" w:rsidRPr="004F6B01" w:rsidP="005500B0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4F6B01">
        <w:rPr>
          <w:rFonts w:ascii="Book Antiqua" w:hAnsi="Book Antiqua"/>
          <w:sz w:val="22"/>
          <w:szCs w:val="22"/>
        </w:rPr>
        <w:t xml:space="preserve">(2) </w:t>
        <w:tab/>
      </w:r>
      <w:r w:rsidRPr="00263254" w:rsidR="00CF585E">
        <w:rPr>
          <w:rFonts w:ascii="Book Antiqua" w:hAnsi="Book Antiqua"/>
          <w:sz w:val="22"/>
          <w:szCs w:val="22"/>
        </w:rPr>
        <w:t xml:space="preserve">Suma vdoveckého dôchodku </w:t>
      </w:r>
      <w:r w:rsidRPr="00263254" w:rsidR="00266A83">
        <w:rPr>
          <w:rFonts w:ascii="Book Antiqua" w:hAnsi="Book Antiqua"/>
          <w:sz w:val="22"/>
          <w:szCs w:val="22"/>
        </w:rPr>
        <w:t>sa vypočíta tak, že suma</w:t>
      </w:r>
      <w:r w:rsidRPr="00263254" w:rsidR="009C36D9">
        <w:rPr>
          <w:rFonts w:ascii="Book Antiqua" w:hAnsi="Book Antiqua"/>
          <w:sz w:val="22"/>
          <w:szCs w:val="22"/>
        </w:rPr>
        <w:t xml:space="preserve"> podľa </w:t>
      </w:r>
      <w:r w:rsidRPr="00263254" w:rsidR="001C6BF0">
        <w:rPr>
          <w:rFonts w:ascii="Book Antiqua" w:hAnsi="Book Antiqua"/>
          <w:sz w:val="22"/>
          <w:szCs w:val="22"/>
        </w:rPr>
        <w:t xml:space="preserve">§ </w:t>
      </w:r>
      <w:r w:rsidRPr="00263254" w:rsidR="00266A83">
        <w:rPr>
          <w:rFonts w:ascii="Book Antiqua" w:hAnsi="Book Antiqua"/>
          <w:sz w:val="22"/>
          <w:szCs w:val="22"/>
        </w:rPr>
        <w:t>293n ods. 3 prepočítaná</w:t>
      </w:r>
      <w:r w:rsidRPr="00263254" w:rsidR="001C6BF0">
        <w:rPr>
          <w:rFonts w:ascii="Book Antiqua" w:hAnsi="Book Antiqua"/>
          <w:sz w:val="22"/>
          <w:szCs w:val="22"/>
        </w:rPr>
        <w:t xml:space="preserve"> na sumu v eurách podľa § 293ar </w:t>
      </w:r>
      <w:r w:rsidRPr="00263254" w:rsidR="00266A83">
        <w:rPr>
          <w:rFonts w:ascii="Book Antiqua" w:hAnsi="Book Antiqua"/>
          <w:sz w:val="22"/>
          <w:szCs w:val="22"/>
        </w:rPr>
        <w:t>sa upraví podľa odsekov 3 a 4</w:t>
      </w:r>
      <w:r w:rsidRPr="00263254" w:rsidR="001C6BF0">
        <w:rPr>
          <w:rFonts w:ascii="Book Antiqua" w:hAnsi="Book Antiqua"/>
          <w:sz w:val="22"/>
          <w:szCs w:val="22"/>
        </w:rPr>
        <w:t xml:space="preserve"> za obdobie od 1. augusta 2006</w:t>
      </w:r>
      <w:r w:rsidRPr="00263254" w:rsidR="00266A83">
        <w:rPr>
          <w:rFonts w:ascii="Book Antiqua" w:hAnsi="Book Antiqua"/>
          <w:sz w:val="22"/>
          <w:szCs w:val="22"/>
        </w:rPr>
        <w:t xml:space="preserve"> do dňa, kedy vznikol nárok na vdovecký dôchodok podľa odseku 6.</w:t>
      </w:r>
    </w:p>
    <w:p w:rsidR="0006723A" w:rsidRPr="004F6B01" w:rsidP="005500B0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4F6B01" w:rsidR="00266A83">
        <w:rPr>
          <w:rFonts w:ascii="Book Antiqua" w:hAnsi="Book Antiqua"/>
          <w:sz w:val="22"/>
          <w:szCs w:val="22"/>
        </w:rPr>
        <w:t>(3</w:t>
      </w:r>
      <w:r w:rsidRPr="004F6B01">
        <w:rPr>
          <w:rFonts w:ascii="Book Antiqua" w:hAnsi="Book Antiqua"/>
          <w:sz w:val="22"/>
          <w:szCs w:val="22"/>
        </w:rPr>
        <w:t>)</w:t>
        <w:tab/>
      </w:r>
      <w:r w:rsidRPr="004F6B01" w:rsidR="00CF585E">
        <w:rPr>
          <w:rFonts w:ascii="Book Antiqua" w:hAnsi="Book Antiqua"/>
          <w:sz w:val="22"/>
          <w:szCs w:val="22"/>
        </w:rPr>
        <w:t>Na zvyšovanie vdoveckého dôchodku platí § 82 rovnako.</w:t>
      </w:r>
    </w:p>
    <w:p w:rsidR="0006723A" w:rsidRPr="004F6B01" w:rsidP="005500B0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4F6B01" w:rsidR="00266A83">
        <w:rPr>
          <w:rFonts w:ascii="Book Antiqua" w:hAnsi="Book Antiqua"/>
          <w:sz w:val="22"/>
          <w:szCs w:val="22"/>
        </w:rPr>
        <w:t>(4</w:t>
      </w:r>
      <w:r w:rsidRPr="004F6B01">
        <w:rPr>
          <w:rFonts w:ascii="Book Antiqua" w:hAnsi="Book Antiqua"/>
          <w:sz w:val="22"/>
          <w:szCs w:val="22"/>
        </w:rPr>
        <w:t>)</w:t>
        <w:tab/>
      </w:r>
      <w:r w:rsidRPr="004F6B01" w:rsidR="00CF585E">
        <w:rPr>
          <w:rFonts w:ascii="Book Antiqua" w:hAnsi="Book Antiqua"/>
          <w:sz w:val="22"/>
          <w:szCs w:val="22"/>
        </w:rPr>
        <w:t>Pri súbehu nárokov na výplatu vdoveckého dôchodku s inou dôchodkovou dávkou platí § 81 ods. 2 až 5 rovnako.</w:t>
      </w:r>
    </w:p>
    <w:p w:rsidR="0006723A" w:rsidRPr="004F6B01" w:rsidP="005500B0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4F6B01" w:rsidR="00266A83">
        <w:rPr>
          <w:rFonts w:ascii="Book Antiqua" w:hAnsi="Book Antiqua"/>
          <w:sz w:val="22"/>
          <w:szCs w:val="22"/>
        </w:rPr>
        <w:t>(5</w:t>
      </w:r>
      <w:r w:rsidRPr="004F6B01">
        <w:rPr>
          <w:rFonts w:ascii="Book Antiqua" w:hAnsi="Book Antiqua"/>
          <w:sz w:val="22"/>
          <w:szCs w:val="22"/>
        </w:rPr>
        <w:t>)</w:t>
        <w:tab/>
      </w:r>
      <w:r w:rsidRPr="004F6B01" w:rsidR="00CF585E">
        <w:rPr>
          <w:rFonts w:ascii="Book Antiqua" w:hAnsi="Book Antiqua"/>
          <w:sz w:val="22"/>
          <w:szCs w:val="22"/>
        </w:rPr>
        <w:t>Vdovec nemá nárok na vdove</w:t>
      </w:r>
      <w:r w:rsidRPr="004F6B01">
        <w:rPr>
          <w:rFonts w:ascii="Book Antiqua" w:hAnsi="Book Antiqua"/>
          <w:sz w:val="22"/>
          <w:szCs w:val="22"/>
        </w:rPr>
        <w:t>cký dôchodok podľa odseku 1, ak</w:t>
      </w:r>
    </w:p>
    <w:p w:rsidR="0006723A" w:rsidRPr="004F6B01" w:rsidP="005500B0">
      <w:pPr>
        <w:bidi w:val="0"/>
        <w:spacing w:before="120" w:line="276" w:lineRule="auto"/>
        <w:ind w:left="1134" w:hanging="283"/>
        <w:jc w:val="both"/>
        <w:rPr>
          <w:rFonts w:ascii="Book Antiqua" w:hAnsi="Book Antiqua"/>
          <w:sz w:val="22"/>
          <w:szCs w:val="22"/>
          <w:vertAlign w:val="superscript"/>
        </w:rPr>
      </w:pPr>
      <w:r w:rsidRPr="004F6B01">
        <w:rPr>
          <w:rFonts w:ascii="Book Antiqua" w:hAnsi="Book Antiqua"/>
          <w:sz w:val="22"/>
          <w:szCs w:val="22"/>
        </w:rPr>
        <w:t xml:space="preserve">a) </w:t>
        <w:tab/>
      </w:r>
      <w:r w:rsidRPr="004F6B01" w:rsidR="00CF585E">
        <w:rPr>
          <w:rFonts w:ascii="Book Antiqua" w:hAnsi="Book Antiqua"/>
          <w:sz w:val="22"/>
          <w:szCs w:val="22"/>
        </w:rPr>
        <w:t>má nárok na vdovecký výsluhový dôchodok alebo vdovecký dôchodok podľa osobitného predpisu,</w:t>
      </w:r>
      <w:r w:rsidRPr="004F6B01" w:rsidR="00CF585E">
        <w:rPr>
          <w:rFonts w:ascii="Book Antiqua" w:hAnsi="Book Antiqua"/>
          <w:sz w:val="22"/>
          <w:szCs w:val="22"/>
          <w:vertAlign w:val="superscript"/>
        </w:rPr>
        <w:t>2)</w:t>
      </w:r>
    </w:p>
    <w:p w:rsidR="0006723A" w:rsidRPr="004F6B01" w:rsidP="005500B0">
      <w:pPr>
        <w:bidi w:val="0"/>
        <w:spacing w:before="12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4F6B01">
        <w:rPr>
          <w:rFonts w:ascii="Book Antiqua" w:hAnsi="Book Antiqua"/>
          <w:sz w:val="22"/>
          <w:szCs w:val="22"/>
        </w:rPr>
        <w:t>b)</w:t>
        <w:tab/>
      </w:r>
      <w:r w:rsidRPr="004F6B01" w:rsidR="00CF585E">
        <w:rPr>
          <w:rFonts w:ascii="Book Antiqua" w:hAnsi="Book Antiqua"/>
          <w:sz w:val="22"/>
          <w:szCs w:val="22"/>
        </w:rPr>
        <w:t>uzatvoril manželstvo alebo</w:t>
      </w:r>
    </w:p>
    <w:p w:rsidR="0006723A" w:rsidRPr="004F6B01" w:rsidP="005500B0">
      <w:pPr>
        <w:bidi w:val="0"/>
        <w:spacing w:before="12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4F6B01">
        <w:rPr>
          <w:rFonts w:ascii="Book Antiqua" w:hAnsi="Book Antiqua"/>
          <w:sz w:val="22"/>
          <w:szCs w:val="22"/>
        </w:rPr>
        <w:t>c)</w:t>
        <w:tab/>
      </w:r>
      <w:r w:rsidRPr="004F6B01" w:rsidR="00CF585E">
        <w:rPr>
          <w:rFonts w:ascii="Book Antiqua" w:hAnsi="Book Antiqua"/>
          <w:sz w:val="22"/>
          <w:szCs w:val="22"/>
        </w:rPr>
        <w:t>na základe právoplatného rozhodnutia súdu spôsobil smrť manželky úmyselným trestným činom.</w:t>
      </w:r>
    </w:p>
    <w:p w:rsidR="005500B0" w:rsidP="005500B0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4F6B01" w:rsidR="00266A83">
        <w:rPr>
          <w:rFonts w:ascii="Book Antiqua" w:hAnsi="Book Antiqua"/>
          <w:sz w:val="22"/>
          <w:szCs w:val="22"/>
        </w:rPr>
        <w:t>(6</w:t>
      </w:r>
      <w:r w:rsidRPr="004F6B01" w:rsidR="0006723A">
        <w:rPr>
          <w:rFonts w:ascii="Book Antiqua" w:hAnsi="Book Antiqua"/>
          <w:sz w:val="22"/>
          <w:szCs w:val="22"/>
        </w:rPr>
        <w:t xml:space="preserve">) </w:t>
        <w:tab/>
      </w:r>
      <w:r w:rsidRPr="004F6B01" w:rsidR="00CF585E">
        <w:rPr>
          <w:rFonts w:ascii="Book Antiqua" w:hAnsi="Book Antiqua"/>
          <w:sz w:val="22"/>
          <w:szCs w:val="22"/>
        </w:rPr>
        <w:t xml:space="preserve">Nárok na vdovecký dôchodok podľa odseku 1 vzniká </w:t>
      </w:r>
      <w:r w:rsidRPr="004F6B01" w:rsidR="00A1160B">
        <w:rPr>
          <w:rFonts w:ascii="Book Antiqua" w:hAnsi="Book Antiqua"/>
          <w:sz w:val="22"/>
          <w:szCs w:val="22"/>
        </w:rPr>
        <w:t xml:space="preserve">na základe žiadosti </w:t>
      </w:r>
      <w:r w:rsidRPr="004F6B01" w:rsidR="00CF585E">
        <w:rPr>
          <w:rFonts w:ascii="Book Antiqua" w:hAnsi="Book Antiqua"/>
          <w:sz w:val="22"/>
          <w:szCs w:val="22"/>
        </w:rPr>
        <w:t xml:space="preserve">najskôr od 1. </w:t>
      </w:r>
      <w:r w:rsidRPr="004F6B01" w:rsidR="00B646C3">
        <w:rPr>
          <w:rFonts w:ascii="Book Antiqua" w:hAnsi="Book Antiqua"/>
          <w:sz w:val="22"/>
          <w:szCs w:val="22"/>
        </w:rPr>
        <w:t>augusta 2015</w:t>
      </w:r>
      <w:r w:rsidRPr="004F6B01" w:rsidR="00CF585E">
        <w:rPr>
          <w:rFonts w:ascii="Book Antiqua" w:hAnsi="Book Antiqua"/>
          <w:sz w:val="22"/>
          <w:szCs w:val="22"/>
        </w:rPr>
        <w:t xml:space="preserve"> a o nároku na tento dôchodok Sociálna poisťovňa rozhodne najneskôr do šiestich </w:t>
      </w:r>
      <w:r w:rsidRPr="004F6B01" w:rsidR="004F6B01">
        <w:rPr>
          <w:rFonts w:ascii="Book Antiqua" w:hAnsi="Book Antiqua"/>
          <w:sz w:val="22"/>
          <w:szCs w:val="22"/>
        </w:rPr>
        <w:t>mesiacov od začatia konania.</w:t>
      </w:r>
    </w:p>
    <w:p w:rsidR="005500B0" w:rsidP="005500B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5500B0" w:rsidP="005500B0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5500B0" w:rsidR="00247407">
        <w:rPr>
          <w:rFonts w:ascii="Book Antiqua" w:hAnsi="Book Antiqua"/>
          <w:b/>
          <w:sz w:val="22"/>
          <w:szCs w:val="22"/>
        </w:rPr>
        <w:t>§ 293</w:t>
      </w:r>
      <w:r w:rsidRPr="005500B0" w:rsidR="00A1160B">
        <w:rPr>
          <w:rFonts w:ascii="Book Antiqua" w:hAnsi="Book Antiqua"/>
          <w:b/>
          <w:sz w:val="22"/>
          <w:szCs w:val="22"/>
        </w:rPr>
        <w:t>dk</w:t>
      </w:r>
    </w:p>
    <w:p w:rsidR="005500B0" w:rsidP="005500B0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5500B0">
        <w:rPr>
          <w:rFonts w:ascii="Book Antiqua" w:hAnsi="Book Antiqua"/>
          <w:sz w:val="22"/>
          <w:szCs w:val="22"/>
        </w:rPr>
        <w:t xml:space="preserve">(1) </w:t>
      </w:r>
      <w:r>
        <w:rPr>
          <w:rFonts w:ascii="Book Antiqua" w:hAnsi="Book Antiqua"/>
          <w:sz w:val="22"/>
          <w:szCs w:val="22"/>
        </w:rPr>
        <w:tab/>
      </w:r>
      <w:r w:rsidRPr="005500B0" w:rsidR="004F6B01">
        <w:rPr>
          <w:rFonts w:ascii="Book Antiqua" w:hAnsi="Book Antiqua"/>
          <w:sz w:val="22"/>
          <w:szCs w:val="22"/>
        </w:rPr>
        <w:t>Vdova, ktorej manžel zomrel pred 1. januárom 2004, a ktorej nárok na výplatu vdovského dôchodku zanikol podľa predpisov účinných pred 1. januárom 2004, má na základe žiadosti nárok na vdovský dôchodok, ak spĺňa podmienky nároku na vdovský dôchodok a jeho výplatu podľa predpisov účinných od 1. januára 2004.</w:t>
      </w:r>
    </w:p>
    <w:p w:rsidR="00142A47" w:rsidRPr="004F6B01" w:rsidP="00142A47">
      <w:pPr>
        <w:bidi w:val="0"/>
        <w:spacing w:before="12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</w:p>
    <w:p w:rsidR="00142A47" w:rsidRPr="004F6B01" w:rsidP="00142A47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4F6B01">
        <w:rPr>
          <w:rFonts w:ascii="Book Antiqua" w:hAnsi="Book Antiqua"/>
          <w:sz w:val="22"/>
          <w:szCs w:val="22"/>
        </w:rPr>
        <w:t xml:space="preserve">(2) </w:t>
        <w:tab/>
      </w:r>
      <w:r w:rsidRPr="00263254">
        <w:rPr>
          <w:rFonts w:ascii="Book Antiqua" w:hAnsi="Book Antiqua"/>
          <w:sz w:val="22"/>
          <w:szCs w:val="22"/>
        </w:rPr>
        <w:t>Suma vdovského dôchodku sa vypočíta podľa § 75.</w:t>
      </w:r>
    </w:p>
    <w:p w:rsidR="00142A47" w:rsidRPr="004F6B01" w:rsidP="00142A47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4F6B01">
        <w:rPr>
          <w:rFonts w:ascii="Book Antiqua" w:hAnsi="Book Antiqua"/>
          <w:sz w:val="22"/>
          <w:szCs w:val="22"/>
        </w:rPr>
        <w:t>(3)</w:t>
        <w:tab/>
        <w:t>Na zvyšovanie vdo</w:t>
      </w:r>
      <w:r>
        <w:rPr>
          <w:rFonts w:ascii="Book Antiqua" w:hAnsi="Book Antiqua"/>
          <w:sz w:val="22"/>
          <w:szCs w:val="22"/>
        </w:rPr>
        <w:t>vského</w:t>
      </w:r>
      <w:r w:rsidRPr="004F6B01">
        <w:rPr>
          <w:rFonts w:ascii="Book Antiqua" w:hAnsi="Book Antiqua"/>
          <w:sz w:val="22"/>
          <w:szCs w:val="22"/>
        </w:rPr>
        <w:t xml:space="preserve"> dôchodku platí § 82 rovnako.</w:t>
      </w:r>
    </w:p>
    <w:p w:rsidR="00142A47" w:rsidRPr="004F6B01" w:rsidP="00142A47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4F6B01">
        <w:rPr>
          <w:rFonts w:ascii="Book Antiqua" w:hAnsi="Book Antiqua"/>
          <w:sz w:val="22"/>
          <w:szCs w:val="22"/>
        </w:rPr>
        <w:t>(4)</w:t>
        <w:tab/>
        <w:t>Pri súbe</w:t>
      </w:r>
      <w:r>
        <w:rPr>
          <w:rFonts w:ascii="Book Antiqua" w:hAnsi="Book Antiqua"/>
          <w:sz w:val="22"/>
          <w:szCs w:val="22"/>
        </w:rPr>
        <w:t>hu nárokov na výplatu vdovského</w:t>
      </w:r>
      <w:r w:rsidRPr="004F6B01">
        <w:rPr>
          <w:rFonts w:ascii="Book Antiqua" w:hAnsi="Book Antiqua"/>
          <w:sz w:val="22"/>
          <w:szCs w:val="22"/>
        </w:rPr>
        <w:t xml:space="preserve"> dôchodku s inou dôchodkovou dávkou platí § 81 ods. 2 až 5 rovnako.</w:t>
      </w:r>
    </w:p>
    <w:p w:rsidR="00142A47" w:rsidRPr="004F6B01" w:rsidP="00142A47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4F6B01">
        <w:rPr>
          <w:rFonts w:ascii="Book Antiqua" w:hAnsi="Book Antiqua"/>
          <w:sz w:val="22"/>
          <w:szCs w:val="22"/>
        </w:rPr>
        <w:t>(5)</w:t>
        <w:tab/>
      </w:r>
      <w:r>
        <w:rPr>
          <w:rFonts w:ascii="Book Antiqua" w:hAnsi="Book Antiqua"/>
          <w:sz w:val="22"/>
          <w:szCs w:val="22"/>
        </w:rPr>
        <w:t>Vdova nemá nárok na vdovský</w:t>
      </w:r>
      <w:r w:rsidRPr="004F6B01">
        <w:rPr>
          <w:rFonts w:ascii="Book Antiqua" w:hAnsi="Book Antiqua"/>
          <w:sz w:val="22"/>
          <w:szCs w:val="22"/>
        </w:rPr>
        <w:t xml:space="preserve"> dôchodok podľa odseku 1, ak</w:t>
      </w:r>
    </w:p>
    <w:p w:rsidR="00142A47" w:rsidRPr="004F6B01" w:rsidP="00142A47">
      <w:pPr>
        <w:bidi w:val="0"/>
        <w:spacing w:before="120" w:line="276" w:lineRule="auto"/>
        <w:ind w:left="1134" w:hanging="283"/>
        <w:jc w:val="both"/>
        <w:rPr>
          <w:rFonts w:ascii="Book Antiqua" w:hAnsi="Book Antiqua"/>
          <w:sz w:val="22"/>
          <w:szCs w:val="22"/>
          <w:vertAlign w:val="superscript"/>
        </w:rPr>
      </w:pPr>
      <w:r w:rsidRPr="004F6B01">
        <w:rPr>
          <w:rFonts w:ascii="Book Antiqua" w:hAnsi="Book Antiqua"/>
          <w:sz w:val="22"/>
          <w:szCs w:val="22"/>
        </w:rPr>
        <w:t xml:space="preserve">a) </w:t>
        <w:tab/>
      </w:r>
      <w:r>
        <w:rPr>
          <w:rFonts w:ascii="Book Antiqua" w:hAnsi="Book Antiqua"/>
          <w:sz w:val="22"/>
          <w:szCs w:val="22"/>
        </w:rPr>
        <w:t>má nárok na vdovs</w:t>
      </w:r>
      <w:r w:rsidRPr="004F6B01">
        <w:rPr>
          <w:rFonts w:ascii="Book Antiqua" w:hAnsi="Book Antiqua"/>
          <w:sz w:val="22"/>
          <w:szCs w:val="22"/>
        </w:rPr>
        <w:t>ký výsluhový dôchodok a</w:t>
      </w:r>
      <w:r>
        <w:rPr>
          <w:rFonts w:ascii="Book Antiqua" w:hAnsi="Book Antiqua"/>
          <w:sz w:val="22"/>
          <w:szCs w:val="22"/>
        </w:rPr>
        <w:t>lebo vdovs</w:t>
      </w:r>
      <w:r w:rsidRPr="004F6B01">
        <w:rPr>
          <w:rFonts w:ascii="Book Antiqua" w:hAnsi="Book Antiqua"/>
          <w:sz w:val="22"/>
          <w:szCs w:val="22"/>
        </w:rPr>
        <w:t>ký dôchodok podľa osobitného predpisu,</w:t>
      </w:r>
      <w:r w:rsidRPr="004F6B01">
        <w:rPr>
          <w:rFonts w:ascii="Book Antiqua" w:hAnsi="Book Antiqua"/>
          <w:sz w:val="22"/>
          <w:szCs w:val="22"/>
          <w:vertAlign w:val="superscript"/>
        </w:rPr>
        <w:t>2)</w:t>
      </w:r>
    </w:p>
    <w:p w:rsidR="00142A47" w:rsidRPr="004F6B01" w:rsidP="00142A47">
      <w:pPr>
        <w:bidi w:val="0"/>
        <w:spacing w:before="12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4F6B01">
        <w:rPr>
          <w:rFonts w:ascii="Book Antiqua" w:hAnsi="Book Antiqua"/>
          <w:sz w:val="22"/>
          <w:szCs w:val="22"/>
        </w:rPr>
        <w:t>b)</w:t>
        <w:tab/>
        <w:t>uzatvoril</w:t>
      </w:r>
      <w:r>
        <w:rPr>
          <w:rFonts w:ascii="Book Antiqua" w:hAnsi="Book Antiqua"/>
          <w:sz w:val="22"/>
          <w:szCs w:val="22"/>
        </w:rPr>
        <w:t>a</w:t>
      </w:r>
      <w:r w:rsidRPr="004F6B01">
        <w:rPr>
          <w:rFonts w:ascii="Book Antiqua" w:hAnsi="Book Antiqua"/>
          <w:sz w:val="22"/>
          <w:szCs w:val="22"/>
        </w:rPr>
        <w:t xml:space="preserve"> manželstvo alebo</w:t>
      </w:r>
    </w:p>
    <w:p w:rsidR="00142A47" w:rsidRPr="004F6B01" w:rsidP="00142A47">
      <w:pPr>
        <w:bidi w:val="0"/>
        <w:spacing w:before="12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4F6B01">
        <w:rPr>
          <w:rFonts w:ascii="Book Antiqua" w:hAnsi="Book Antiqua"/>
          <w:sz w:val="22"/>
          <w:szCs w:val="22"/>
        </w:rPr>
        <w:t>c)</w:t>
        <w:tab/>
        <w:t>na základe právoplatného rozhodnutia súdu spôsobil</w:t>
      </w:r>
      <w:r w:rsidR="001C0CA9">
        <w:rPr>
          <w:rFonts w:ascii="Book Antiqua" w:hAnsi="Book Antiqua"/>
          <w:sz w:val="22"/>
          <w:szCs w:val="22"/>
        </w:rPr>
        <w:t>a smrť manžel</w:t>
      </w:r>
      <w:r>
        <w:rPr>
          <w:rFonts w:ascii="Book Antiqua" w:hAnsi="Book Antiqua"/>
          <w:sz w:val="22"/>
          <w:szCs w:val="22"/>
        </w:rPr>
        <w:t>a</w:t>
      </w:r>
      <w:r w:rsidRPr="004F6B01">
        <w:rPr>
          <w:rFonts w:ascii="Book Antiqua" w:hAnsi="Book Antiqua"/>
          <w:sz w:val="22"/>
          <w:szCs w:val="22"/>
        </w:rPr>
        <w:t xml:space="preserve"> úmyselným trestným činom.</w:t>
      </w:r>
    </w:p>
    <w:p w:rsidR="004F6B01" w:rsidRPr="004F6B01" w:rsidP="00142A47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4F6B01" w:rsidR="00142A47">
        <w:rPr>
          <w:rFonts w:ascii="Book Antiqua" w:hAnsi="Book Antiqua"/>
          <w:sz w:val="22"/>
          <w:szCs w:val="22"/>
        </w:rPr>
        <w:t xml:space="preserve">(6) </w:t>
        <w:tab/>
      </w:r>
      <w:r w:rsidR="00142A47">
        <w:rPr>
          <w:rFonts w:ascii="Book Antiqua" w:hAnsi="Book Antiqua"/>
          <w:sz w:val="22"/>
          <w:szCs w:val="22"/>
        </w:rPr>
        <w:t>Nárok na vdovs</w:t>
      </w:r>
      <w:r w:rsidRPr="004F6B01" w:rsidR="00142A47">
        <w:rPr>
          <w:rFonts w:ascii="Book Antiqua" w:hAnsi="Book Antiqua"/>
          <w:sz w:val="22"/>
          <w:szCs w:val="22"/>
        </w:rPr>
        <w:t xml:space="preserve">ký dôchodok podľa odseku 1 vzniká na základe žiadosti najskôr od 1. augusta 2015 a o nároku na tento dôchodok Sociálna poisťovňa rozhodne najneskôr do šiestich </w:t>
      </w:r>
      <w:r w:rsidR="00142A47">
        <w:rPr>
          <w:rFonts w:ascii="Book Antiqua" w:hAnsi="Book Antiqua"/>
          <w:sz w:val="22"/>
          <w:szCs w:val="22"/>
        </w:rPr>
        <w:t>mesiacov od začatia konania</w:t>
      </w:r>
      <w:r w:rsidRPr="004F6B01">
        <w:rPr>
          <w:rFonts w:ascii="Book Antiqua" w:hAnsi="Book Antiqua"/>
          <w:sz w:val="22"/>
          <w:szCs w:val="22"/>
        </w:rPr>
        <w:t>.“.</w:t>
      </w:r>
    </w:p>
    <w:p w:rsidR="00CF585E" w:rsidRPr="004F6B01" w:rsidP="005500B0">
      <w:pPr>
        <w:pStyle w:val="ListParagraph"/>
        <w:bidi w:val="0"/>
        <w:spacing w:before="120" w:after="0"/>
        <w:ind w:left="0"/>
        <w:jc w:val="both"/>
        <w:rPr>
          <w:rFonts w:ascii="Book Antiqua" w:hAnsi="Book Antiqua"/>
        </w:rPr>
      </w:pPr>
    </w:p>
    <w:p w:rsidR="00CF585E" w:rsidRPr="004F6B01" w:rsidP="005500B0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4F6B01">
        <w:rPr>
          <w:rFonts w:ascii="Book Antiqua" w:hAnsi="Book Antiqua"/>
          <w:b/>
          <w:bCs/>
          <w:sz w:val="22"/>
          <w:szCs w:val="22"/>
        </w:rPr>
        <w:t>Čl. II</w:t>
      </w:r>
    </w:p>
    <w:p w:rsidR="006C40E9" w:rsidRPr="004F6B01" w:rsidP="005500B0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</w:rPr>
      </w:pPr>
      <w:r w:rsidRPr="004F6B01" w:rsidR="00CF585E">
        <w:rPr>
          <w:rFonts w:ascii="Book Antiqua" w:hAnsi="Book Antiqua"/>
          <w:sz w:val="22"/>
          <w:szCs w:val="22"/>
        </w:rPr>
        <w:t>Tento zákon nadobúda účinnosť 1. augusta 2015.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3F0C"/>
    <w:multiLevelType w:val="hybridMultilevel"/>
    <w:tmpl w:val="D75C760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3F1397A"/>
    <w:multiLevelType w:val="hybridMultilevel"/>
    <w:tmpl w:val="7396CB2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24F46C35"/>
    <w:multiLevelType w:val="hybridMultilevel"/>
    <w:tmpl w:val="EAA2D6C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">
    <w:nsid w:val="35B21C9D"/>
    <w:multiLevelType w:val="hybridMultilevel"/>
    <w:tmpl w:val="C6CC3010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5">
    <w:nsid w:val="56B762CD"/>
    <w:multiLevelType w:val="hybridMultilevel"/>
    <w:tmpl w:val="0AF2693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9321521"/>
    <w:multiLevelType w:val="hybridMultilevel"/>
    <w:tmpl w:val="E4C635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5A664A64"/>
    <w:multiLevelType w:val="hybridMultilevel"/>
    <w:tmpl w:val="04D02218"/>
    <w:lvl w:ilvl="0">
      <w:start w:val="1"/>
      <w:numFmt w:val="decimal"/>
      <w:lvlText w:val="(%1)"/>
      <w:lvlJc w:val="left"/>
      <w:pPr>
        <w:ind w:left="1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404" w:hanging="180"/>
      </w:pPr>
      <w:rPr>
        <w:rFonts w:cs="Times New Roman"/>
        <w:rtl w:val="0"/>
        <w:cs w:val="0"/>
      </w:rPr>
    </w:lvl>
  </w:abstractNum>
  <w:abstractNum w:abstractNumId="8">
    <w:nsid w:val="7F1C25C0"/>
    <w:multiLevelType w:val="hybridMultilevel"/>
    <w:tmpl w:val="F15E602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F585E"/>
    <w:rsid w:val="000211F7"/>
    <w:rsid w:val="0006723A"/>
    <w:rsid w:val="000D4E84"/>
    <w:rsid w:val="00127A8C"/>
    <w:rsid w:val="00142A47"/>
    <w:rsid w:val="001806DD"/>
    <w:rsid w:val="001C0CA9"/>
    <w:rsid w:val="001C6BF0"/>
    <w:rsid w:val="00244C70"/>
    <w:rsid w:val="00247407"/>
    <w:rsid w:val="00252D43"/>
    <w:rsid w:val="00263254"/>
    <w:rsid w:val="00266A83"/>
    <w:rsid w:val="002B1D99"/>
    <w:rsid w:val="00300443"/>
    <w:rsid w:val="00363C60"/>
    <w:rsid w:val="00393D69"/>
    <w:rsid w:val="004279A0"/>
    <w:rsid w:val="004F6B01"/>
    <w:rsid w:val="00536B94"/>
    <w:rsid w:val="005500B0"/>
    <w:rsid w:val="0055436B"/>
    <w:rsid w:val="00647CF0"/>
    <w:rsid w:val="006C40E9"/>
    <w:rsid w:val="00727527"/>
    <w:rsid w:val="008D7388"/>
    <w:rsid w:val="009C36D9"/>
    <w:rsid w:val="009E0494"/>
    <w:rsid w:val="009F1092"/>
    <w:rsid w:val="00A1160B"/>
    <w:rsid w:val="00A92AD8"/>
    <w:rsid w:val="00AF6D9B"/>
    <w:rsid w:val="00B646C3"/>
    <w:rsid w:val="00CF22C6"/>
    <w:rsid w:val="00CF585E"/>
    <w:rsid w:val="00D341FA"/>
    <w:rsid w:val="00D66D7E"/>
    <w:rsid w:val="00E05241"/>
    <w:rsid w:val="00F8233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85E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F585E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F585E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CF585E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F585E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F585E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sid w:val="00CF585E"/>
    <w:rPr>
      <w:rFonts w:ascii="Calibri" w:hAnsi="Calibri" w:cs="Calibri"/>
      <w:b/>
      <w:i/>
      <w:sz w:val="26"/>
      <w:lang w:val="x-none" w:eastAsia="sk-SK"/>
    </w:rPr>
  </w:style>
  <w:style w:type="character" w:customStyle="1" w:styleId="Heading6Char">
    <w:name w:val="Heading 6 Char"/>
    <w:link w:val="Heading6"/>
    <w:uiPriority w:val="99"/>
    <w:locked/>
    <w:rsid w:val="00CF585E"/>
    <w:rPr>
      <w:rFonts w:ascii="Calibri" w:hAnsi="Calibri" w:cs="Calibri"/>
      <w:b/>
      <w:sz w:val="20"/>
      <w:lang w:val="x-none" w:eastAsia="sk-SK"/>
    </w:rPr>
  </w:style>
  <w:style w:type="character" w:customStyle="1" w:styleId="Heading7Char">
    <w:name w:val="Heading 7 Char"/>
    <w:link w:val="Heading7"/>
    <w:uiPriority w:val="99"/>
    <w:locked/>
    <w:rsid w:val="00CF585E"/>
    <w:rPr>
      <w:rFonts w:ascii="Calibri" w:hAnsi="Calibri" w:cs="Calibri"/>
      <w:sz w:val="24"/>
      <w:lang w:val="x-none" w:eastAsia="sk-SK"/>
    </w:rPr>
  </w:style>
  <w:style w:type="character" w:customStyle="1" w:styleId="Heading8Char">
    <w:name w:val="Heading 8 Char"/>
    <w:link w:val="Heading8"/>
    <w:uiPriority w:val="99"/>
    <w:locked/>
    <w:rsid w:val="00CF585E"/>
    <w:rPr>
      <w:rFonts w:ascii="Calibri" w:hAnsi="Calibri" w:cs="Calibri"/>
      <w:i/>
      <w:sz w:val="24"/>
      <w:lang w:val="x-none" w:eastAsia="sk-SK"/>
    </w:rPr>
  </w:style>
  <w:style w:type="character" w:customStyle="1" w:styleId="Heading9Char">
    <w:name w:val="Heading 9 Char"/>
    <w:link w:val="Heading9"/>
    <w:uiPriority w:val="99"/>
    <w:locked/>
    <w:rsid w:val="00CF585E"/>
    <w:rPr>
      <w:rFonts w:ascii="Calibri" w:hAnsi="Calibri" w:cs="Calibri"/>
      <w:sz w:val="20"/>
      <w:lang w:val="x-none" w:eastAsia="sk-SK"/>
    </w:rPr>
  </w:style>
  <w:style w:type="paragraph" w:customStyle="1" w:styleId="Nadpis1orobas">
    <w:name w:val="Nadpis 1.Čo robí (časť)"/>
    <w:basedOn w:val="Normal"/>
    <w:next w:val="Normal"/>
    <w:uiPriority w:val="99"/>
    <w:rsid w:val="00CF585E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CF585E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rsid w:val="00CF585E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CF585E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F585E"/>
    <w:pPr>
      <w:jc w:val="both"/>
    </w:pPr>
  </w:style>
  <w:style w:type="character" w:customStyle="1" w:styleId="BodyTextChar">
    <w:name w:val="Body Text Char"/>
    <w:link w:val="BodyText"/>
    <w:uiPriority w:val="99"/>
    <w:locked/>
    <w:rsid w:val="00CF585E"/>
    <w:rPr>
      <w:rFonts w:ascii="Times New Roman" w:hAnsi="Times New Roman" w:cs="Times New Roman"/>
      <w:sz w:val="20"/>
      <w:lang w:val="x-none" w:eastAsia="sk-SK"/>
    </w:rPr>
  </w:style>
  <w:style w:type="paragraph" w:styleId="ListParagraph">
    <w:name w:val="List Paragraph"/>
    <w:basedOn w:val="Normal"/>
    <w:uiPriority w:val="34"/>
    <w:qFormat/>
    <w:rsid w:val="00CF585E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708</Words>
  <Characters>4038</Characters>
  <Application>Microsoft Office Word</Application>
  <DocSecurity>0</DocSecurity>
  <Lines>0</Lines>
  <Paragraphs>0</Paragraphs>
  <ScaleCrop>false</ScaleCrop>
  <Company>Kancelaria NR SR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2015-04-14T10:23:00Z</cp:lastPrinted>
  <dcterms:created xsi:type="dcterms:W3CDTF">2015-04-14T13:29:00Z</dcterms:created>
  <dcterms:modified xsi:type="dcterms:W3CDTF">2015-04-14T13:29:00Z</dcterms:modified>
</cp:coreProperties>
</file>