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C7EC9" w:rsidP="001C7EC9">
      <w:pPr>
        <w:bidi w:val="0"/>
        <w:spacing w:after="0" w:line="240" w:lineRule="auto"/>
        <w:jc w:val="center"/>
        <w:rPr>
          <w:rFonts w:ascii="Times New Roman" w:hAnsi="Times New Roman"/>
          <w:b/>
          <w:spacing w:val="30"/>
          <w:sz w:val="24"/>
          <w:szCs w:val="24"/>
        </w:rPr>
      </w:pPr>
      <w:r>
        <w:rPr>
          <w:rFonts w:ascii="Times New Roman" w:hAnsi="Times New Roman"/>
          <w:b/>
          <w:spacing w:val="30"/>
          <w:sz w:val="24"/>
          <w:szCs w:val="24"/>
        </w:rPr>
        <w:t xml:space="preserve">Návrh  </w:t>
      </w:r>
    </w:p>
    <w:p w:rsidR="001C7EC9" w:rsidP="001C7EC9">
      <w:pPr>
        <w:bidi w:val="0"/>
        <w:spacing w:after="0" w:line="240" w:lineRule="auto"/>
        <w:jc w:val="center"/>
        <w:rPr>
          <w:rFonts w:ascii="Times New Roman" w:hAnsi="Times New Roman"/>
          <w:b/>
          <w:caps/>
          <w:spacing w:val="30"/>
          <w:sz w:val="24"/>
          <w:szCs w:val="24"/>
        </w:rPr>
      </w:pPr>
    </w:p>
    <w:p w:rsidR="001C7EC9" w:rsidP="001C7EC9">
      <w:pPr>
        <w:bidi w:val="0"/>
        <w:spacing w:after="0" w:line="240" w:lineRule="auto"/>
        <w:jc w:val="center"/>
        <w:rPr>
          <w:rFonts w:ascii="Times New Roman" w:hAnsi="Times New Roman"/>
          <w:b/>
          <w:caps/>
          <w:spacing w:val="30"/>
          <w:sz w:val="24"/>
          <w:szCs w:val="24"/>
        </w:rPr>
      </w:pPr>
      <w:r>
        <w:rPr>
          <w:rFonts w:ascii="Times New Roman" w:hAnsi="Times New Roman"/>
          <w:b/>
          <w:caps/>
          <w:spacing w:val="30"/>
          <w:sz w:val="24"/>
          <w:szCs w:val="24"/>
        </w:rPr>
        <w:t>Ú S T A V N Ý  zákon</w:t>
      </w:r>
    </w:p>
    <w:p w:rsidR="001C7EC9" w:rsidP="001C7EC9">
      <w:pPr>
        <w:bidi w:val="0"/>
        <w:spacing w:after="0" w:line="240" w:lineRule="auto"/>
        <w:jc w:val="center"/>
        <w:rPr>
          <w:rFonts w:ascii="Times New Roman" w:hAnsi="Times New Roman"/>
          <w:sz w:val="24"/>
          <w:szCs w:val="24"/>
        </w:rPr>
      </w:pPr>
      <w:r w:rsidR="002F7DFE">
        <w:rPr>
          <w:rFonts w:ascii="Times New Roman" w:hAnsi="Times New Roman"/>
          <w:sz w:val="24"/>
          <w:szCs w:val="24"/>
        </w:rPr>
        <w:t>z ...................201</w:t>
      </w:r>
      <w:r w:rsidR="00547159">
        <w:rPr>
          <w:rFonts w:ascii="Times New Roman" w:hAnsi="Times New Roman"/>
          <w:sz w:val="24"/>
          <w:szCs w:val="24"/>
        </w:rPr>
        <w:t>5</w:t>
      </w:r>
      <w:r>
        <w:rPr>
          <w:rFonts w:ascii="Times New Roman" w:hAnsi="Times New Roman"/>
          <w:sz w:val="24"/>
          <w:szCs w:val="24"/>
        </w:rPr>
        <w:t>,</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ktorým sa mení a dopĺňa ústavný zákon č. 357/2004 Z. z. o ochrane verejného záujmu pri výkone funkcií verejných funkcionárov v znení ústavného zákona č. 545/2005 Z. z.</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Národná rada Slovenskej republiky sa uzniesla na tomto ústavnom zákone: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w:t>
      </w:r>
    </w:p>
    <w:p w:rsidR="001C7EC9" w:rsidP="001C7EC9">
      <w:pPr>
        <w:bidi w:val="0"/>
        <w:spacing w:after="0" w:line="240" w:lineRule="auto"/>
        <w:ind w:firstLine="708"/>
        <w:jc w:val="both"/>
        <w:rPr>
          <w:rFonts w:ascii="Times New Roman" w:hAnsi="Times New Roman"/>
          <w:sz w:val="24"/>
          <w:szCs w:val="24"/>
        </w:rPr>
      </w:pPr>
    </w:p>
    <w:p w:rsidR="001C7EC9" w:rsidP="001C7EC9">
      <w:pPr>
        <w:bidi w:val="0"/>
        <w:spacing w:after="0" w:line="240" w:lineRule="auto"/>
        <w:ind w:firstLine="708"/>
        <w:jc w:val="both"/>
        <w:rPr>
          <w:rFonts w:ascii="Times New Roman" w:hAnsi="Times New Roman"/>
          <w:sz w:val="24"/>
          <w:szCs w:val="24"/>
        </w:rPr>
      </w:pPr>
      <w:r>
        <w:rPr>
          <w:rFonts w:ascii="Times New Roman" w:hAnsi="Times New Roman"/>
          <w:sz w:val="24"/>
          <w:szCs w:val="24"/>
        </w:rPr>
        <w:t>Ústavný zákon č. 357/2004 Z. z. o ochrane verejného záujmu pri výkone funkcií verejných funkcionárov v znení ústavného zákona č. 545/2005 Z. z. sa mení a dopĺňa takto:</w:t>
      </w:r>
    </w:p>
    <w:p w:rsidR="001C7EC9" w:rsidP="001C7EC9">
      <w:pPr>
        <w:bidi w:val="0"/>
        <w:spacing w:after="0" w:line="240" w:lineRule="auto"/>
        <w:ind w:firstLine="708"/>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2 odsek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644"/>
        <w:jc w:val="both"/>
        <w:rPr>
          <w:rFonts w:ascii="Times New Roman" w:hAnsi="Times New Roman"/>
          <w:sz w:val="24"/>
          <w:szCs w:val="24"/>
        </w:rPr>
      </w:pPr>
      <w:r>
        <w:rPr>
          <w:rFonts w:ascii="Times New Roman" w:hAnsi="Times New Roman"/>
          <w:sz w:val="24"/>
          <w:szCs w:val="24"/>
        </w:rPr>
        <w:t>„(1) Tento ústavný zákon sa vzťahuje na funkcie</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prezidenta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poslancov Národnej rady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členov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vedúcich ústredných orgánov štátnej správy, ktorí nie sú členmi vlády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sudcov Ústavného súdu Slovenskej republiky,</w:t>
      </w:r>
    </w:p>
    <w:p w:rsidR="001C7EC9" w:rsidP="001C7EC9">
      <w:pPr>
        <w:pStyle w:val="ListParagraph"/>
        <w:numPr>
          <w:numId w:val="2"/>
        </w:numPr>
        <w:bidi w:val="0"/>
        <w:spacing w:line="240" w:lineRule="auto"/>
        <w:jc w:val="both"/>
        <w:rPr>
          <w:rFonts w:ascii="Times New Roman" w:hAnsi="Times New Roman"/>
          <w:sz w:val="24"/>
          <w:szCs w:val="24"/>
        </w:rPr>
      </w:pPr>
      <w:r>
        <w:rPr>
          <w:rFonts w:ascii="Times New Roman" w:hAnsi="Times New Roman"/>
          <w:sz w:val="24"/>
          <w:szCs w:val="24"/>
        </w:rPr>
        <w:t>predsedu a podpredsedu Najvyššieho súdu Slovenskej republiky,</w:t>
      </w:r>
    </w:p>
    <w:p w:rsidR="001C7EC9" w:rsidP="001C7EC9">
      <w:pPr>
        <w:pStyle w:val="ListParagraph"/>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členov Súdnej rady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prokurátora Slovenskej republiky a špeciálneho prokurátora,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verejného ochrancu práv,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podpredsedov Najvyššieho kontrolného úradu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štátnych tajomníkov,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náčelníka Generálneho štábu ozbrojených síl Slovenskej republiky,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riaditeľa Slovenskej informačnej služby,</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Bankovej rady Národnej banky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starostov obcí,</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mestských zastupiteľstiev a poslancov zastupiteľstiev mestských častí v Bratislave  a  v Košiciach,</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predsedov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poslancov zastupiteľstiev vyšších územných celkov,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rektorov verejných vysokých škôl,</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podpredsedu Úradu na ochranu osobných údajov,</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generálneho riaditeľa  a členov  Rady Rozhlasu a televízie Slovenska,</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dozornej rady Sociálnej poisťovne,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štatutárneho orgánu alebo členov štatutárneho orgánu a členov dozornej rady  Všeobecnej zdravotnej poisťovne,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 xml:space="preserve">generálneho riaditeľa a členov správnej rady Tlačovej agentúry Slovenskej republiky, </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členov Rady pre vysielanie a retransmisiu a riaditeľa jej kancelárie,</w:t>
      </w:r>
    </w:p>
    <w:p w:rsidR="001C7EC9" w:rsidP="001C7EC9">
      <w:pPr>
        <w:numPr>
          <w:numId w:val="2"/>
        </w:numPr>
        <w:bidi w:val="0"/>
        <w:spacing w:after="0" w:line="240" w:lineRule="auto"/>
        <w:jc w:val="both"/>
        <w:rPr>
          <w:rFonts w:ascii="Times New Roman" w:hAnsi="Times New Roman"/>
          <w:sz w:val="24"/>
          <w:szCs w:val="24"/>
        </w:rPr>
      </w:pPr>
      <w:r>
        <w:rPr>
          <w:rFonts w:ascii="Times New Roman" w:hAnsi="Times New Roman"/>
          <w:sz w:val="24"/>
          <w:szCs w:val="24"/>
        </w:rPr>
        <w:t>predsedu a členov Regulačnej rady Úradu pre reguláciu sieťových odvetví,</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aa</w:t>
      </w:r>
      <w:r>
        <w:rPr>
          <w:rFonts w:ascii="Times New Roman" w:hAnsi="Times New Roman"/>
          <w:sz w:val="24"/>
          <w:szCs w:val="24"/>
        </w:rPr>
        <w:t xml:space="preserve">) predsedu a podpredsedu </w:t>
      </w:r>
      <w:r w:rsidR="00B4141D">
        <w:rPr>
          <w:rFonts w:ascii="Times New Roman" w:hAnsi="Times New Roman"/>
          <w:sz w:val="24"/>
          <w:szCs w:val="24"/>
        </w:rPr>
        <w:t>Úradu</w:t>
      </w:r>
      <w:r w:rsidRPr="00B4141D" w:rsidR="00B4141D">
        <w:rPr>
          <w:rFonts w:ascii="Times New Roman" w:hAnsi="Times New Roman"/>
          <w:sz w:val="24"/>
          <w:szCs w:val="24"/>
        </w:rPr>
        <w:t xml:space="preserve"> pre reguláciu elektronických komunikácií a poštových služieb</w:t>
      </w:r>
      <w:r w:rsidR="00B4141D">
        <w:rPr>
          <w:rFonts w:ascii="Times New Roman" w:hAnsi="Times New Roman"/>
          <w:sz w:val="24"/>
          <w:szCs w:val="24"/>
        </w:rPr>
        <w:t>,</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b</w:t>
      </w:r>
      <w:r>
        <w:rPr>
          <w:rFonts w:ascii="Times New Roman" w:hAnsi="Times New Roman"/>
          <w:sz w:val="24"/>
          <w:szCs w:val="24"/>
        </w:rPr>
        <w:t>) štatutárnych orgánov alebo členov štatutárnych orgánov a členov dozorných rád právnických osôb, v ktorých má majoritnú majetkovú účasť štát alebo Fond národného majetku Slovenskej republiky, osôb zastupujúcich štát v orgánoch právnických osôb s majetkovou účasťou štátu a osôb zastupujúcich Fond národného majetku Slovenskej republiky v orgánoch právnických osôb s majetkovou účasťou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ac</w:t>
      </w:r>
      <w:r>
        <w:rPr>
          <w:rFonts w:ascii="Times New Roman" w:hAnsi="Times New Roman"/>
          <w:sz w:val="24"/>
          <w:szCs w:val="24"/>
        </w:rPr>
        <w:t>) riaditeľov štátnych podnikov a členov dozorných rád štátnych podnikov, ktorých do funkcie ustanovuje štát,</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d</w:t>
      </w:r>
      <w:r>
        <w:rPr>
          <w:rFonts w:ascii="Times New Roman" w:hAnsi="Times New Roman"/>
          <w:sz w:val="24"/>
          <w:szCs w:val="24"/>
        </w:rPr>
        <w:t>) generálneho riaditeľa  a námestníka generálneho riaditeľa Slovenského pozemkového fondu a členov Rady Slovenského pozemkového fondu,</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ae</w:t>
      </w:r>
      <w:r>
        <w:rPr>
          <w:rFonts w:ascii="Times New Roman" w:hAnsi="Times New Roman"/>
          <w:sz w:val="24"/>
          <w:szCs w:val="24"/>
        </w:rPr>
        <w:t>)  prezidenta Finančného riaditeľstva Slovenskej republiky,</w:t>
      </w:r>
    </w:p>
    <w:p w:rsidR="001C7EC9" w:rsidP="001C7EC9">
      <w:pPr>
        <w:bidi w:val="0"/>
        <w:spacing w:after="0" w:line="240" w:lineRule="auto"/>
        <w:ind w:left="1418" w:hanging="425"/>
        <w:jc w:val="both"/>
        <w:rPr>
          <w:rFonts w:ascii="Times New Roman" w:hAnsi="Times New Roman"/>
          <w:sz w:val="24"/>
          <w:szCs w:val="24"/>
        </w:rPr>
      </w:pPr>
      <w:r>
        <w:rPr>
          <w:rFonts w:ascii="Times New Roman" w:hAnsi="Times New Roman"/>
          <w:sz w:val="24"/>
          <w:szCs w:val="24"/>
        </w:rPr>
        <w:t>a</w:t>
      </w:r>
      <w:r w:rsidR="00B4141D">
        <w:rPr>
          <w:rFonts w:ascii="Times New Roman" w:hAnsi="Times New Roman"/>
          <w:sz w:val="24"/>
          <w:szCs w:val="24"/>
        </w:rPr>
        <w:t>f</w:t>
      </w:r>
      <w:r>
        <w:rPr>
          <w:rFonts w:ascii="Times New Roman" w:hAnsi="Times New Roman"/>
          <w:sz w:val="24"/>
          <w:szCs w:val="24"/>
        </w:rPr>
        <w:t>)  predsedu správnej rady Ústavu pamäti národa,</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ag</w:t>
      </w:r>
      <w:r>
        <w:rPr>
          <w:rFonts w:ascii="Times New Roman" w:hAnsi="Times New Roman"/>
          <w:sz w:val="24"/>
          <w:szCs w:val="24"/>
        </w:rPr>
        <w:t>)  generálneho riaditeľa Železníc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ah</w:t>
      </w:r>
      <w:r>
        <w:rPr>
          <w:rFonts w:ascii="Times New Roman" w:hAnsi="Times New Roman"/>
          <w:sz w:val="24"/>
          <w:szCs w:val="24"/>
        </w:rPr>
        <w:t>)  členov štatutárneho orgánu Exportno-importnej banky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ai</w:t>
      </w:r>
      <w:r>
        <w:rPr>
          <w:rFonts w:ascii="Times New Roman" w:hAnsi="Times New Roman"/>
          <w:sz w:val="24"/>
          <w:szCs w:val="24"/>
        </w:rPr>
        <w:t>) predsedu a členov dozornej rady Úradu pre dohľad nad zdravotnou starostlivosťou,</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aj</w:t>
      </w:r>
      <w:r>
        <w:rPr>
          <w:rFonts w:ascii="Times New Roman" w:hAnsi="Times New Roman"/>
          <w:sz w:val="24"/>
          <w:szCs w:val="24"/>
        </w:rPr>
        <w:t>) členov výkonného výboru a členov dozornej rady Fondu národného majetku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ak</w:t>
      </w:r>
      <w:r>
        <w:rPr>
          <w:rFonts w:ascii="Times New Roman" w:hAnsi="Times New Roman"/>
          <w:sz w:val="24"/>
          <w:szCs w:val="24"/>
        </w:rPr>
        <w:t xml:space="preserve">)  predsedu a členov Rady pre rozpočtovú zodpovednosť, </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al</w:t>
      </w:r>
      <w:r>
        <w:rPr>
          <w:rFonts w:ascii="Times New Roman" w:hAnsi="Times New Roman"/>
          <w:sz w:val="24"/>
          <w:szCs w:val="24"/>
        </w:rPr>
        <w:t>) prezidenta Policajného zboru Slovenskej republiky,</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am</w:t>
      </w:r>
      <w:r>
        <w:rPr>
          <w:rFonts w:ascii="Times New Roman" w:hAnsi="Times New Roman"/>
          <w:sz w:val="24"/>
          <w:szCs w:val="24"/>
        </w:rPr>
        <w:t>)  riaditeľa Vojenského obranného spravodajstva,</w:t>
      </w:r>
    </w:p>
    <w:p w:rsidR="001C7EC9" w:rsidP="001C7EC9">
      <w:pPr>
        <w:bidi w:val="0"/>
        <w:spacing w:after="0" w:line="240" w:lineRule="auto"/>
        <w:ind w:left="1418" w:hanging="425"/>
        <w:jc w:val="both"/>
        <w:rPr>
          <w:rFonts w:ascii="Times New Roman" w:hAnsi="Times New Roman"/>
          <w:sz w:val="24"/>
          <w:szCs w:val="24"/>
        </w:rPr>
      </w:pPr>
      <w:r w:rsidR="00B4141D">
        <w:rPr>
          <w:rFonts w:ascii="Times New Roman" w:hAnsi="Times New Roman"/>
          <w:sz w:val="24"/>
          <w:szCs w:val="24"/>
        </w:rPr>
        <w:t>an</w:t>
      </w:r>
      <w:r>
        <w:rPr>
          <w:rFonts w:ascii="Times New Roman" w:hAnsi="Times New Roman"/>
          <w:sz w:val="24"/>
          <w:szCs w:val="24"/>
        </w:rPr>
        <w:t>) vedúceho Kancelárie prezidenta Slovenskej republiky, vedúceho Kancelárie Národnej rady Slovenskej republiky, vedúceho Kancelárie verejného ochrancu práv, vedúceho Kancelárie Súdnej rady Slovenskej republiky, vedúceho Kancelárie Ústavného súdu Slovenskej republiky,</w:t>
      </w:r>
    </w:p>
    <w:p w:rsidR="001C7EC9" w:rsidP="001C7EC9">
      <w:pPr>
        <w:bidi w:val="0"/>
        <w:spacing w:after="0" w:line="240" w:lineRule="auto"/>
        <w:ind w:left="1418" w:hanging="1418"/>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w:t>
      </w:r>
      <w:r w:rsidR="00B4141D">
        <w:rPr>
          <w:rFonts w:ascii="Times New Roman" w:hAnsi="Times New Roman"/>
          <w:sz w:val="24"/>
          <w:szCs w:val="24"/>
        </w:rPr>
        <w:t>o</w:t>
      </w:r>
      <w:r>
        <w:rPr>
          <w:rFonts w:ascii="Times New Roman" w:hAnsi="Times New Roman"/>
          <w:sz w:val="24"/>
          <w:szCs w:val="24"/>
        </w:rPr>
        <w:t>) ktoré nie</w:t>
      </w:r>
      <w:r w:rsidR="00B4141D">
        <w:rPr>
          <w:rFonts w:ascii="Times New Roman" w:hAnsi="Times New Roman"/>
          <w:sz w:val="24"/>
          <w:szCs w:val="24"/>
        </w:rPr>
        <w:t xml:space="preserve"> sú uvedené v písmenách a) až an</w:t>
      </w:r>
      <w:r>
        <w:rPr>
          <w:rFonts w:ascii="Times New Roman" w:hAnsi="Times New Roman"/>
          <w:sz w:val="24"/>
          <w:szCs w:val="24"/>
        </w:rPr>
        <w:t xml:space="preserve">), do ktorých sú </w:t>
      </w:r>
      <w:r w:rsidRPr="00583B5A">
        <w:rPr>
          <w:rFonts w:ascii="Times New Roman" w:hAnsi="Times New Roman"/>
          <w:sz w:val="24"/>
          <w:szCs w:val="24"/>
        </w:rPr>
        <w:t>verejní</w:t>
      </w:r>
      <w:r>
        <w:rPr>
          <w:rFonts w:ascii="Times New Roman" w:hAnsi="Times New Roman"/>
          <w:sz w:val="24"/>
          <w:szCs w:val="24"/>
        </w:rPr>
        <w:t xml:space="preserve"> funkcionári navrhovaní,  volení alebo z ktorých sú odvolávaní Národnou radou Slovenskej republiky, okrem členov disciplinárnych senátov súdov Slovenskej republiky a členov výberovej komisie na obsadenie voľného miesta sudcu.“.</w:t>
      </w:r>
    </w:p>
    <w:p w:rsidR="001C7EC9" w:rsidP="001C7EC9">
      <w:pPr>
        <w:bidi w:val="0"/>
        <w:spacing w:after="0" w:line="240" w:lineRule="auto"/>
        <w:ind w:left="1418" w:hanging="425"/>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5 odseky 2 až 6 znejú: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„(2) Verejný funkcionár nesmie podnikať; to sa nevzťahuje na výkon povolania, ktoré môže vykonávať len fyzická osoba za zákonom ustanovených podmienok.</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(3) Verejný funkcionár nesmie byť štatutárnym orgánom alebo členom štatutárneho orgánu právnickej osoby, ktorá bola zriadená na výkon podnikateľskej činnosti, okrem valného zhromaždenia a členskej schôdze.</w:t>
      </w:r>
    </w:p>
    <w:p w:rsidR="001C7EC9" w:rsidP="001C7EC9">
      <w:pPr>
        <w:bidi w:val="0"/>
        <w:spacing w:after="0" w:line="240" w:lineRule="auto"/>
        <w:ind w:firstLine="360"/>
        <w:rPr>
          <w:rFonts w:ascii="Times New Roman" w:hAnsi="Times New Roman"/>
          <w:sz w:val="24"/>
          <w:szCs w:val="24"/>
        </w:rPr>
      </w:pPr>
      <w:r>
        <w:rPr>
          <w:rFonts w:ascii="Times New Roman" w:hAnsi="Times New Roman"/>
          <w:sz w:val="24"/>
          <w:szCs w:val="24"/>
        </w:rPr>
        <w:t xml:space="preserve">(4)  Zákaz podľa odseku 3 sa nevzťahuje na </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a) členstvo verejného funkcionára v orgáne právnickej osoby, ktoré vyplýva zo zákona alebo z výkonu funkcie verejného funkcionára,</w:t>
      </w:r>
    </w:p>
    <w:p w:rsidR="001C7EC9" w:rsidP="001C7EC9">
      <w:pPr>
        <w:pStyle w:val="ListParagraph"/>
        <w:bidi w:val="0"/>
        <w:spacing w:after="0" w:line="240" w:lineRule="auto"/>
        <w:ind w:left="1418" w:hanging="284"/>
        <w:jc w:val="both"/>
        <w:rPr>
          <w:rFonts w:ascii="Times New Roman" w:hAnsi="Times New Roman"/>
          <w:sz w:val="24"/>
          <w:szCs w:val="24"/>
        </w:rPr>
      </w:pPr>
      <w:r>
        <w:rPr>
          <w:rFonts w:ascii="Times New Roman" w:hAnsi="Times New Roman"/>
          <w:sz w:val="24"/>
          <w:szCs w:val="24"/>
        </w:rPr>
        <w:t>b) zastupovanie štátu v orgánoch právnických osôb s majetkovou účasťou štátu, na zastupovanie Fondu národného majetku Slovenskej republiky v orgánoch právnických osôb s majetkovou účasťou Fondu národného majetku Slovenskej republiky a na zastupovanie obce alebo vyššieho územného celku v orgánoch právnických osôb s majetkovou účasťou obce alebo s majetkovou účasťou vyššieho územného celku.</w:t>
      </w:r>
    </w:p>
    <w:p w:rsidR="001C7EC9" w:rsidP="001C7EC9">
      <w:pPr>
        <w:pStyle w:val="ListParagraph"/>
        <w:bidi w:val="0"/>
        <w:spacing w:after="0" w:line="240" w:lineRule="auto"/>
        <w:ind w:left="1418" w:hanging="284"/>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(5)  Verejný funkcionár, ktorý vykonáva činnosti podľa odseku 4, nesmie za ich výkon poberať odmenu a iné finančné plnenie, okrem náhrady preukázaných výdavkov s výkonom tejto funkcie.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(6)  Ustanovenia odsekov 2 a 3 sa nevzťahujú na verejných funkcionárov podľa čl. 2 ods. 1 písm. p) a r). Zákaz podľa odseku 2 sa nevzťahuje na verejného funkcionára podľa čl. 2 ods. </w:t>
      </w:r>
      <w:r w:rsidRPr="00583B5A">
        <w:rPr>
          <w:rFonts w:ascii="Times New Roman" w:hAnsi="Times New Roman"/>
          <w:sz w:val="24"/>
          <w:szCs w:val="24"/>
        </w:rPr>
        <w:t>1 písm. o).“.</w:t>
      </w:r>
    </w:p>
    <w:p w:rsidR="001C7EC9" w:rsidP="001C7EC9">
      <w:pPr>
        <w:pStyle w:val="ListParagraph"/>
        <w:bidi w:val="0"/>
        <w:spacing w:after="0" w:line="240" w:lineRule="auto"/>
        <w:ind w:left="709" w:firstLine="1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5 ods. 7 sa slová „odsekov 1 a 2“ nahrádzajú slovami „odsekov 1 až 3“.</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6 odsek 1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 Verejný funkcionár, ktorý sa zúčastňuje na rokovaní orgánu o veci, na ktorej má osobný záujem, je povinný oznámiť svoj osobný záujem o vec predtým, ako na rokovaní vystúpi alebo pred hlasovaním o tejto veci.“. </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úvodná veta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„Verejný funkcionár je povinný do 30 dní odo dňa, od ktorého sa ujal verejnej funkcie, a počas jej výkonu do 30. apríla každého kalendárneho roka podať písomné oznámenie podľa stavu k 31. decembru predchádzajúceho kalendárneho roka, v ktorom uvedie“.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1 písm. c) sa za slovo „požitky“ pripájajú slová „a dátum, </w:t>
      </w:r>
      <w:r w:rsidRPr="00C13675">
        <w:rPr>
          <w:rFonts w:ascii="Times New Roman" w:hAnsi="Times New Roman"/>
          <w:sz w:val="24"/>
          <w:szCs w:val="24"/>
        </w:rPr>
        <w:t>od ktorého</w:t>
      </w:r>
      <w:r>
        <w:rPr>
          <w:rFonts w:ascii="Times New Roman" w:hAnsi="Times New Roman"/>
          <w:sz w:val="24"/>
          <w:szCs w:val="24"/>
        </w:rPr>
        <w:t xml:space="preserve"> sa ujal výkonu verejnej  funkcie“.</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1 písmená d) a e) znejú:</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„d) svoje príjmy, vrátane paušálnych náhrad dosiahnuté v uplynulom kalendárnom roku za výkon funkcie verejného funkcionára a za výkon iných funkcií, zamestnaní a činností, ktoré verejný funkcionár v uvedenom období vykonával, ako aj ďalšie príjmy, ktoré sa  uvádzajú v daňovom priznaní a ostatné finančné príjmy, ktoré podliehajú dani z príjmov, ak sú vyššie ako 100 eur ročne, </w:t>
      </w:r>
    </w:p>
    <w:p w:rsidR="001C7EC9" w:rsidP="001C7EC9">
      <w:pPr>
        <w:pStyle w:val="ListParagraph"/>
        <w:bidi w:val="0"/>
        <w:spacing w:after="0" w:line="240" w:lineRule="auto"/>
        <w:ind w:left="644"/>
        <w:jc w:val="both"/>
        <w:rPr>
          <w:rFonts w:ascii="Times New Roman" w:hAnsi="Times New Roman"/>
          <w:sz w:val="24"/>
          <w:szCs w:val="24"/>
        </w:rPr>
      </w:pPr>
    </w:p>
    <w:p w:rsidR="001C7EC9" w:rsidP="008474CD">
      <w:pPr>
        <w:bidi w:val="0"/>
        <w:spacing w:after="0" w:line="240" w:lineRule="auto"/>
        <w:ind w:left="360" w:firstLine="60"/>
        <w:jc w:val="both"/>
        <w:rPr>
          <w:rFonts w:ascii="Times New Roman" w:hAnsi="Times New Roman"/>
          <w:sz w:val="24"/>
          <w:szCs w:val="24"/>
        </w:rPr>
      </w:pPr>
      <w:r w:rsidRPr="005C10FD">
        <w:rPr>
          <w:rFonts w:ascii="Times New Roman" w:hAnsi="Times New Roman"/>
          <w:sz w:val="24"/>
          <w:szCs w:val="24"/>
        </w:rPr>
        <w:t xml:space="preserve">e) svoje majetkové pomery a majetkové pomery manžela (manželky) a  neplnoletých detí, ktorí s ním žijú v domácnosti, vrátane osobných údajov v rozsahu titul, meno, priezvisko, rodinný stav a adresa trvalého pobytu a údajov o podieloch vo vzťahu k majetkovým pomerom,“. </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sa odsek 1  dopĺňa písmenom f), ktoré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„f) popis daru, inej výhody alebo sumy finančného daru spolu s menom, priezviskom a adresou trvalého bydliska alebo obchodným menom a adresou sídla darcu alebo osoby, ktorá výhodu poskytla, a ktorý prijal verejný funkcionár v roku, za ktorý sa oznámenie podáva, ak hodnota darov alebo iných výhod od jedného darcu alebo hodnota jedného daru presiahne 4 000 eur.“.</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odsek 2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firstLine="360"/>
        <w:jc w:val="both"/>
        <w:rPr>
          <w:rFonts w:ascii="Times New Roman" w:hAnsi="Times New Roman"/>
          <w:i/>
          <w:sz w:val="24"/>
          <w:szCs w:val="24"/>
        </w:rPr>
      </w:pPr>
      <w:r>
        <w:rPr>
          <w:rFonts w:ascii="Times New Roman" w:hAnsi="Times New Roman"/>
          <w:sz w:val="24"/>
          <w:szCs w:val="24"/>
        </w:rPr>
        <w:t>„(2) K písomnému oznámeniu podľa odseku 1 verejný funkcionár priloží kópiu</w:t>
      </w:r>
      <w:r>
        <w:rPr>
          <w:rFonts w:ascii="Times New Roman" w:hAnsi="Times New Roman"/>
          <w:i/>
          <w:sz w:val="24"/>
          <w:szCs w:val="24"/>
        </w:rPr>
        <w:t xml:space="preserve">        </w:t>
      </w:r>
    </w:p>
    <w:p w:rsidR="001C7EC9" w:rsidP="001C7EC9">
      <w:pPr>
        <w:pStyle w:val="ListParagraph"/>
        <w:numPr>
          <w:numId w:val="3"/>
        </w:numPr>
        <w:bidi w:val="0"/>
        <w:spacing w:after="0" w:line="240" w:lineRule="auto"/>
        <w:jc w:val="both"/>
        <w:rPr>
          <w:rFonts w:ascii="Times New Roman" w:hAnsi="Times New Roman"/>
          <w:sz w:val="24"/>
          <w:szCs w:val="24"/>
        </w:rPr>
      </w:pPr>
      <w:r>
        <w:rPr>
          <w:rFonts w:ascii="Times New Roman" w:hAnsi="Times New Roman"/>
          <w:sz w:val="24"/>
          <w:szCs w:val="24"/>
        </w:rPr>
        <w:t xml:space="preserve">podaného daňového priznania k dani z príjmov fyzických osôb za predchádzajúci kalendárny rok, alebo </w:t>
      </w:r>
    </w:p>
    <w:p w:rsidR="001C7EC9" w:rsidP="001C7EC9">
      <w:pPr>
        <w:pStyle w:val="ListParagraph"/>
        <w:numPr>
          <w:numId w:val="3"/>
        </w:numPr>
        <w:bidi w:val="0"/>
        <w:spacing w:after="0" w:line="240" w:lineRule="auto"/>
        <w:ind w:left="1418" w:hanging="284"/>
        <w:jc w:val="both"/>
        <w:rPr>
          <w:rFonts w:ascii="Times New Roman" w:hAnsi="Times New Roman"/>
          <w:sz w:val="24"/>
          <w:szCs w:val="24"/>
        </w:rPr>
      </w:pPr>
      <w:r>
        <w:rPr>
          <w:rFonts w:ascii="Times New Roman" w:hAnsi="Times New Roman"/>
          <w:sz w:val="24"/>
          <w:szCs w:val="24"/>
        </w:rPr>
        <w:t>iný doklad  vydávaný na daňové účely obsahujúci sumu príjmov, ktoré verejný funkcionár získal za predchádzajúci kalendárny rok.“.</w:t>
      </w:r>
    </w:p>
    <w:p w:rsidR="001C7EC9" w:rsidP="001C7EC9">
      <w:pPr>
        <w:pStyle w:val="ListParagraph"/>
        <w:bidi w:val="0"/>
        <w:spacing w:after="0" w:line="240" w:lineRule="auto"/>
        <w:ind w:left="851"/>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odsek 4 znie: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ind w:firstLine="360"/>
      </w:pPr>
      <w:r>
        <w:rPr>
          <w:rFonts w:ascii="Times New Roman" w:hAnsi="Times New Roman"/>
          <w:sz w:val="24"/>
          <w:szCs w:val="24"/>
        </w:rPr>
        <w:t>„(4) Majetkovými pomermi podľa odseku 1 písm. e) sa rozumie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„a) vlastníctvo nehnuteľnej veci vrátane vlastníctva bytu a nebytového priestoru, </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 vlastníctvo hnuteľnej veci, ak jej zvyčajná hodnota je nad 10 000 eur,</w:t>
      </w:r>
    </w:p>
    <w:p w:rsidR="001C7EC9" w:rsidP="001C7EC9">
      <w:pPr>
        <w:bidi w:val="0"/>
        <w:spacing w:after="0" w:line="240" w:lineRule="auto"/>
        <w:ind w:left="993" w:hanging="993"/>
        <w:jc w:val="both"/>
        <w:rPr>
          <w:rFonts w:ascii="Times New Roman" w:hAnsi="Times New Roman"/>
          <w:sz w:val="24"/>
          <w:szCs w:val="24"/>
        </w:rPr>
      </w:pPr>
      <w:r>
        <w:rPr>
          <w:rFonts w:ascii="Times New Roman" w:hAnsi="Times New Roman"/>
          <w:sz w:val="24"/>
          <w:szCs w:val="24"/>
        </w:rPr>
        <w:t xml:space="preserve">           c) vlastníctvo majetkového práva alebo inej majetkovej hodnoty, ak ich zvyčajná  hodnota je nad 10 000 eur, alebo</w:t>
      </w:r>
    </w:p>
    <w:p w:rsidR="001C7EC9" w:rsidP="001C7EC9">
      <w:pPr>
        <w:bidi w:val="0"/>
        <w:spacing w:after="0" w:line="240" w:lineRule="auto"/>
        <w:ind w:left="851" w:hanging="851"/>
        <w:jc w:val="both"/>
        <w:rPr>
          <w:rFonts w:ascii="Times New Roman" w:hAnsi="Times New Roman"/>
          <w:sz w:val="24"/>
          <w:szCs w:val="24"/>
        </w:rPr>
      </w:pPr>
      <w:r>
        <w:rPr>
          <w:rFonts w:ascii="Times New Roman" w:hAnsi="Times New Roman"/>
          <w:sz w:val="24"/>
          <w:szCs w:val="24"/>
        </w:rPr>
        <w:t xml:space="preserve">          d) existencia záväzku, ak jeho predmetom je peňažné plnenie vo zvyčajnej hodnote nad 10 000 eur,</w:t>
      </w:r>
    </w:p>
    <w:p w:rsidR="001C7EC9" w:rsidP="001C7EC9">
      <w:pPr>
        <w:bidi w:val="0"/>
        <w:spacing w:after="0" w:line="240" w:lineRule="auto"/>
        <w:ind w:left="851" w:hanging="851"/>
        <w:jc w:val="both"/>
        <w:rPr>
          <w:rFonts w:ascii="Times New Roman" w:hAnsi="Times New Roman"/>
          <w:color w:val="FF0000"/>
          <w:sz w:val="24"/>
          <w:szCs w:val="24"/>
        </w:rPr>
      </w:pPr>
      <w:r>
        <w:rPr>
          <w:rFonts w:ascii="Times New Roman" w:hAnsi="Times New Roman"/>
          <w:sz w:val="24"/>
          <w:szCs w:val="24"/>
        </w:rPr>
        <w:t xml:space="preserve">        „e) užívanie nehnuteľnej veci a hnuteľnej veci  vo vlastníctve inej fyzickej osoby alebo inej právnickej osoby, ak hodnota užívania nehnuteľnej veci alebo hnuteľnej veci presahuje 4 000 eur za kalendárny rok.“.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sa  za odsek 4 vkladajú nové odseky 5 a 6 ktoré znejú: </w:t>
      </w:r>
    </w:p>
    <w:p w:rsidR="001C7EC9" w:rsidP="001C7EC9">
      <w:pPr>
        <w:pStyle w:val="ListParagraph"/>
        <w:bidi w:val="0"/>
        <w:spacing w:after="0" w:line="240" w:lineRule="auto"/>
        <w:ind w:left="360"/>
        <w:jc w:val="both"/>
        <w:rPr>
          <w:rFonts w:ascii="Times New Roman" w:hAnsi="Times New Roman"/>
          <w:b/>
          <w:i/>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„(5) V písomnom oznámení o majetkových pomeroch podľa odseku 4 verejný funkcionár </w:t>
      </w:r>
      <w:r w:rsidRPr="005C10FD">
        <w:rPr>
          <w:rFonts w:ascii="Times New Roman" w:hAnsi="Times New Roman"/>
          <w:sz w:val="24"/>
          <w:szCs w:val="24"/>
        </w:rPr>
        <w:t>uvedie skutočnosti uvedené v prílohe č. 1.</w:t>
      </w:r>
      <w:r>
        <w:rPr>
          <w:rFonts w:ascii="Times New Roman" w:hAnsi="Times New Roman"/>
          <w:sz w:val="24"/>
          <w:szCs w:val="24"/>
        </w:rPr>
        <w:t xml:space="preserve"> </w:t>
      </w:r>
    </w:p>
    <w:p w:rsidR="001C7EC9" w:rsidP="001C7EC9">
      <w:pPr>
        <w:bidi w:val="0"/>
        <w:spacing w:after="0" w:line="240" w:lineRule="auto"/>
        <w:ind w:left="709"/>
        <w:jc w:val="both"/>
        <w:rPr>
          <w:rFonts w:ascii="Times New Roman" w:hAnsi="Times New Roman"/>
          <w:sz w:val="24"/>
          <w:szCs w:val="24"/>
        </w:rPr>
      </w:pPr>
    </w:p>
    <w:p w:rsidR="001C7EC9" w:rsidP="001C7EC9">
      <w:pPr>
        <w:bidi w:val="0"/>
        <w:spacing w:after="0" w:line="240" w:lineRule="auto"/>
        <w:ind w:left="709"/>
        <w:jc w:val="both"/>
        <w:rPr>
          <w:rFonts w:ascii="Times New Roman" w:hAnsi="Times New Roman"/>
          <w:sz w:val="24"/>
          <w:szCs w:val="24"/>
        </w:rPr>
      </w:pPr>
      <w:r>
        <w:rPr>
          <w:rFonts w:ascii="Times New Roman" w:hAnsi="Times New Roman"/>
          <w:sz w:val="24"/>
          <w:szCs w:val="24"/>
        </w:rPr>
        <w:t xml:space="preserve">(6) Oznámenie podľa odseku 1 sa podáva na tlačive, ktorého vzor je uvedený v  </w:t>
      </w:r>
      <w:r w:rsidRPr="00C13675">
        <w:rPr>
          <w:rFonts w:ascii="Times New Roman" w:hAnsi="Times New Roman"/>
          <w:sz w:val="24"/>
          <w:szCs w:val="24"/>
        </w:rPr>
        <w:t xml:space="preserve">prílohe </w:t>
      </w:r>
      <w:r>
        <w:rPr>
          <w:rFonts w:ascii="Times New Roman" w:hAnsi="Times New Roman"/>
          <w:sz w:val="24"/>
          <w:szCs w:val="24"/>
        </w:rPr>
        <w:t>č. 1. Osobné údaje verejného funkcionára sa poskytujú alebo zverejňujú v rozsahu titul, meno, priezvisko a verejná funkcia, ktorú zastáva. Národná rada Slovenskej republiky zverejňuje tlačivo na svojom webovom sídle.“.</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r>
        <w:rPr>
          <w:rFonts w:ascii="Times New Roman" w:hAnsi="Times New Roman"/>
          <w:sz w:val="24"/>
          <w:szCs w:val="24"/>
        </w:rPr>
        <w:t xml:space="preserve">Doterajšie odseky 5 až 10 sa označujú ako odseky 7 až 12. </w:t>
      </w:r>
    </w:p>
    <w:p w:rsidR="001C7EC9" w:rsidRPr="001C7EC9" w:rsidP="001C7EC9">
      <w:pPr>
        <w:autoSpaceDE w:val="0"/>
        <w:autoSpaceDN w:val="0"/>
        <w:bidi w:val="0"/>
        <w:adjustRightInd w:val="0"/>
        <w:spacing w:after="0" w:line="240" w:lineRule="auto"/>
        <w:jc w:val="both"/>
        <w:rPr>
          <w:rFonts w:ascii="Times New Roman" w:hAnsi="Times New Roman" w:cs="AngsanaUPC"/>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7 ods. 8 a 9 sa slová „odseku 5“ nahrádzajú slovami „odseku 7“ a v ods.  10 a 11 sa slová „ odseku 7“ nahrádzajú slovami „odseku 9“.</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7 ods. 9 druhá veta znie: „Oznámenia podané podľa odseku 7 zverejňuje komisia obecného a mestského zastupiteľstva a zastupiteľstva mestských častí v Bratislave a Košiciach na webovom sídle obce, mesta alebo mestskej časti ak ho má zriadené, komisia zastupiteľstva vyššieho územného celku na webovom sídle vyššieho územného celku, akademický senát na webovom sídle verejnej vysokej školy a výbor na  webovom sídle Národnej rady Slovenskej republiky.”.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Čl. 7 ods. 11  sa za slovom „vlastní“ vypúšťa čiarka a slová „alebo identifikáciu ďalších strán v právnych vzťahoch podľa odseku 4 písm. c) a d)“.</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7 sa dopĺňa odsekom 13, ktorý znie:</w:t>
      </w: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p>
    <w:p w:rsidR="001C7EC9" w:rsidP="001C7EC9">
      <w:pPr>
        <w:widowControl w:val="0"/>
        <w:autoSpaceDE w:val="0"/>
        <w:autoSpaceDN w:val="0"/>
        <w:bidi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„(13) Povinnosť podať písomné oznámenie podľa odseku 1 je splnená aj vtedy, ak bolo oznámenie podané elektronickými prostriedkami podpísané zaručeným elektronickým podpisom podľa osobitného zákona.“. </w:t>
      </w:r>
    </w:p>
    <w:p w:rsidR="001C7EC9" w:rsidP="001C7EC9">
      <w:pPr>
        <w:pStyle w:val="ListParagraph"/>
        <w:bidi w:val="0"/>
        <w:spacing w:after="0" w:line="240" w:lineRule="auto"/>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1 úvodnej vete sa slová „v čl.  2 ods. 1 písm. a), c), d), f), h), j) až m), o), q), t) až zk)“ sa nahrádzajú slovami „.v čl.  2 ods. 1 písm. a), c), d), f), h),</w:t>
      </w:r>
      <w:r w:rsidR="008B2794">
        <w:rPr>
          <w:rFonts w:ascii="Times New Roman" w:hAnsi="Times New Roman"/>
          <w:sz w:val="24"/>
          <w:szCs w:val="24"/>
        </w:rPr>
        <w:t xml:space="preserve"> j) až m), o), q), t) až ao</w:t>
      </w:r>
      <w:r>
        <w:rPr>
          <w:rFonts w:ascii="Times New Roman" w:hAnsi="Times New Roman"/>
          <w:sz w:val="24"/>
          <w:szCs w:val="24"/>
        </w:rPr>
        <w:t>) “.</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8 ods. 4 sa slová „čl. 7 ods. 5“ nahrádzajú slovami „čl. 7 ods. 7“ a slová „čl. 7 ods. 7“ sa nahrádzajú slovami „ čl. 7 ods. 9“.</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Čl. 8 sa dopĺňa odsekom 7, ktorý znie: </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„(7) Oznámenie podľa odseku 5 sa podáva na tlačive, ktorého vzor je uvedený v prílohe č. 2. Osobné údaje verejného funkcionára sa poskytujú alebo zverejňujú v rozsahu titul, meno, priezvisko a verejná funkcia, ktorú vykonával.“.</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 xml:space="preserve">V čl. 9 ods. 1 písm. a)  sa slová „v čl. 2 ods. 1 písm. a) až n) a t)  až zk)“ nahrádzajú slovami „v čl. 2 </w:t>
      </w:r>
      <w:r w:rsidR="00B4141D">
        <w:rPr>
          <w:rFonts w:ascii="Times New Roman" w:hAnsi="Times New Roman"/>
          <w:sz w:val="24"/>
          <w:szCs w:val="24"/>
        </w:rPr>
        <w:t>ods. 1 písm. a) až n) a t) až ao</w:t>
      </w:r>
      <w:r>
        <w:rPr>
          <w:rFonts w:ascii="Times New Roman" w:hAnsi="Times New Roman"/>
          <w:sz w:val="24"/>
          <w:szCs w:val="24"/>
        </w:rPr>
        <w:t>)“.</w:t>
      </w:r>
    </w:p>
    <w:p w:rsidR="001C7EC9" w:rsidP="001C7EC9">
      <w:pPr>
        <w:pStyle w:val="ListParagraph"/>
        <w:bidi w:val="0"/>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odsek 4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Orgán podľa odseku 1 umožní verejnému funkcionárovi, proti ktorému sa vedie konanie, aby sa ku konaniu vyjadril; ak je to potrebné, vykoná dokazovanie.“. </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 5 sa slová „do 60 dní“ nahrádzajú slovami „do 180 dní“.</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8 písm. a) sa za slovo „funkcionárovi“ vkladajú slová „počas jedného funkčného obdobia“.</w:t>
      </w:r>
    </w:p>
    <w:p w:rsidR="001C7EC9" w:rsidP="001C7EC9">
      <w:pPr>
        <w:bidi w:val="0"/>
        <w:spacing w:after="0" w:line="240" w:lineRule="auto"/>
        <w:ind w:firstLine="360"/>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 xml:space="preserve">V čl. 9  ods. 10 písmeno a) znie: </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„a) v sume zodpovedajúcej mesačnému platu verejného funkcionára, ak ide o porušenie povinnosti oznámiť svoj osobný záujem podľa čl. 6 a porušenie povinnosti podať oznámenie podľa čl. 7 v lehote ustanovenej v čl. 7,“.</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10 písm. b) sa na konci vypúšťajú slová „týkajúce sa jeho majetkových pomerov“.</w:t>
      </w:r>
    </w:p>
    <w:p w:rsidR="001C7EC9" w:rsidP="001C7EC9">
      <w:pPr>
        <w:pStyle w:val="ListParagraph"/>
        <w:bidi w:val="0"/>
        <w:spacing w:after="0" w:line="240" w:lineRule="auto"/>
        <w:ind w:left="644"/>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sa za odsek 10 vkladá nový odsek 11,  ktorý znie:</w:t>
      </w:r>
    </w:p>
    <w:p w:rsidR="001C7EC9" w:rsidP="001C7EC9">
      <w:pPr>
        <w:pStyle w:val="ListParagraph"/>
        <w:bidi w:val="0"/>
        <w:spacing w:line="240" w:lineRule="auto"/>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„(11) Pokutu podľa odseku 10 písm. a) až c) možno uložiť aj opakovane, a to za každých 180</w:t>
      </w:r>
      <w:r>
        <w:rPr>
          <w:rFonts w:ascii="Times New Roman" w:hAnsi="Times New Roman"/>
          <w:color w:val="FF0000"/>
          <w:sz w:val="24"/>
          <w:szCs w:val="24"/>
        </w:rPr>
        <w:t xml:space="preserve"> </w:t>
      </w:r>
      <w:r>
        <w:rPr>
          <w:rFonts w:ascii="Times New Roman" w:hAnsi="Times New Roman"/>
          <w:sz w:val="24"/>
          <w:szCs w:val="24"/>
        </w:rPr>
        <w:t>dní od právoplatnosti rozhodnutia, ak verejný funkcionár do 180 dní od právoplatnosti tohto rozhodnutia neurobil žiadne úkony smerujúce k náprave protiprávneho stavu</w:t>
      </w:r>
      <w:r>
        <w:rPr>
          <w:rFonts w:ascii="Times New Roman" w:hAnsi="Times New Roman"/>
          <w:b/>
          <w:i/>
          <w:color w:val="FF0000"/>
          <w:sz w:val="24"/>
          <w:szCs w:val="24"/>
        </w:rPr>
        <w:t xml:space="preserve"> </w:t>
      </w:r>
      <w:r>
        <w:rPr>
          <w:rFonts w:ascii="Times New Roman" w:hAnsi="Times New Roman"/>
          <w:sz w:val="24"/>
          <w:szCs w:val="24"/>
        </w:rPr>
        <w:t>okrem prípadov, kedy verejný funkcionár nemôže odstrániť protiprávny stav z vážnych dôvodov, ktoré posúdi konajúci orgán.“.</w:t>
      </w:r>
    </w:p>
    <w:p w:rsidR="001C7EC9" w:rsidP="001C7EC9">
      <w:pPr>
        <w:pStyle w:val="ListParagraph"/>
        <w:bidi w:val="0"/>
        <w:spacing w:line="240" w:lineRule="auto"/>
        <w:jc w:val="both"/>
        <w:rPr>
          <w:rFonts w:ascii="Times New Roman" w:hAnsi="Times New Roman"/>
          <w:sz w:val="24"/>
          <w:szCs w:val="24"/>
        </w:rPr>
      </w:pPr>
    </w:p>
    <w:p w:rsidR="001C7EC9" w:rsidP="001C7EC9">
      <w:pPr>
        <w:pStyle w:val="ListParagraph"/>
        <w:bidi w:val="0"/>
        <w:spacing w:line="240" w:lineRule="auto"/>
        <w:jc w:val="both"/>
        <w:rPr>
          <w:rFonts w:ascii="Times New Roman" w:hAnsi="Times New Roman"/>
          <w:sz w:val="24"/>
          <w:szCs w:val="24"/>
        </w:rPr>
      </w:pPr>
      <w:r>
        <w:rPr>
          <w:rFonts w:ascii="Times New Roman" w:hAnsi="Times New Roman"/>
          <w:sz w:val="24"/>
          <w:szCs w:val="24"/>
        </w:rPr>
        <w:t>Doterajšie odseky 11 až 16 sa označujú ako odseky 12 až 17.</w:t>
      </w:r>
    </w:p>
    <w:p w:rsidR="001C7EC9" w:rsidP="001C7EC9">
      <w:pPr>
        <w:pStyle w:val="ListParagraph"/>
        <w:bidi w:val="0"/>
        <w:spacing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12 písm. a) sa slová „t) až z</w:t>
      </w:r>
      <w:r w:rsidR="00C63C21">
        <w:rPr>
          <w:rFonts w:ascii="Times New Roman" w:hAnsi="Times New Roman"/>
          <w:sz w:val="24"/>
          <w:szCs w:val="24"/>
        </w:rPr>
        <w:t>k)“ nahrádzajú slovami „t) až ao</w:t>
      </w:r>
      <w:r>
        <w:rPr>
          <w:rFonts w:ascii="Times New Roman" w:hAnsi="Times New Roman"/>
          <w:sz w:val="24"/>
          <w:szCs w:val="24"/>
        </w:rPr>
        <w:t xml:space="preserve">)“ </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12  písm. e) sa slová „ods. 14“ nahrádzajú slovami „ods. 15“.</w:t>
      </w:r>
    </w:p>
    <w:p w:rsidR="001C7EC9" w:rsidP="001C7EC9">
      <w:pPr>
        <w:pStyle w:val="ListParagraph"/>
        <w:bidi w:val="0"/>
        <w:spacing w:after="0" w:line="240" w:lineRule="auto"/>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b/>
          <w:i/>
          <w:sz w:val="24"/>
          <w:szCs w:val="24"/>
        </w:rPr>
      </w:pPr>
      <w:r>
        <w:rPr>
          <w:rFonts w:ascii="Times New Roman" w:hAnsi="Times New Roman"/>
          <w:sz w:val="24"/>
          <w:szCs w:val="24"/>
        </w:rPr>
        <w:t>V čl. 9 odsek 13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„(13) Ak sa v konaní nepreukázalo, že verejný funkcionár nesplnil alebo porušil povinnosť alebo obmedzenia ustanovené týmto ústavným zákonom alebo zákonom, alebo v oznámení podľa čl. 7 alebo čl. 8 uviedol neúplné alebo nepravdivé údaje, orgán podľa odseku 1 rozhodne o zastavení konania. Na prijatie platného rozhodnutia o zastavení konania je potrebná najmenej trojpätinová väčšina prítomných členov orgánu, ktorý konanie uskutočňuje. Rozhodnutie </w:t>
      </w:r>
      <w:r w:rsidRPr="00C13675">
        <w:rPr>
          <w:rFonts w:ascii="Times New Roman" w:hAnsi="Times New Roman"/>
          <w:sz w:val="24"/>
          <w:szCs w:val="24"/>
        </w:rPr>
        <w:t xml:space="preserve">o zastavení konania </w:t>
      </w:r>
      <w:r>
        <w:rPr>
          <w:rFonts w:ascii="Times New Roman" w:hAnsi="Times New Roman"/>
          <w:sz w:val="24"/>
          <w:szCs w:val="24"/>
        </w:rPr>
        <w:t>obsahuje výrok, odôvodnenie a poučenie o opravnom prostriedku. Konanie sa zastaví aj vtedy, ak sa verejný funkcionár pred hlasovaním o rozhodnutí podľa odseku 6 vzdá svojej funkcie.“.</w:t>
      </w:r>
    </w:p>
    <w:p w:rsidR="001C7EC9" w:rsidP="001C7EC9">
      <w:pPr>
        <w:bidi w:val="0"/>
        <w:spacing w:after="0" w:line="240" w:lineRule="auto"/>
        <w:ind w:left="360"/>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9 ods. 16 sa slová „ odseku 14“ nahrádzajú slovami „odseku 15“.</w:t>
      </w:r>
    </w:p>
    <w:p w:rsidR="001C7EC9" w:rsidP="001C7EC9">
      <w:pPr>
        <w:pStyle w:val="ListParagraph"/>
        <w:bidi w:val="0"/>
        <w:spacing w:after="0" w:line="240" w:lineRule="auto"/>
        <w:ind w:left="644"/>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9 sa dopĺňa odsekom 18, ktorý znie:</w:t>
      </w:r>
    </w:p>
    <w:p w:rsidR="001C7EC9" w:rsidP="001C7EC9">
      <w:pPr>
        <w:bidi w:val="0"/>
        <w:spacing w:after="0" w:line="240" w:lineRule="auto"/>
        <w:ind w:firstLine="360"/>
        <w:jc w:val="both"/>
        <w:rPr>
          <w:rFonts w:ascii="Times New Roman" w:hAnsi="Times New Roman"/>
          <w:sz w:val="24"/>
          <w:szCs w:val="24"/>
        </w:rPr>
      </w:pPr>
    </w:p>
    <w:p w:rsidR="001C7EC9" w:rsidRPr="00C13675"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„(18) Ak orgán podľa odseku 1 nerozhodne v lehote podľa odseku 5, konanie sa zastaví. </w:t>
      </w:r>
      <w:r w:rsidRPr="00C13675">
        <w:rPr>
          <w:rFonts w:ascii="Times New Roman" w:hAnsi="Times New Roman"/>
          <w:sz w:val="24"/>
          <w:szCs w:val="24"/>
        </w:rPr>
        <w:t>Na rozhodnutie o zastavení konania  odsek 13 platí rovnako.“.</w:t>
      </w:r>
    </w:p>
    <w:p w:rsidR="001C7EC9" w:rsidP="001C7EC9">
      <w:pPr>
        <w:bidi w:val="0"/>
        <w:spacing w:after="0" w:line="240" w:lineRule="auto"/>
        <w:ind w:left="567"/>
        <w:jc w:val="both"/>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sa za odsek 3 vkladá nový odsek 4, ktorý znie:</w:t>
      </w:r>
    </w:p>
    <w:p w:rsidR="001C7EC9" w:rsidP="001C7EC9">
      <w:pPr>
        <w:bidi w:val="0"/>
        <w:spacing w:after="0" w:line="240" w:lineRule="auto"/>
        <w:ind w:left="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„(4) Proti rozhodnutiu o zastavení konania podľa čl. 9 ods. 13 a 18 môže dotknutý verejný funkcionár alebo 1/3 členov orgánu, ktorý vo veci rozhodol podať odvolanie  do </w:t>
      </w:r>
      <w:r w:rsidRPr="00C13675">
        <w:rPr>
          <w:rFonts w:ascii="Times New Roman" w:hAnsi="Times New Roman"/>
          <w:sz w:val="24"/>
          <w:szCs w:val="24"/>
        </w:rPr>
        <w:t>30</w:t>
      </w:r>
      <w:r>
        <w:rPr>
          <w:rFonts w:ascii="Times New Roman" w:hAnsi="Times New Roman"/>
          <w:color w:val="FF0000"/>
          <w:sz w:val="24"/>
          <w:szCs w:val="24"/>
        </w:rPr>
        <w:t xml:space="preserve"> </w:t>
      </w:r>
      <w:r>
        <w:rPr>
          <w:rFonts w:ascii="Times New Roman" w:hAnsi="Times New Roman"/>
          <w:sz w:val="24"/>
          <w:szCs w:val="24"/>
        </w:rPr>
        <w:t>dní odo dňa doručenia rozhodnutia verejnému funkcionárovi</w:t>
      </w:r>
      <w:r w:rsidRPr="00C13675">
        <w:rPr>
          <w:rFonts w:ascii="Times New Roman" w:hAnsi="Times New Roman"/>
          <w:sz w:val="24"/>
          <w:szCs w:val="24"/>
        </w:rPr>
        <w:t>, okrem konania, ktoré bolo zastavené za porušenie povinnosti podať oznámenie v lehote stanovenej v čl. 7.</w:t>
      </w:r>
      <w:r>
        <w:rPr>
          <w:rFonts w:ascii="Times New Roman" w:hAnsi="Times New Roman"/>
          <w:sz w:val="24"/>
          <w:szCs w:val="24"/>
        </w:rPr>
        <w:t xml:space="preserve"> Príslušný orgán, ktorý vo veci rozhodoval môže o odvolaní sám rozhodnúť, ak odvolaniu v plnom rozsahu vyhovie. Ak tento orgán odvolaniu nevyhovie, postúpi ho v lehote </w:t>
      </w:r>
      <w:r w:rsidRPr="00C13675">
        <w:rPr>
          <w:rFonts w:ascii="Times New Roman" w:hAnsi="Times New Roman"/>
          <w:sz w:val="24"/>
          <w:szCs w:val="24"/>
        </w:rPr>
        <w:t xml:space="preserve">30 </w:t>
      </w:r>
      <w:r>
        <w:rPr>
          <w:rFonts w:ascii="Times New Roman" w:hAnsi="Times New Roman"/>
          <w:sz w:val="24"/>
          <w:szCs w:val="24"/>
        </w:rPr>
        <w:t xml:space="preserve">dní na rozhodnutie Ústavnému súdu Slovenskej republiky. </w:t>
      </w:r>
      <w:r w:rsidRPr="00732EE8">
        <w:rPr>
          <w:rFonts w:ascii="Times New Roman" w:hAnsi="Times New Roman"/>
          <w:sz w:val="24"/>
          <w:szCs w:val="24"/>
        </w:rPr>
        <w:t>Ústavný súd Slovenskej republiky rozhodne o odvolaní do 60 dní odo dňa jeho doručenia.</w:t>
      </w:r>
      <w:r>
        <w:rPr>
          <w:rFonts w:ascii="Times New Roman" w:hAnsi="Times New Roman"/>
          <w:sz w:val="24"/>
          <w:szCs w:val="24"/>
        </w:rPr>
        <w:t xml:space="preserve"> Ústavný súd  Slovenskej republiky preskúma napadnuté rozhodnutie v celom rozsahu, ak sú pre to dôvody, rozhodnutie zmení alebo zruší, inak odvolanie zamietne a rozhodnutie potvrdí. Ústavný súd rozhodnutie zruší a vec vráti správnemu orgánu, ktorý ho vydal, na nové prerokovanie  a rozhodnutie, pokiaľ je to vhodnejšie najmä z dôvodov rýchlosti alebo hospodárnosti. Rozhodnutie Ústavného súdu Slovenskej republiky je konečné.“.</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bidi w:val="0"/>
        <w:spacing w:after="0" w:line="240" w:lineRule="auto"/>
        <w:jc w:val="both"/>
        <w:rPr>
          <w:rFonts w:ascii="Times New Roman" w:hAnsi="Times New Roman"/>
          <w:sz w:val="24"/>
          <w:szCs w:val="24"/>
        </w:rPr>
      </w:pPr>
      <w:r>
        <w:rPr>
          <w:rFonts w:ascii="Times New Roman" w:hAnsi="Times New Roman"/>
          <w:sz w:val="24"/>
          <w:szCs w:val="24"/>
        </w:rPr>
        <w:t>Doterajší odsek 4 sa označuje ako odsek 5.</w:t>
      </w:r>
    </w:p>
    <w:p w:rsidR="001C7EC9" w:rsidP="001C7EC9">
      <w:pPr>
        <w:pStyle w:val="ListParagraph"/>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V čl. 10 ods. 5 sa slová „čl. 9 ods. 14“ nahrádzajú slovami „ čl. 9 ods. 15“.</w:t>
      </w:r>
    </w:p>
    <w:p w:rsidR="001C7EC9" w:rsidP="001C7EC9">
      <w:pPr>
        <w:pStyle w:val="ListParagraph"/>
        <w:bidi w:val="0"/>
        <w:spacing w:after="0" w:line="240" w:lineRule="auto"/>
        <w:ind w:left="644"/>
        <w:rPr>
          <w:rFonts w:ascii="Times New Roman" w:hAnsi="Times New Roman"/>
          <w:b/>
          <w:i/>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Čl. 12 sa dopĺňa  odsekom 5, ktorý znie:</w:t>
      </w:r>
    </w:p>
    <w:p w:rsidR="001C7EC9" w:rsidP="001C7EC9">
      <w:pPr>
        <w:bidi w:val="0"/>
        <w:spacing w:after="0" w:line="240" w:lineRule="auto"/>
        <w:ind w:firstLine="360"/>
        <w:jc w:val="both"/>
        <w:rPr>
          <w:rFonts w:ascii="Times New Roman" w:hAnsi="Times New Roman"/>
          <w:sz w:val="24"/>
          <w:szCs w:val="24"/>
        </w:rPr>
      </w:pPr>
    </w:p>
    <w:p w:rsidR="001C7EC9" w:rsidP="001C7EC9">
      <w:pPr>
        <w:bidi w:val="0"/>
        <w:spacing w:after="0" w:line="240" w:lineRule="auto"/>
        <w:ind w:left="360"/>
        <w:jc w:val="both"/>
        <w:rPr>
          <w:rFonts w:ascii="Times New Roman" w:hAnsi="Times New Roman"/>
          <w:sz w:val="24"/>
          <w:szCs w:val="24"/>
        </w:rPr>
      </w:pPr>
      <w:r>
        <w:rPr>
          <w:rFonts w:ascii="Times New Roman" w:hAnsi="Times New Roman"/>
          <w:sz w:val="24"/>
          <w:szCs w:val="24"/>
        </w:rPr>
        <w:t xml:space="preserve">„(5) Majetkový prírastok verejného funkcionára na účely konania podľa čl. 9 ods. 8 písm. b) je rozdiel medzi jednotlivými údajmi v písomnom oznámení podľa čl. 7 ods. 1, a to najmä rozdiel medzi jednotlivými údajmi podľa čl. 7 ods. 1 písm. d)  v roku, v ktorom sa posudzuje pôvod majetkového prírastku, s údajmi za predchádzajúci kalendárny rok pri zohľadnení údajov o nadobudnutí nehnuteľnej veci a hnuteľnej veci v posudzovanom období.“. </w:t>
      </w:r>
    </w:p>
    <w:p w:rsidR="001C7EC9" w:rsidP="001C7EC9">
      <w:pPr>
        <w:pStyle w:val="ListParagraph"/>
        <w:bidi w:val="0"/>
        <w:spacing w:after="0" w:line="240" w:lineRule="auto"/>
        <w:ind w:left="644"/>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Za čl. 12a sa vkladá čl. 12b, ktorý vrátane nadpisu znie:</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„Čl. 12b</w:t>
      </w:r>
    </w:p>
    <w:p w:rsidR="001C7EC9" w:rsidP="001C7EC9">
      <w:pPr>
        <w:pStyle w:val="ListParagraph"/>
        <w:bidi w:val="0"/>
        <w:spacing w:after="0" w:line="240" w:lineRule="auto"/>
        <w:jc w:val="center"/>
        <w:rPr>
          <w:rFonts w:ascii="Times New Roman" w:hAnsi="Times New Roman"/>
          <w:sz w:val="24"/>
          <w:szCs w:val="24"/>
        </w:rPr>
      </w:pPr>
    </w:p>
    <w:p w:rsidR="001C7EC9" w:rsidP="001C7EC9">
      <w:pPr>
        <w:pStyle w:val="ListParagraph"/>
        <w:bidi w:val="0"/>
        <w:spacing w:after="0" w:line="240" w:lineRule="auto"/>
        <w:jc w:val="center"/>
        <w:rPr>
          <w:rFonts w:ascii="Times New Roman" w:hAnsi="Times New Roman"/>
          <w:sz w:val="24"/>
          <w:szCs w:val="24"/>
        </w:rPr>
      </w:pPr>
      <w:r>
        <w:rPr>
          <w:rFonts w:ascii="Times New Roman" w:hAnsi="Times New Roman"/>
          <w:sz w:val="24"/>
          <w:szCs w:val="24"/>
        </w:rPr>
        <w:t>Prechodné ustanovenia k úpravám účinným od 1. jan</w:t>
      </w:r>
      <w:r w:rsidR="00DF4875">
        <w:rPr>
          <w:rFonts w:ascii="Times New Roman" w:hAnsi="Times New Roman"/>
          <w:sz w:val="24"/>
          <w:szCs w:val="24"/>
        </w:rPr>
        <w:t>uára 2016</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ind w:left="426" w:hanging="1"/>
        <w:jc w:val="both"/>
        <w:rPr>
          <w:rFonts w:ascii="Times New Roman" w:hAnsi="Times New Roman"/>
          <w:sz w:val="24"/>
          <w:szCs w:val="24"/>
        </w:rPr>
      </w:pPr>
      <w:r>
        <w:rPr>
          <w:rFonts w:ascii="Times New Roman" w:hAnsi="Times New Roman"/>
          <w:sz w:val="24"/>
          <w:szCs w:val="24"/>
        </w:rPr>
        <w:t>(1) Ak verejný funkc</w:t>
      </w:r>
      <w:r w:rsidR="00DF4875">
        <w:rPr>
          <w:rFonts w:ascii="Times New Roman" w:hAnsi="Times New Roman"/>
          <w:sz w:val="24"/>
          <w:szCs w:val="24"/>
        </w:rPr>
        <w:t>ionár vykonáva k 1. januáru 2016</w:t>
      </w:r>
      <w:r>
        <w:rPr>
          <w:rFonts w:ascii="Times New Roman" w:hAnsi="Times New Roman"/>
          <w:sz w:val="24"/>
          <w:szCs w:val="24"/>
        </w:rPr>
        <w:t xml:space="preserve"> funkciu, zamestnanie alebo činnosť, ktorá je podľa  ústavného zákona účinného pred 1. januárom 201</w:t>
      </w:r>
      <w:r w:rsidR="00DF4875">
        <w:rPr>
          <w:rFonts w:ascii="Times New Roman" w:hAnsi="Times New Roman"/>
          <w:sz w:val="24"/>
          <w:szCs w:val="24"/>
        </w:rPr>
        <w:t>6</w:t>
      </w:r>
      <w:r>
        <w:rPr>
          <w:rFonts w:ascii="Times New Roman" w:hAnsi="Times New Roman"/>
          <w:sz w:val="24"/>
          <w:szCs w:val="24"/>
        </w:rPr>
        <w:t xml:space="preserve"> nezlučiteľná s jeho funkciou verejného funkcionára, je povinný do 30 dní odo dňa nadobudnutia účinnosti ústavného zá</w:t>
      </w:r>
      <w:r w:rsidR="00DF4875">
        <w:rPr>
          <w:rFonts w:ascii="Times New Roman" w:hAnsi="Times New Roman"/>
          <w:sz w:val="24"/>
          <w:szCs w:val="24"/>
        </w:rPr>
        <w:t>kona účinného od 1. januára 2016</w:t>
      </w:r>
      <w:r w:rsidR="008D1AC5">
        <w:rPr>
          <w:rFonts w:ascii="Times New Roman" w:hAnsi="Times New Roman"/>
          <w:sz w:val="24"/>
          <w:szCs w:val="24"/>
        </w:rPr>
        <w:t xml:space="preserve"> </w:t>
      </w:r>
      <w:r>
        <w:rPr>
          <w:rFonts w:ascii="Times New Roman" w:hAnsi="Times New Roman"/>
          <w:sz w:val="24"/>
          <w:szCs w:val="24"/>
        </w:rPr>
        <w:t xml:space="preserve">jej vykonávanie skončiť alebo vykonať zákonom ustanovený právny úkon smerujúci k jej skončeniu. </w:t>
      </w:r>
    </w:p>
    <w:p w:rsidR="001C7EC9" w:rsidP="001C7EC9">
      <w:pPr>
        <w:bidi w:val="0"/>
        <w:spacing w:after="0" w:line="240" w:lineRule="auto"/>
        <w:ind w:left="709" w:hanging="1"/>
        <w:jc w:val="both"/>
        <w:rPr>
          <w:rFonts w:ascii="Times New Roman" w:hAnsi="Times New Roman"/>
          <w:sz w:val="24"/>
          <w:szCs w:val="24"/>
        </w:rPr>
      </w:pPr>
    </w:p>
    <w:p w:rsidR="001C7EC9" w:rsidP="008474CD">
      <w:pPr>
        <w:bidi w:val="0"/>
        <w:spacing w:after="0" w:line="240" w:lineRule="auto"/>
        <w:ind w:left="425"/>
        <w:jc w:val="both"/>
        <w:rPr>
          <w:rFonts w:ascii="Times New Roman" w:hAnsi="Times New Roman"/>
          <w:sz w:val="24"/>
          <w:szCs w:val="24"/>
        </w:rPr>
      </w:pPr>
      <w:r>
        <w:rPr>
          <w:rFonts w:ascii="Times New Roman" w:hAnsi="Times New Roman"/>
          <w:sz w:val="24"/>
          <w:szCs w:val="24"/>
        </w:rPr>
        <w:t xml:space="preserve">(2) Konanie vo veciach rozporu osobného záujmu s verejným záujmom začaté pred 1. </w:t>
      </w:r>
      <w:r w:rsidR="00DF4875">
        <w:rPr>
          <w:rFonts w:ascii="Times New Roman" w:hAnsi="Times New Roman"/>
          <w:sz w:val="24"/>
          <w:szCs w:val="24"/>
        </w:rPr>
        <w:t>januárom 2016 sa dokončí</w:t>
      </w:r>
      <w:r>
        <w:rPr>
          <w:rFonts w:ascii="Times New Roman" w:hAnsi="Times New Roman"/>
          <w:sz w:val="24"/>
          <w:szCs w:val="24"/>
        </w:rPr>
        <w:t xml:space="preserve"> podľa ústavného zákona účinného pred 1. januárom 201</w:t>
      </w:r>
      <w:r w:rsidR="00747E19">
        <w:rPr>
          <w:rFonts w:ascii="Times New Roman" w:hAnsi="Times New Roman"/>
          <w:sz w:val="24"/>
          <w:szCs w:val="24"/>
        </w:rPr>
        <w:t>6</w:t>
      </w:r>
      <w:r>
        <w:rPr>
          <w:rFonts w:ascii="Times New Roman" w:hAnsi="Times New Roman"/>
          <w:sz w:val="24"/>
          <w:szCs w:val="24"/>
        </w:rPr>
        <w:t xml:space="preserve">.   </w:t>
      </w:r>
    </w:p>
    <w:p w:rsidR="001C7EC9" w:rsidP="001C7EC9">
      <w:pPr>
        <w:bidi w:val="0"/>
        <w:spacing w:after="0" w:line="240" w:lineRule="auto"/>
        <w:ind w:left="709" w:hanging="1"/>
        <w:jc w:val="both"/>
        <w:rPr>
          <w:rFonts w:ascii="Times New Roman" w:hAnsi="Times New Roman"/>
          <w:sz w:val="24"/>
          <w:szCs w:val="24"/>
        </w:rPr>
      </w:pPr>
    </w:p>
    <w:p w:rsidR="001C7EC9" w:rsidP="008474CD">
      <w:pPr>
        <w:bidi w:val="0"/>
        <w:spacing w:after="0" w:line="240" w:lineRule="auto"/>
        <w:ind w:left="425"/>
        <w:jc w:val="both"/>
        <w:rPr>
          <w:rFonts w:ascii="Times New Roman" w:hAnsi="Times New Roman"/>
          <w:sz w:val="24"/>
          <w:szCs w:val="24"/>
        </w:rPr>
      </w:pPr>
      <w:r w:rsidR="008D1AC5">
        <w:rPr>
          <w:rFonts w:ascii="Times New Roman" w:hAnsi="Times New Roman"/>
          <w:sz w:val="24"/>
          <w:szCs w:val="24"/>
        </w:rPr>
        <w:t>(3) Oznámenia</w:t>
      </w:r>
      <w:r>
        <w:rPr>
          <w:rFonts w:ascii="Times New Roman" w:hAnsi="Times New Roman"/>
          <w:sz w:val="24"/>
          <w:szCs w:val="24"/>
        </w:rPr>
        <w:t xml:space="preserve"> podľa čl. 7 ods. 1 a čl. 8 ods. 5 za rok 201</w:t>
      </w:r>
      <w:r w:rsidR="00747E19">
        <w:rPr>
          <w:rFonts w:ascii="Times New Roman" w:hAnsi="Times New Roman"/>
          <w:sz w:val="24"/>
          <w:szCs w:val="24"/>
        </w:rPr>
        <w:t>5</w:t>
      </w:r>
      <w:r>
        <w:rPr>
          <w:rFonts w:ascii="Times New Roman" w:hAnsi="Times New Roman"/>
          <w:sz w:val="24"/>
          <w:szCs w:val="24"/>
        </w:rPr>
        <w:t xml:space="preserve"> sa podávajú podľa ústavného zák</w:t>
      </w:r>
      <w:r w:rsidR="00747E19">
        <w:rPr>
          <w:rFonts w:ascii="Times New Roman" w:hAnsi="Times New Roman"/>
          <w:sz w:val="24"/>
          <w:szCs w:val="24"/>
        </w:rPr>
        <w:t>ona účinného od 1. januára 2016</w:t>
      </w:r>
      <w:r>
        <w:rPr>
          <w:rFonts w:ascii="Times New Roman" w:hAnsi="Times New Roman"/>
          <w:sz w:val="24"/>
          <w:szCs w:val="24"/>
        </w:rPr>
        <w:t xml:space="preserve">. </w:t>
      </w:r>
    </w:p>
    <w:p w:rsidR="001C7EC9" w:rsidP="001C7EC9">
      <w:pPr>
        <w:bidi w:val="0"/>
        <w:spacing w:after="0" w:line="240" w:lineRule="auto"/>
        <w:ind w:left="709" w:hanging="1"/>
        <w:jc w:val="both"/>
        <w:rPr>
          <w:rFonts w:ascii="Times New Roman" w:hAnsi="Times New Roman"/>
          <w:sz w:val="24"/>
          <w:szCs w:val="24"/>
        </w:rPr>
      </w:pPr>
    </w:p>
    <w:p w:rsidR="001C7EC9" w:rsidP="008D1AC5">
      <w:pPr>
        <w:bidi w:val="0"/>
        <w:spacing w:after="0" w:line="240" w:lineRule="auto"/>
        <w:ind w:left="425"/>
        <w:jc w:val="both"/>
        <w:rPr>
          <w:rFonts w:ascii="Times New Roman" w:hAnsi="Times New Roman"/>
          <w:sz w:val="24"/>
          <w:szCs w:val="24"/>
        </w:rPr>
      </w:pPr>
      <w:r>
        <w:rPr>
          <w:rFonts w:ascii="Times New Roman" w:hAnsi="Times New Roman"/>
          <w:sz w:val="24"/>
          <w:szCs w:val="24"/>
        </w:rPr>
        <w:t>(4) Oznámenie podľa čl. 7 ods. 1 a čl. 8 ods. 5 možno podať orgánu podľa čl. 7 ods. 7 písomne a aj elektronickými prostriedkami. Podrobnosti pri podávaní oznámení podľa čl. 7 ods. 1 a čl. 8 ods. 5 elektronickými prostriedkami upraví orgán podľa čl. 7 ods. 7 a oznámi ich na svojom webovom sídle.“.</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č. 1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Príloha č. 1  k ústavnému zákonu č. 357/2004 Z. z. v znení zákona č...../201</w:t>
      </w:r>
      <w:r w:rsidR="00547159">
        <w:rPr>
          <w:rFonts w:ascii="Times New Roman" w:hAnsi="Times New Roman"/>
          <w:sz w:val="24"/>
          <w:szCs w:val="24"/>
        </w:rPr>
        <w:t>5</w:t>
      </w:r>
      <w:r>
        <w:rPr>
          <w:rFonts w:ascii="Times New Roman" w:hAnsi="Times New Roman"/>
          <w:sz w:val="24"/>
          <w:szCs w:val="24"/>
        </w:rPr>
        <w:t xml:space="preserve"> Z. z.</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360"/>
        <w:jc w:val="center"/>
        <w:rPr>
          <w:rFonts w:ascii="Times New Roman" w:hAnsi="Times New Roman"/>
          <w:b/>
          <w:sz w:val="28"/>
          <w:szCs w:val="28"/>
        </w:rPr>
      </w:pPr>
      <w:r>
        <w:rPr>
          <w:rFonts w:ascii="Times New Roman" w:hAnsi="Times New Roman"/>
          <w:b/>
          <w:sz w:val="28"/>
          <w:szCs w:val="28"/>
        </w:rPr>
        <w:t>Vzor oznámenia funkcií, zamestnaní, činností a majetkových pomerov verejných funkcionárov</w:t>
      </w:r>
    </w:p>
    <w:p w:rsidR="001C7EC9" w:rsidP="001C7EC9">
      <w:pPr>
        <w:pStyle w:val="ListParagraph"/>
        <w:bidi w:val="0"/>
        <w:spacing w:after="0" w:line="240" w:lineRule="auto"/>
        <w:ind w:left="360"/>
        <w:jc w:val="center"/>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D:\richardj\_to_finish\NRSR\tlacivoAB-2-2\tlacivoAB-2-2-priloha-s01.wmf" style="width:452.24pt;height:636.92pt;visibility:visible" filled="f" stroked="f">
            <v:imagedata r:id="rId4" o:title=""/>
            <o:lock v:ext="edit" aspectratio="t"/>
          </v:shape>
        </w:pict>
      </w:r>
    </w:p>
    <w:p w:rsidR="001C7EC9" w:rsidP="001C7EC9">
      <w:pPr>
        <w:pStyle w:val="ListParagraph"/>
        <w:bidi w:val="0"/>
        <w:spacing w:after="0" w:line="240" w:lineRule="auto"/>
        <w:ind w:left="360"/>
        <w:jc w:val="both"/>
        <w:rPr>
          <w:noProof/>
          <w:lang w:eastAsia="sk-SK"/>
        </w:rPr>
      </w:pPr>
      <w:r>
        <w:rPr>
          <w:noProof/>
          <w:lang w:eastAsia="sk-SK"/>
        </w:rPr>
        <w:pict>
          <v:shape id="Picture 2" o:spid="_x0000_i1026" type="#_x0000_t75" alt="D:\richardj\_to_finish\NRSR\tlacivoAB-2-2\tlacivoAB-2-2-priloha-s02.wmf" style="width:449.07pt;height:636.98pt;visibility:visible" filled="f" stroked="f">
            <v:imagedata r:id="rId5"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r>
        <w:rPr>
          <w:noProof/>
          <w:lang w:eastAsia="sk-SK"/>
        </w:rPr>
        <w:pict>
          <v:shape id="Picture 3" o:spid="_x0000_i1027" type="#_x0000_t75" alt="D:\richardj\_to_finish\NRSR\tlacivoAB-2-2\tlacivoAB-2-2-priloha-s03.wmf" style="width:449.07pt;height:636.98pt;visibility:visible" filled="f" stroked="f">
            <v:imagedata r:id="rId6" o:title=""/>
            <o:lock v:ext="edit" aspectratio="t"/>
          </v:shape>
        </w:pict>
      </w:r>
      <w:r>
        <w:rPr>
          <w:noProof/>
          <w:lang w:eastAsia="sk-SK"/>
        </w:rPr>
        <w:pict>
          <v:shape id="Picture 4" o:spid="_x0000_i1028" type="#_x0000_t75" alt="D:\richardj\_to_finish\NRSR\tlacivoAB-2-2\tlacivoAB-2-2-priloha-s04.wmf" style="width:449.07pt;height:636.98pt;visibility:visible" filled="f" stroked="f">
            <v:imagedata r:id="rId7" o:title=""/>
            <o:lock v:ext="edit" aspectratio="t"/>
          </v:shape>
        </w:pict>
      </w:r>
      <w:r>
        <w:rPr>
          <w:noProof/>
          <w:lang w:eastAsia="sk-SK"/>
        </w:rPr>
        <w:pict>
          <v:shape id="Picture 5" o:spid="_x0000_i1029" type="#_x0000_t75" alt="D:\richardj\_to_finish\NRSR\tlacivoAB-2-2\tlacivoAB-2-2-priloha-s05.wmf" style="width:449.07pt;height:636.98pt;visibility:visible" filled="f" stroked="f">
            <v:imagedata r:id="rId8" o:title=""/>
            <o:lock v:ext="edit" aspectratio="t"/>
          </v:shape>
        </w:pict>
      </w:r>
      <w:r>
        <w:rPr>
          <w:noProof/>
          <w:lang w:eastAsia="sk-SK"/>
        </w:rPr>
        <w:pict>
          <v:shape id="Picture 6" o:spid="_x0000_i1030" type="#_x0000_t75" alt="D:\richardj\_to_finish\NRSR\tlacivoAB-2-2\tlacivoAB-2-2-priloha-s06.wmf" style="width:449.07pt;height:636.98pt;visibility:visible" filled="f" stroked="f">
            <v:imagedata r:id="rId9" o:title=""/>
            <o:lock v:ext="edit" aspectratio="t"/>
          </v:shape>
        </w:pict>
      </w:r>
      <w:r>
        <w:rPr>
          <w:noProof/>
          <w:lang w:eastAsia="sk-SK"/>
        </w:rPr>
        <w:pict>
          <v:shape id="Picture 7" o:spid="_x0000_i1031" type="#_x0000_t75" alt="D:\richardj\_to_finish\NRSR\tlacivoAB-2-2\tlacivoAB-2-2-priloha-s07.wmf" style="width:449.07pt;height:636.98pt;visibility:visible" filled="f" stroked="f">
            <v:imagedata r:id="rId10" o:title=""/>
            <o:lock v:ext="edit" aspectratio="t"/>
          </v:shape>
        </w:pict>
      </w:r>
      <w:r>
        <w:rPr>
          <w:noProof/>
          <w:lang w:eastAsia="sk-SK"/>
        </w:rPr>
        <w:pict>
          <v:shape id="Picture 8" o:spid="_x0000_i1032" type="#_x0000_t75" alt="D:\richardj\_to_finish\NRSR\tlacivoAB-2-2\tlacivoAB-2-2-priloha-s08.wmf" style="width:449.07pt;height:636.98pt;visibility:visible" filled="f" stroked="f">
            <v:imagedata r:id="rId11" o:title=""/>
            <o:lock v:ext="edit" aspectratio="t"/>
          </v:shape>
        </w:pict>
      </w:r>
      <w:r>
        <w:rPr>
          <w:noProof/>
          <w:lang w:eastAsia="sk-SK"/>
        </w:rPr>
        <w:pict>
          <v:shape id="Picture 9" o:spid="_x0000_i1033" type="#_x0000_t75" alt="D:\richardj\_to_finish\NRSR\tlacivoAB-2-2\tlacivoAB-2-2-priloha-s09.wmf" style="width:449.07pt;height:636.98pt;visibility:visible" filled="f" stroked="f">
            <v:imagedata r:id="rId12" o:title=""/>
            <o:lock v:ext="edit" aspectratio="t"/>
          </v:shape>
        </w:pict>
      </w:r>
      <w:r>
        <w:rPr>
          <w:noProof/>
          <w:lang w:eastAsia="sk-SK"/>
        </w:rPr>
        <w:pict>
          <v:shape id="Picture 10" o:spid="_x0000_i1034" type="#_x0000_t75" alt="D:\richardj\_to_finish\NRSR\tlacivoAB-2-2\tlacivoAB-2-2-priloha-s10.wmf" style="width:449.07pt;height:636.98pt;visibility:visible" filled="f" stroked="f">
            <v:imagedata r:id="rId13" o:title=""/>
            <o:lock v:ext="edit" aspectratio="t"/>
          </v:shape>
        </w:pict>
      </w:r>
      <w:r>
        <w:rPr>
          <w:noProof/>
          <w:lang w:eastAsia="sk-SK"/>
        </w:rPr>
        <w:pict>
          <v:shape id="Picture 11" o:spid="_x0000_i1035" type="#_x0000_t75" alt="D:\richardj\_to_finish\NRSR\tlacivoAB-2-2\tlacivoAB-2-2-priloha-s11.wmf" style="width:449.07pt;height:636.98pt;visibility:visible" filled="f" stroked="f">
            <v:imagedata r:id="rId14" o:title=""/>
            <o:lock v:ext="edit" aspectratio="t"/>
          </v:shape>
        </w:pict>
      </w:r>
      <w:r>
        <w:rPr>
          <w:noProof/>
          <w:lang w:eastAsia="sk-SK"/>
        </w:rPr>
        <w:pict>
          <v:shape id="Picture 12" o:spid="_x0000_i1036" type="#_x0000_t75" alt="D:\richardj\_to_finish\NRSR\tlacivoAB-2-2\tlacivoAB-2-2-priloha-s12.wmf" style="width:449.07pt;height:636.98pt;visibility:visible" filled="f" stroked="f">
            <v:imagedata r:id="rId15" o:title=""/>
            <o:lock v:ext="edit" aspectratio="t"/>
          </v:shape>
        </w:pict>
      </w:r>
      <w:r>
        <w:rPr>
          <w:noProof/>
          <w:lang w:eastAsia="sk-SK"/>
        </w:rPr>
        <w:pict>
          <v:shape id="Picture 13" o:spid="_x0000_i1037" type="#_x0000_t75" alt="D:\richardj\_to_finish\NRSR\tlacivoAB-2-2\tlacivoAB-2-2-priloha-s13.wmf" style="width:449.07pt;height:636.98pt;visibility:visible" filled="f" stroked="f">
            <v:imagedata r:id="rId16" o:title=""/>
            <o:lock v:ext="edit" aspectratio="t"/>
          </v:shape>
        </w:pic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bidi w:val="0"/>
        <w:spacing w:after="0" w:line="240" w:lineRule="auto"/>
        <w:jc w:val="center"/>
        <w:rPr>
          <w:rFonts w:ascii="Times New Roman" w:hAnsi="Times New Roman"/>
          <w:b/>
          <w:sz w:val="24"/>
          <w:szCs w:val="24"/>
        </w:rPr>
      </w:pPr>
      <w:r>
        <w:rPr>
          <w:rFonts w:ascii="Times New Roman" w:hAnsi="Times New Roman"/>
          <w:b/>
          <w:sz w:val="24"/>
          <w:szCs w:val="24"/>
        </w:rPr>
        <w:t>Vysvetlivky k vzoru tlačiva prílohy č. 1 „Oznámenie funkcií, zamestnaní, činností  a majetkových pomerov verejných funkcionárov“ sú jeho neoddeliteľnou súčasťou</w:t>
      </w:r>
    </w:p>
    <w:p w:rsidR="001C7EC9" w:rsidP="001C7EC9">
      <w:pPr>
        <w:bidi w:val="0"/>
        <w:spacing w:after="0" w:line="240" w:lineRule="auto"/>
        <w:jc w:val="center"/>
        <w:rPr>
          <w:rFonts w:ascii="Times New Roman" w:hAnsi="Times New Roman"/>
          <w:b/>
          <w:sz w:val="24"/>
          <w:szCs w:val="24"/>
        </w:rPr>
      </w:pPr>
    </w:p>
    <w:p w:rsidR="001C7EC9" w:rsidP="001C7EC9">
      <w:pPr>
        <w:bidi w:val="0"/>
        <w:spacing w:after="0" w:line="240" w:lineRule="auto"/>
        <w:jc w:val="center"/>
        <w:rPr>
          <w:sz w:val="32"/>
          <w:szCs w:val="32"/>
        </w:rPr>
      </w:pPr>
      <w:r>
        <w:rPr>
          <w:sz w:val="32"/>
          <w:szCs w:val="32"/>
        </w:rPr>
        <w:t>________________________________________________________</w:t>
      </w:r>
    </w:p>
    <w:p w:rsidR="001C7EC9" w:rsidP="001C7EC9">
      <w:pPr>
        <w:bidi w:val="0"/>
        <w:spacing w:after="0" w:line="240" w:lineRule="auto"/>
        <w:ind w:firstLine="540"/>
        <w:jc w:val="both"/>
        <w:rPr>
          <w:rFonts w:ascii="Times New Roman" w:hAnsi="Times New Roman"/>
          <w:sz w:val="24"/>
          <w:szCs w:val="24"/>
        </w:rPr>
      </w:pPr>
    </w:p>
    <w:p w:rsidR="001C7EC9" w:rsidP="001C7EC9">
      <w:pPr>
        <w:bidi w:val="0"/>
        <w:spacing w:after="0" w:line="240" w:lineRule="auto"/>
        <w:ind w:firstLine="540"/>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V rubrike pod nadpisom sa vypisuje predchádzajúci kalendárny rok. Interné poradové číslo funkcionára (pre potreby internej evidencie orgánu podľa čl. 7 ods. 5 ústavného zákona) vyplní príslušný orgán. Skutočnosť o aký druh oznámenia ide (pri ujatí sa verejnej funkcie alebo k 30. aprílu), vyznačí verejný funkcionár krížikom v príslušnej rubrike. </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5"/>
        </w:numPr>
        <w:bidi w:val="0"/>
        <w:spacing w:after="0" w:line="240" w:lineRule="auto"/>
        <w:jc w:val="both"/>
        <w:rPr>
          <w:rFonts w:ascii="Times New Roman" w:hAnsi="Times New Roman"/>
          <w:sz w:val="24"/>
          <w:szCs w:val="24"/>
        </w:rPr>
      </w:pPr>
      <w:r>
        <w:rPr>
          <w:rFonts w:ascii="Times New Roman" w:hAnsi="Times New Roman"/>
          <w:b/>
          <w:sz w:val="24"/>
          <w:szCs w:val="24"/>
        </w:rPr>
        <w:t>V časti A a B</w:t>
      </w:r>
      <w:r>
        <w:rPr>
          <w:rFonts w:ascii="Times New Roman" w:hAnsi="Times New Roman"/>
          <w:sz w:val="24"/>
          <w:szCs w:val="24"/>
        </w:rPr>
        <w:t xml:space="preserve"> sa vypíšu základné údaje o funkcionárovi. Ak vykonáva verejný funkcionár viac verejných funkcií, ktoré spadajú podľa ústavného zákona pod príslušný orgán, zaškrtnú sa krížikom v príslušnej kolónke. </w:t>
      </w:r>
    </w:p>
    <w:p w:rsidR="001C7EC9" w:rsidP="001C7EC9">
      <w:pPr>
        <w:pStyle w:val="ListParagraph"/>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V tejto časti je potrebné vyplniť i údaje týkajúce sa rodinného stavu verejného funkcionára za predchádzajúci kalendárny rok tak, aby bolo možné posúdiť úplnosť  oznámenia podľa </w:t>
      </w:r>
      <w:r w:rsidRPr="000907CA">
        <w:rPr>
          <w:rFonts w:ascii="Times New Roman" w:hAnsi="Times New Roman"/>
          <w:sz w:val="24"/>
          <w:szCs w:val="24"/>
        </w:rPr>
        <w:t>čl. 7 ods. 1 písm. e)</w:t>
      </w:r>
      <w:r>
        <w:rPr>
          <w:rFonts w:ascii="Times New Roman" w:hAnsi="Times New Roman"/>
          <w:sz w:val="24"/>
          <w:szCs w:val="24"/>
        </w:rPr>
        <w:t xml:space="preserve"> ústavného zákona. </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xml:space="preserve">Časť  C </w:t>
      </w: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1. bode sa uvedie funkcia, ktorú verejný funkcionár vykonával pred nástupom do funkcie verejného funkcionára, a ktorá je nezlučiteľná s výkonom tejto funkcie a súčasne uvedie údaje o jej skončení</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2. bod sa vyplní zaškrtnutím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r>
        <w:rPr>
          <w:rFonts w:ascii="Times New Roman" w:hAnsi="Times New Roman"/>
          <w:sz w:val="24"/>
          <w:szCs w:val="24"/>
        </w:rPr>
        <w:t xml:space="preserve"> podľa obsahu časti C 1. bodu oznámenia. Ak ide o oznámenie podávané pri ujatí sa funkcie a ešte  neuplynula lehota 30 dní podľa čl. 5 ods. 7 ústavného zákona, verejný funkcionár uvedie túto skutočnosť krížikom v príslušnej kolónke. Rovnako ak ide o oznámenie bývalého verejného funkcionára, ktorému povinnosť podať oznámenie trvá podľa čl. 3 ods. 1 ústavného zákona ešte rok odo dňa skončenia výkonu verejnej funkcie, uvedie túto skutočnosť krížikom v príslušnej kolónke.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3. bod vyplní verejný funkcionár vtedy, keď je v čase výkonu verejnej funkcie v pracovnom pomere, obdobnom pracovnom vzťahu alebo štátnozamestnaneckom vzťahu. Súčasne uvedie, či je  na výkon verejnej funkcie dlhodobo uvoľnený označením políčka </w:t>
      </w:r>
      <w:r>
        <w:rPr>
          <w:rFonts w:ascii="Times New Roman" w:hAnsi="Times New Roman"/>
          <w:sz w:val="24"/>
          <w:szCs w:val="24"/>
          <w:u w:val="single"/>
        </w:rPr>
        <w:t>áno</w:t>
      </w:r>
      <w:r>
        <w:rPr>
          <w:rFonts w:ascii="Times New Roman" w:hAnsi="Times New Roman"/>
          <w:sz w:val="24"/>
          <w:szCs w:val="24"/>
        </w:rPr>
        <w:t xml:space="preserve"> – </w:t>
      </w:r>
      <w:r>
        <w:rPr>
          <w:rFonts w:ascii="Times New Roman" w:hAnsi="Times New Roman"/>
          <w:sz w:val="24"/>
          <w:szCs w:val="24"/>
          <w:u w:val="single"/>
        </w:rPr>
        <w:t>nie</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 xml:space="preserve">Časť C 4. bod verejný funkcionár vyplní, ak vykonáva popri verejnej funkcii aj podnikateľskú činnosť, ktorú ako verejný funkcionár môže v súlade s čl. 5 ods. 2 ústavného zákona vykonávať (ide len o funkciu, ktorú môže vykonávať výlučne fyzická osoba za zákonom ustanovených podmienok) </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V časti C 5. bode  sa uvedený údaj vypĺňa len ak verejný funkcionár počas výkonu verejnej funkcie (okrem inej) vykonáva ďalšie funkcie v štátnom orgáne, orgáne územnej samosprávy, v orgáne právnickej osoby, ktorá vykonáva podnikateľskú činnosť alebo v orgáne inej právnickej osoby. Ak vykonáva verejný funkcionár viac týchto profesií, vyplní túto stranu viacnásobne (ak sa údaje nezmestia do uvedenej kolónky)</w:t>
      </w:r>
    </w:p>
    <w:p w:rsidR="001C7EC9" w:rsidP="001C7EC9">
      <w:pPr>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6. bod musí zohľadňovať všetky príjmy, ktoré verejnému funkcionárovi boli vyplatené za vykazované obdobie</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funkcie verejného funkcionára uvádzané v časti C 6. bode písm. a) sa členia na zdaniteľný (hrubý) príjem podliehajúci režimu dani z príjmu (písm. aa) a paušálne náhrady vyplatené v súvislosti s výkonom verejnej funkcie (písmeno ab),</w:t>
      </w:r>
    </w:p>
    <w:p w:rsidR="001C7EC9" w:rsidP="001C7EC9">
      <w:pPr>
        <w:pStyle w:val="ListParagraph"/>
        <w:bidi w:val="0"/>
        <w:spacing w:after="0" w:line="240" w:lineRule="auto"/>
        <w:ind w:left="2340"/>
        <w:jc w:val="both"/>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príjmy z výkonu iných funkcií, zamestnaní alebo činností, ktorých verejný funkcionár pokračoval aj po ujatí sa funkcie verejného funkcionára uvádzané v časti C 6. bode písm. b) sa členia na zdaniteľný (hrubý) príjem podliehajúci režimu dani z príjmov (písm. ba) a paušálne náhrady pokiaľ sú z takejto funkcie vyplácané (písm. bb)</w:t>
      </w:r>
    </w:p>
    <w:p w:rsidR="001C7EC9" w:rsidP="001C7EC9">
      <w:pPr>
        <w:pStyle w:val="ListParagraph"/>
        <w:bidi w:val="0"/>
        <w:spacing w:after="0" w:line="240" w:lineRule="auto"/>
        <w:rPr>
          <w:rFonts w:ascii="Times New Roman" w:hAnsi="Times New Roman"/>
          <w:sz w:val="24"/>
          <w:szCs w:val="24"/>
        </w:rPr>
      </w:pPr>
    </w:p>
    <w:p w:rsidR="001C7EC9" w:rsidP="001C7EC9">
      <w:pPr>
        <w:pStyle w:val="ListParagraph"/>
        <w:numPr>
          <w:numId w:val="6"/>
        </w:numPr>
        <w:bidi w:val="0"/>
        <w:spacing w:after="0" w:line="240" w:lineRule="auto"/>
        <w:jc w:val="both"/>
        <w:rPr>
          <w:rFonts w:ascii="Times New Roman" w:hAnsi="Times New Roman"/>
          <w:sz w:val="24"/>
          <w:szCs w:val="24"/>
        </w:rPr>
      </w:pPr>
      <w:r>
        <w:rPr>
          <w:rFonts w:ascii="Times New Roman" w:hAnsi="Times New Roman"/>
          <w:sz w:val="24"/>
          <w:szCs w:val="24"/>
        </w:rPr>
        <w:t>ďalšie príjmy neuvedené  v písmenách a) a b)  bez ohľadu na to, či podliehajú dani z príjmu sa členia na zdaniteľný (hrubý) príjem (písm. ca), t. z. súhrn všetkých takýchto príjmov a druh príjmu (písm. cb) s individuálnym popisom všetkých druhov takéhoto príjmu (napr. tantiémy, dividendy, výhra v lotérii a pod.).</w:t>
      </w:r>
    </w:p>
    <w:p w:rsidR="001C7EC9" w:rsidP="001C7EC9">
      <w:pPr>
        <w:bidi w:val="0"/>
        <w:spacing w:after="0" w:line="240" w:lineRule="auto"/>
        <w:ind w:left="1440"/>
        <w:jc w:val="both"/>
        <w:rPr>
          <w:rFonts w:ascii="Times New Roman" w:hAnsi="Times New Roman"/>
          <w:sz w:val="24"/>
          <w:szCs w:val="24"/>
        </w:rPr>
      </w:pPr>
    </w:p>
    <w:p w:rsidR="001C7EC9" w:rsidP="001C7EC9">
      <w:pPr>
        <w:pStyle w:val="ListParagraph"/>
        <w:numPr>
          <w:ilvl w:val="1"/>
          <w:numId w:val="5"/>
        </w:numPr>
        <w:bidi w:val="0"/>
        <w:spacing w:after="0" w:line="240" w:lineRule="auto"/>
        <w:jc w:val="both"/>
        <w:rPr>
          <w:rFonts w:ascii="Times New Roman" w:hAnsi="Times New Roman"/>
          <w:sz w:val="24"/>
          <w:szCs w:val="24"/>
        </w:rPr>
      </w:pPr>
      <w:r>
        <w:rPr>
          <w:rFonts w:ascii="Times New Roman" w:hAnsi="Times New Roman"/>
          <w:sz w:val="24"/>
          <w:szCs w:val="24"/>
        </w:rPr>
        <w:t>Časť C 7. bod upravuje priloženie kópie podaného daňového priznania k dani z príjmov fyzických osôb verejného funkcionára za predchádzajúci kalendárny rok  alebo iný doklad potvrdzujúci sumu príjmov, ktoré získal za predchádzajúci kalendárny rok (napr. doklad od svojho zamestnávateľa ak tento vykonáva daňové priznanie za verejného funkcionára „Ročné zúčtovanie preddavkov za daň z príjmov fyzických osôb zo závislej činnosti“, resp. iný doklad osvedčujúci prijatie príjmov podľa časti C 6. bodu písm. a) až c) tohto oznámenia).</w:t>
      </w:r>
    </w:p>
    <w:p w:rsidR="001C7EC9" w:rsidP="001C7EC9">
      <w:pPr>
        <w:bidi w:val="0"/>
        <w:spacing w:after="0" w:line="240" w:lineRule="auto"/>
        <w:jc w:val="both"/>
        <w:rPr>
          <w:rFonts w:ascii="Times New Roman" w:hAnsi="Times New Roman"/>
          <w:sz w:val="24"/>
          <w:szCs w:val="24"/>
        </w:rPr>
      </w:pPr>
    </w:p>
    <w:p w:rsidR="001C7EC9" w:rsidP="001C7EC9">
      <w:pPr>
        <w:numPr>
          <w:numId w:val="5"/>
        </w:numPr>
        <w:bidi w:val="0"/>
        <w:spacing w:after="0" w:line="240" w:lineRule="auto"/>
        <w:jc w:val="both"/>
        <w:rPr>
          <w:rFonts w:ascii="Times New Roman" w:hAnsi="Times New Roman"/>
          <w:b/>
          <w:sz w:val="24"/>
          <w:szCs w:val="24"/>
        </w:rPr>
      </w:pPr>
      <w:r>
        <w:rPr>
          <w:rFonts w:ascii="Times New Roman" w:hAnsi="Times New Roman"/>
          <w:b/>
          <w:sz w:val="24"/>
          <w:szCs w:val="24"/>
        </w:rPr>
        <w:t> Časť D</w:t>
      </w:r>
    </w:p>
    <w:p w:rsidR="001C7EC9" w:rsidP="001C7EC9">
      <w:pPr>
        <w:bidi w:val="0"/>
        <w:spacing w:after="0" w:line="240" w:lineRule="auto"/>
        <w:ind w:left="1080"/>
        <w:jc w:val="both"/>
        <w:rPr>
          <w:rFonts w:ascii="Times New Roman" w:hAnsi="Times New Roman"/>
          <w:sz w:val="24"/>
          <w:szCs w:val="24"/>
        </w:rPr>
      </w:pPr>
    </w:p>
    <w:p w:rsidR="001C7EC9" w:rsidP="001C7EC9">
      <w:pPr>
        <w:bidi w:val="0"/>
        <w:spacing w:after="0" w:line="240" w:lineRule="auto"/>
        <w:ind w:left="1080"/>
        <w:jc w:val="both"/>
        <w:rPr>
          <w:rFonts w:ascii="Times New Roman" w:hAnsi="Times New Roman"/>
          <w:sz w:val="24"/>
          <w:szCs w:val="24"/>
        </w:rPr>
      </w:pPr>
      <w:r>
        <w:rPr>
          <w:rFonts w:ascii="Times New Roman" w:hAnsi="Times New Roman"/>
          <w:sz w:val="24"/>
          <w:szCs w:val="24"/>
        </w:rPr>
        <w:t xml:space="preserve">Časť D verejný funkcionár  vypĺňa  za seba, manžela (manželku)  a neplnoleté deti. Túto skutočnosť vyznačí prečiarknutím políčka </w:t>
      </w:r>
      <w:r>
        <w:rPr>
          <w:rFonts w:ascii="Times New Roman" w:hAnsi="Times New Roman"/>
          <w:sz w:val="24"/>
          <w:szCs w:val="24"/>
          <w:u w:val="single"/>
        </w:rPr>
        <w:t>verejný funkcionár</w:t>
      </w:r>
      <w:r>
        <w:rPr>
          <w:rFonts w:ascii="Times New Roman" w:hAnsi="Times New Roman"/>
          <w:sz w:val="24"/>
          <w:szCs w:val="24"/>
        </w:rPr>
        <w:t xml:space="preserve">, </w:t>
      </w:r>
      <w:r>
        <w:rPr>
          <w:rFonts w:ascii="Times New Roman" w:hAnsi="Times New Roman"/>
          <w:sz w:val="24"/>
          <w:szCs w:val="24"/>
          <w:u w:val="single"/>
        </w:rPr>
        <w:t>manžel (manželka)</w:t>
      </w:r>
      <w:r>
        <w:rPr>
          <w:rFonts w:ascii="Times New Roman" w:hAnsi="Times New Roman"/>
          <w:sz w:val="24"/>
          <w:szCs w:val="24"/>
        </w:rPr>
        <w:t xml:space="preserve">, </w:t>
      </w:r>
      <w:r>
        <w:rPr>
          <w:rFonts w:ascii="Times New Roman" w:hAnsi="Times New Roman"/>
          <w:sz w:val="24"/>
          <w:szCs w:val="24"/>
          <w:u w:val="single"/>
        </w:rPr>
        <w:t>neplnoleté deti</w:t>
      </w:r>
      <w:r>
        <w:rPr>
          <w:rFonts w:ascii="Times New Roman" w:hAnsi="Times New Roman"/>
          <w:sz w:val="24"/>
          <w:szCs w:val="24"/>
        </w:rPr>
        <w:t>, ak s ním žijú v domácnosti.</w:t>
      </w:r>
    </w:p>
    <w:p w:rsidR="001C7EC9" w:rsidP="001C7EC9">
      <w:pPr>
        <w:bidi w:val="0"/>
        <w:spacing w:after="0" w:line="240" w:lineRule="auto"/>
        <w:ind w:left="708" w:firstLine="372"/>
        <w:jc w:val="both"/>
        <w:rPr>
          <w:rFonts w:ascii="Times New Roman" w:hAnsi="Times New Roman"/>
          <w:sz w:val="24"/>
          <w:szCs w:val="24"/>
        </w:rPr>
      </w:pPr>
      <w:r>
        <w:rPr>
          <w:rFonts w:ascii="Times New Roman" w:hAnsi="Times New Roman"/>
          <w:sz w:val="24"/>
          <w:szCs w:val="24"/>
        </w:rPr>
        <w:t>Najprv vyplní údaje o sebe v postupnosti a uvedie</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1. vlastníctvo nehnuteľnej veci – verejný funkcionár je povinný vyplniť všetky údaje bez ohľadu na počet tohto majetku</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nehnuteľnej veci (napr.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P="001C7EC9">
      <w:pPr>
        <w:bidi w:val="0"/>
        <w:spacing w:after="0" w:line="240" w:lineRule="auto"/>
        <w:ind w:left="2127" w:hanging="426"/>
        <w:jc w:val="both"/>
        <w:rPr>
          <w:rFonts w:ascii="Times New Roman" w:hAnsi="Times New Roman"/>
          <w:sz w:val="24"/>
          <w:szCs w:val="24"/>
        </w:rPr>
      </w:pPr>
      <w:r>
        <w:rPr>
          <w:rFonts w:ascii="Times New Roman" w:hAnsi="Times New Roman"/>
          <w:sz w:val="24"/>
          <w:szCs w:val="24"/>
        </w:rPr>
        <w:t>b) katastrálne územie,</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c)  parcelné číslo,</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d)  číslo listu vlastníctva (LV),</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e)  výmera (m</w:t>
      </w:r>
      <w:r>
        <w:rPr>
          <w:rFonts w:ascii="Times New Roman" w:hAnsi="Times New Roman"/>
          <w:sz w:val="24"/>
          <w:szCs w:val="24"/>
          <w:vertAlign w:val="superscript"/>
        </w:rPr>
        <w:t>2</w:t>
      </w:r>
      <w:r>
        <w:rPr>
          <w:rFonts w:ascii="Times New Roman" w:hAnsi="Times New Roman"/>
          <w:sz w:val="24"/>
          <w:szCs w:val="24"/>
        </w:rPr>
        <w:t>),</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f)    rok nadobudnutia,</w:t>
      </w:r>
    </w:p>
    <w:p w:rsidR="001C7EC9" w:rsidP="001C7EC9">
      <w:pPr>
        <w:bidi w:val="0"/>
        <w:spacing w:after="0" w:line="240" w:lineRule="auto"/>
        <w:ind w:left="2552" w:hanging="2552"/>
        <w:jc w:val="both"/>
        <w:rPr>
          <w:rFonts w:ascii="Times New Roman" w:hAnsi="Times New Roman"/>
          <w:sz w:val="24"/>
          <w:szCs w:val="24"/>
        </w:rPr>
      </w:pPr>
      <w:r>
        <w:rPr>
          <w:rFonts w:ascii="Times New Roman" w:hAnsi="Times New Roman"/>
          <w:sz w:val="24"/>
          <w:szCs w:val="24"/>
        </w:rPr>
        <w:t xml:space="preserve">                                    g) spôsob nadobudnutia (napr. kúpa, dedičstvo, vytvorené vlastnou činnosťou,  bezodplatné nadobudnutie a pod.),</w:t>
      </w:r>
    </w:p>
    <w:p w:rsidR="001C7EC9" w:rsidP="001C7EC9">
      <w:pPr>
        <w:bidi w:val="0"/>
        <w:spacing w:after="0" w:line="240" w:lineRule="auto"/>
        <w:ind w:left="2410" w:hanging="2410"/>
        <w:jc w:val="both"/>
        <w:rPr>
          <w:rFonts w:ascii="Times New Roman" w:hAnsi="Times New Roman"/>
          <w:sz w:val="24"/>
          <w:szCs w:val="24"/>
        </w:rPr>
      </w:pPr>
      <w:r>
        <w:rPr>
          <w:rFonts w:ascii="Times New Roman" w:hAnsi="Times New Roman"/>
          <w:sz w:val="24"/>
          <w:szCs w:val="24"/>
        </w:rPr>
        <w:t xml:space="preserve">                                    h)  podiel (napr. %, BSM, 1/1 a pod.),</w:t>
      </w:r>
    </w:p>
    <w:p w:rsidR="001C7EC9" w:rsidP="001C7EC9">
      <w:pPr>
        <w:bidi w:val="0"/>
        <w:spacing w:after="0" w:line="240" w:lineRule="auto"/>
        <w:ind w:left="2410" w:hanging="2410"/>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2. vlastníctvo hnuteľnej veci podľa druhu, ktorej zvyčajná hodnota je nad 10 000 eur (hodnota individuálne, nie súhrnom)</w:t>
      </w: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a)  dopravný prostriedok (napr. osobné motorové vozidlo, nákladné vozidlo, motocykel, bicykel, lietadlo, jachta, helikoptéra, čln a pod.),</w:t>
      </w:r>
    </w:p>
    <w:p w:rsidR="001C7EC9" w:rsidP="001C7EC9">
      <w:pPr>
        <w:bidi w:val="0"/>
        <w:spacing w:after="0" w:line="240" w:lineRule="auto"/>
        <w:ind w:left="2552" w:hanging="1136"/>
        <w:jc w:val="both"/>
        <w:rPr>
          <w:rFonts w:ascii="Times New Roman" w:hAnsi="Times New Roman"/>
          <w:sz w:val="24"/>
          <w:szCs w:val="24"/>
        </w:rPr>
      </w:pPr>
      <w:r>
        <w:rPr>
          <w:rFonts w:ascii="Times New Roman" w:hAnsi="Times New Roman"/>
          <w:sz w:val="24"/>
          <w:szCs w:val="24"/>
        </w:rPr>
        <w:t xml:space="preserve">              aa)   továrenská značka,</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ab)   rok výroby ,</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ac)  rok nadobudnutia, </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 xml:space="preserve">  ad) spôsob nadobudnutia (napr. kúpa, dedičstvo, vytvorené vlastnou činnosťou bezodplatné nadobudnutie 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 xml:space="preserve">  ae)   podiel (napr. %, BSM, 1/1 a pod.),</w:t>
      </w:r>
    </w:p>
    <w:p w:rsidR="001C7EC9" w:rsidP="001C7EC9">
      <w:pPr>
        <w:pStyle w:val="ListParagraph"/>
        <w:bidi w:val="0"/>
        <w:spacing w:after="0" w:line="240" w:lineRule="auto"/>
        <w:ind w:left="2856"/>
        <w:jc w:val="both"/>
        <w:rPr>
          <w:rFonts w:ascii="Times New Roman" w:hAnsi="Times New Roman"/>
          <w:sz w:val="24"/>
          <w:szCs w:val="24"/>
        </w:rPr>
      </w:pPr>
      <w:r>
        <w:rPr>
          <w:rFonts w:ascii="Times New Roman" w:hAnsi="Times New Roman"/>
          <w:sz w:val="24"/>
          <w:szCs w:val="24"/>
        </w:rPr>
        <w:t xml:space="preserve"> </w:t>
      </w:r>
    </w:p>
    <w:p w:rsidR="001C7EC9" w:rsidP="001C7EC9">
      <w:pPr>
        <w:bidi w:val="0"/>
        <w:spacing w:after="0" w:line="240" w:lineRule="auto"/>
        <w:ind w:left="2127" w:hanging="2127"/>
        <w:jc w:val="both"/>
        <w:rPr>
          <w:rFonts w:ascii="Times New Roman" w:hAnsi="Times New Roman"/>
          <w:sz w:val="24"/>
          <w:szCs w:val="24"/>
        </w:rPr>
      </w:pPr>
      <w:r>
        <w:rPr>
          <w:rFonts w:ascii="Times New Roman" w:hAnsi="Times New Roman"/>
          <w:sz w:val="24"/>
          <w:szCs w:val="24"/>
        </w:rPr>
        <w:t xml:space="preserve">                                b) umelecké dielo (napr. obraz, socha, plastika, keramika grafika, maľba, akvarel, drevorezba pod.)</w:t>
      </w:r>
    </w:p>
    <w:p w:rsidR="001C7EC9" w:rsidP="001C7EC9">
      <w:pPr>
        <w:pStyle w:val="ListParagraph"/>
        <w:bidi w:val="0"/>
        <w:spacing w:after="0" w:line="240" w:lineRule="auto"/>
        <w:ind w:left="2136"/>
        <w:jc w:val="both"/>
        <w:rPr>
          <w:rFonts w:ascii="Times New Roman" w:hAnsi="Times New Roman"/>
          <w:sz w:val="24"/>
          <w:szCs w:val="24"/>
        </w:rPr>
      </w:pPr>
      <w:r>
        <w:rPr>
          <w:rFonts w:ascii="Times New Roman" w:hAnsi="Times New Roman"/>
          <w:sz w:val="24"/>
          <w:szCs w:val="24"/>
        </w:rPr>
        <w:t>ba)   rok nadobudnutia,</w:t>
      </w:r>
    </w:p>
    <w:p w:rsidR="001C7EC9" w:rsidP="001C7EC9">
      <w:pPr>
        <w:pStyle w:val="ListParagraph"/>
        <w:bidi w:val="0"/>
        <w:spacing w:after="0" w:line="240" w:lineRule="auto"/>
        <w:ind w:left="2552" w:hanging="416"/>
        <w:jc w:val="both"/>
        <w:rPr>
          <w:rFonts w:ascii="Times New Roman" w:hAnsi="Times New Roman"/>
          <w:sz w:val="24"/>
          <w:szCs w:val="24"/>
        </w:rPr>
      </w:pPr>
      <w:r>
        <w:rPr>
          <w:rFonts w:ascii="Times New Roman" w:hAnsi="Times New Roman"/>
          <w:sz w:val="24"/>
          <w:szCs w:val="24"/>
        </w:rPr>
        <w:t>bb) spôsob nadobudnutia (napr. kúpa, dedičstvo, vytvorené vlastnou činnosťou bezodplatné nadobudnutie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bc)   podiel (napr. %, BSM, 1/1 a pod.),</w:t>
      </w:r>
    </w:p>
    <w:p w:rsidR="001C7EC9" w:rsidP="001C7EC9">
      <w:pPr>
        <w:bidi w:val="0"/>
        <w:spacing w:after="0" w:line="240" w:lineRule="auto"/>
        <w:jc w:val="both"/>
        <w:rPr>
          <w:rFonts w:ascii="Times New Roman" w:hAnsi="Times New Roman"/>
          <w:sz w:val="24"/>
          <w:szCs w:val="24"/>
        </w:rPr>
      </w:pPr>
      <w:r>
        <w:rPr>
          <w:rFonts w:ascii="Times New Roman" w:hAnsi="Times New Roman"/>
          <w:sz w:val="24"/>
          <w:szCs w:val="24"/>
        </w:rPr>
        <w:t xml:space="preserve">    </w:t>
      </w: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 xml:space="preserve"> predmety z drahých kovov (napr. prsteň, náušnice, hodinky, drahé kamene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ca) rok nadobudnutia,</w:t>
      </w:r>
    </w:p>
    <w:p w:rsidR="001C7EC9" w:rsidP="001C7EC9">
      <w:pPr>
        <w:pStyle w:val="ListParagraph"/>
        <w:bidi w:val="0"/>
        <w:spacing w:after="0" w:line="240" w:lineRule="auto"/>
        <w:ind w:left="2410" w:hanging="709"/>
        <w:jc w:val="both"/>
        <w:rPr>
          <w:rFonts w:ascii="Times New Roman" w:hAnsi="Times New Roman"/>
          <w:sz w:val="24"/>
          <w:szCs w:val="24"/>
        </w:rPr>
      </w:pPr>
      <w:r>
        <w:rPr>
          <w:rFonts w:ascii="Times New Roman" w:hAnsi="Times New Roman"/>
          <w:sz w:val="24"/>
          <w:szCs w:val="24"/>
        </w:rPr>
        <w:t xml:space="preserve">        cb)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cc) podiel (napr. %, BSM, 1/1 a pod.),</w:t>
      </w:r>
    </w:p>
    <w:p w:rsidR="001C7EC9" w:rsidP="001C7EC9">
      <w:pPr>
        <w:pStyle w:val="ListParagraph"/>
        <w:bidi w:val="0"/>
        <w:spacing w:after="0" w:line="240" w:lineRule="auto"/>
        <w:ind w:left="1701"/>
        <w:jc w:val="both"/>
        <w:rPr>
          <w:rFonts w:ascii="Times New Roman" w:hAnsi="Times New Roman"/>
          <w:sz w:val="24"/>
          <w:szCs w:val="24"/>
        </w:rPr>
      </w:pPr>
    </w:p>
    <w:p w:rsidR="001C7EC9" w:rsidP="001C7EC9">
      <w:pPr>
        <w:pStyle w:val="ListParagraph"/>
        <w:numPr>
          <w:numId w:val="3"/>
        </w:numPr>
        <w:bidi w:val="0"/>
        <w:spacing w:after="0" w:line="240" w:lineRule="auto"/>
        <w:ind w:left="2268" w:hanging="425"/>
        <w:jc w:val="both"/>
        <w:rPr>
          <w:rFonts w:ascii="Times New Roman" w:hAnsi="Times New Roman"/>
          <w:sz w:val="24"/>
          <w:szCs w:val="24"/>
        </w:rPr>
      </w:pPr>
      <w:r>
        <w:rPr>
          <w:rFonts w:ascii="Times New Roman" w:hAnsi="Times New Roman"/>
          <w:sz w:val="24"/>
          <w:szCs w:val="24"/>
        </w:rPr>
        <w:t>predmety zbierkovej a starožitnej povahy (napr. mince, známky, nábytok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da)   rok nadobudnutia,</w:t>
      </w:r>
    </w:p>
    <w:p w:rsidR="001C7EC9" w:rsidP="001C7EC9">
      <w:pPr>
        <w:pStyle w:val="ListParagraph"/>
        <w:bidi w:val="0"/>
        <w:spacing w:after="0" w:line="240" w:lineRule="auto"/>
        <w:ind w:left="2694" w:hanging="1330"/>
        <w:jc w:val="both"/>
        <w:rPr>
          <w:rFonts w:ascii="Times New Roman" w:hAnsi="Times New Roman"/>
          <w:sz w:val="24"/>
          <w:szCs w:val="24"/>
        </w:rPr>
      </w:pPr>
      <w:r>
        <w:rPr>
          <w:rFonts w:ascii="Times New Roman" w:hAnsi="Times New Roman"/>
          <w:sz w:val="24"/>
          <w:szCs w:val="24"/>
        </w:rPr>
        <w:t xml:space="preserve">               db) spôsob nadobudnutia (napr. kúpa, dedičstvo, vytvorené vlastnou činnosťou, bezodplatné nadobudnutie a pod.)</w:t>
      </w:r>
    </w:p>
    <w:p w:rsidR="001C7EC9" w:rsidP="001C7EC9">
      <w:pPr>
        <w:pStyle w:val="ListParagraph"/>
        <w:bidi w:val="0"/>
        <w:spacing w:after="0" w:line="240" w:lineRule="auto"/>
        <w:ind w:left="1364"/>
        <w:jc w:val="both"/>
        <w:rPr>
          <w:rFonts w:ascii="Times New Roman" w:hAnsi="Times New Roman"/>
          <w:sz w:val="24"/>
          <w:szCs w:val="24"/>
        </w:rPr>
      </w:pPr>
      <w:r>
        <w:rPr>
          <w:rFonts w:ascii="Times New Roman" w:hAnsi="Times New Roman"/>
          <w:sz w:val="24"/>
          <w:szCs w:val="24"/>
        </w:rPr>
        <w:t xml:space="preserve">               dc)   podiel (napr. %, BSM, 1/1 a pod.),</w:t>
      </w:r>
    </w:p>
    <w:p w:rsidR="001C7EC9" w:rsidP="001C7EC9">
      <w:pPr>
        <w:pStyle w:val="ListParagraph"/>
        <w:bidi w:val="0"/>
        <w:spacing w:after="0" w:line="240" w:lineRule="auto"/>
        <w:ind w:left="2552" w:hanging="1188"/>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predmety slúžiace na športové, poľovnícke  umelecké potreby (napr. športový čln, zbrane, hudobný nástroj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výrobná značka,</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eb) rok výroby,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ec)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ed)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ef)  podiel (napr. % BSM, 1/1 a pod.),</w:t>
      </w:r>
    </w:p>
    <w:p w:rsidR="001C7EC9" w:rsidP="001C7EC9">
      <w:pPr>
        <w:pStyle w:val="ListParagraph"/>
        <w:bidi w:val="0"/>
        <w:spacing w:after="0" w:line="240" w:lineRule="auto"/>
        <w:ind w:left="2127"/>
        <w:jc w:val="both"/>
        <w:rPr>
          <w:rFonts w:ascii="Times New Roman" w:hAnsi="Times New Roman"/>
          <w:sz w:val="24"/>
          <w:szCs w:val="24"/>
        </w:rPr>
      </w:pPr>
    </w:p>
    <w:p w:rsidR="001C7EC9" w:rsidP="001C7EC9">
      <w:pPr>
        <w:pStyle w:val="ListParagraph"/>
        <w:numPr>
          <w:numId w:val="3"/>
        </w:numPr>
        <w:bidi w:val="0"/>
        <w:spacing w:after="0" w:line="240" w:lineRule="auto"/>
        <w:ind w:left="2127" w:hanging="284"/>
        <w:jc w:val="both"/>
        <w:rPr>
          <w:rFonts w:ascii="Times New Roman" w:hAnsi="Times New Roman"/>
          <w:sz w:val="24"/>
          <w:szCs w:val="24"/>
        </w:rPr>
      </w:pPr>
      <w:r w:rsidRPr="00283393">
        <w:rPr>
          <w:rFonts w:ascii="Times New Roman" w:hAnsi="Times New Roman"/>
          <w:sz w:val="24"/>
          <w:szCs w:val="24"/>
        </w:rPr>
        <w:t>zariadenie bytu, domu, slúžia</w:t>
      </w:r>
      <w:r>
        <w:rPr>
          <w:rFonts w:ascii="Times New Roman" w:hAnsi="Times New Roman"/>
          <w:sz w:val="24"/>
          <w:szCs w:val="24"/>
        </w:rPr>
        <w:t xml:space="preserve">ce na prevádzku domácnosti </w:t>
      </w:r>
      <w:r w:rsidRPr="00283393">
        <w:rPr>
          <w:rFonts w:ascii="Times New Roman" w:hAnsi="Times New Roman"/>
          <w:sz w:val="24"/>
          <w:szCs w:val="24"/>
        </w:rPr>
        <w:t xml:space="preserve"> </w:t>
      </w:r>
    </w:p>
    <w:p w:rsidR="001C7EC9" w:rsidRPr="00283393" w:rsidP="001C7EC9">
      <w:pPr>
        <w:pStyle w:val="ListParagraph"/>
        <w:bidi w:val="0"/>
        <w:spacing w:after="0" w:line="240" w:lineRule="auto"/>
        <w:ind w:left="2127"/>
        <w:jc w:val="both"/>
        <w:rPr>
          <w:rFonts w:ascii="Times New Roman" w:hAnsi="Times New Roman"/>
          <w:sz w:val="24"/>
          <w:szCs w:val="24"/>
        </w:rPr>
      </w:pPr>
      <w:r w:rsidRPr="00283393">
        <w:rPr>
          <w:rFonts w:ascii="Times New Roman" w:hAnsi="Times New Roman"/>
          <w:sz w:val="24"/>
          <w:szCs w:val="24"/>
        </w:rPr>
        <w:t>fa)  rok nadobudnutia,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fb) spôsob nadobudnutia (napr. kúpa, dedičstvo, vytvorené vlastnou činnosťou, bezodplatné nadobudnutie a pod.),</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fc)  podiel (napr. BSM % 1/1 a pod.),</w:t>
      </w:r>
    </w:p>
    <w:p w:rsidR="001C7EC9" w:rsidP="001C7EC9">
      <w:pPr>
        <w:pStyle w:val="ListParagraph"/>
        <w:bidi w:val="0"/>
        <w:spacing w:after="0" w:line="240" w:lineRule="auto"/>
        <w:ind w:left="2552" w:hanging="425"/>
        <w:jc w:val="both"/>
        <w:rPr>
          <w:rFonts w:ascii="Times New Roman" w:hAnsi="Times New Roman"/>
          <w:sz w:val="24"/>
          <w:szCs w:val="24"/>
        </w:rPr>
      </w:pPr>
    </w:p>
    <w:p w:rsidR="001C7EC9" w:rsidP="001C7EC9">
      <w:pPr>
        <w:pStyle w:val="ListParagraph"/>
        <w:numPr>
          <w:numId w:val="4"/>
        </w:numPr>
        <w:tabs>
          <w:tab w:val="clear" w:pos="720"/>
          <w:tab w:val="num" w:pos="1843"/>
        </w:tabs>
        <w:bidi w:val="0"/>
        <w:spacing w:after="0" w:line="240" w:lineRule="auto"/>
        <w:ind w:left="1843" w:hanging="283"/>
        <w:jc w:val="both"/>
        <w:rPr>
          <w:rFonts w:ascii="Times New Roman" w:hAnsi="Times New Roman"/>
          <w:sz w:val="24"/>
          <w:szCs w:val="24"/>
        </w:rPr>
      </w:pPr>
      <w:r>
        <w:rPr>
          <w:rFonts w:ascii="Times New Roman" w:hAnsi="Times New Roman"/>
          <w:sz w:val="24"/>
          <w:szCs w:val="24"/>
        </w:rPr>
        <w:t xml:space="preserve">vlastníctvo majetkového práva alebo inej majetkovej hodnoty vrátane úspor podľa druhu, ktorých zvyčajná hodnota je nad 10 000 eur </w:t>
      </w:r>
    </w:p>
    <w:p w:rsidR="001C7EC9" w:rsidRPr="00936661" w:rsidP="001C7EC9">
      <w:pPr>
        <w:pStyle w:val="ListParagraph"/>
        <w:numPr>
          <w:numId w:val="10"/>
        </w:numPr>
        <w:bidi w:val="0"/>
        <w:spacing w:after="0" w:line="240" w:lineRule="auto"/>
        <w:jc w:val="both"/>
        <w:rPr>
          <w:rFonts w:ascii="Times New Roman" w:hAnsi="Times New Roman"/>
          <w:sz w:val="24"/>
          <w:szCs w:val="24"/>
        </w:rPr>
      </w:pPr>
      <w:r w:rsidRPr="00936661">
        <w:rPr>
          <w:rFonts w:ascii="Times New Roman" w:hAnsi="Times New Roman"/>
          <w:sz w:val="24"/>
          <w:szCs w:val="24"/>
        </w:rPr>
        <w:t xml:space="preserve">akcie obchodnej spoločnosti, podiel v obchodnej spoločnosti, cenné papiere, </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aa) obchodné meno spoločnosti/názov finančnej inštitúcie,</w:t>
      </w:r>
    </w:p>
    <w:p w:rsidR="001C7EC9" w:rsidP="001C7EC9">
      <w:pPr>
        <w:pStyle w:val="ListParagraph"/>
        <w:bidi w:val="0"/>
        <w:spacing w:after="0" w:line="240" w:lineRule="auto"/>
        <w:ind w:left="2268"/>
        <w:jc w:val="both"/>
        <w:rPr>
          <w:rFonts w:ascii="Times New Roman" w:hAnsi="Times New Roman"/>
          <w:sz w:val="24"/>
          <w:szCs w:val="24"/>
        </w:rPr>
      </w:pPr>
      <w:r>
        <w:rPr>
          <w:rFonts w:ascii="Times New Roman" w:hAnsi="Times New Roman"/>
          <w:sz w:val="24"/>
          <w:szCs w:val="24"/>
        </w:rPr>
        <w:t>ab)  dátum vzniku majetkového práva ,</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ac) spôsob nadobudnutia (napr. kúpa, dedičstvo, vytvorené vlastnou činnosťou bezodplatné nadobudnutie a pod.),</w:t>
      </w:r>
    </w:p>
    <w:p w:rsidR="001C7EC9" w:rsidP="001C7EC9">
      <w:pPr>
        <w:pStyle w:val="ListParagraph"/>
        <w:bidi w:val="0"/>
        <w:spacing w:after="0" w:line="240" w:lineRule="auto"/>
        <w:ind w:left="2694" w:hanging="426"/>
        <w:jc w:val="both"/>
        <w:rPr>
          <w:rFonts w:ascii="Times New Roman" w:hAnsi="Times New Roman"/>
          <w:sz w:val="24"/>
          <w:szCs w:val="24"/>
        </w:rPr>
      </w:pPr>
      <w:r>
        <w:rPr>
          <w:rFonts w:ascii="Times New Roman" w:hAnsi="Times New Roman"/>
          <w:sz w:val="24"/>
          <w:szCs w:val="24"/>
        </w:rPr>
        <w:t>ad)  podiel (napr. %, BSM, 1/1 a pod.),</w:t>
      </w:r>
    </w:p>
    <w:p w:rsidR="001C7EC9" w:rsidP="001C7EC9">
      <w:pPr>
        <w:bidi w:val="0"/>
        <w:spacing w:after="0" w:line="240" w:lineRule="auto"/>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úspory (napr. bežný účet, vkladná knižka, hotovosť a pod.)</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ba) obchodné meno spoločnosti/názov finančnej inštitúcie,</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 xml:space="preserve">bb) dátum vzniku majetkového práva, </w:t>
      </w:r>
    </w:p>
    <w:p w:rsidR="001C7EC9" w:rsidP="001C7EC9">
      <w:pPr>
        <w:pStyle w:val="ListParagraph"/>
        <w:bidi w:val="0"/>
        <w:spacing w:after="0" w:line="240" w:lineRule="auto"/>
        <w:ind w:left="2203"/>
        <w:jc w:val="both"/>
        <w:rPr>
          <w:rFonts w:ascii="Times New Roman" w:hAnsi="Times New Roman"/>
          <w:sz w:val="24"/>
          <w:szCs w:val="24"/>
        </w:rPr>
      </w:pPr>
      <w:r>
        <w:rPr>
          <w:rFonts w:ascii="Times New Roman" w:hAnsi="Times New Roman"/>
          <w:sz w:val="24"/>
          <w:szCs w:val="24"/>
        </w:rPr>
        <w:t>bc)  podiel (napr. %, BSM, 1/1 a pod.)</w:t>
      </w:r>
    </w:p>
    <w:p w:rsidR="001C7EC9" w:rsidP="001C7EC9">
      <w:pPr>
        <w:pStyle w:val="ListParagraph"/>
        <w:bidi w:val="0"/>
        <w:spacing w:after="0" w:line="240" w:lineRule="auto"/>
        <w:ind w:left="220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poistenie (napr. životné poistenie, poistenie zodpovednosti za škodu a pod.)</w:t>
      </w:r>
    </w:p>
    <w:p w:rsidR="001C7EC9" w:rsidP="001C7EC9">
      <w:pPr>
        <w:pStyle w:val="ListParagraph"/>
        <w:bidi w:val="0"/>
        <w:spacing w:after="0" w:line="240" w:lineRule="auto"/>
        <w:ind w:left="1843"/>
        <w:jc w:val="both"/>
        <w:rPr>
          <w:rFonts w:ascii="Times New Roman" w:hAnsi="Times New Roman"/>
          <w:sz w:val="24"/>
          <w:szCs w:val="24"/>
        </w:rPr>
      </w:pPr>
      <w:r>
        <w:rPr>
          <w:rFonts w:ascii="Times New Roman" w:hAnsi="Times New Roman"/>
          <w:sz w:val="24"/>
          <w:szCs w:val="24"/>
        </w:rPr>
        <w:t xml:space="preserve">     ca) obchodné meno spoločnosti/názov finančnej inštitúcie,</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cb)  dátum vzniku majetkového práva,</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cc) podiel (napr. %, BSM, 1/1</w:t>
      </w:r>
      <w:r w:rsidRPr="00283393">
        <w:rPr>
          <w:rFonts w:ascii="Times New Roman" w:hAnsi="Times New Roman"/>
          <w:sz w:val="24"/>
          <w:szCs w:val="24"/>
        </w:rPr>
        <w:t xml:space="preserve"> </w:t>
      </w:r>
      <w:r>
        <w:rPr>
          <w:rFonts w:ascii="Times New Roman" w:hAnsi="Times New Roman"/>
          <w:sz w:val="24"/>
          <w:szCs w:val="24"/>
        </w:rPr>
        <w:t>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osobitné sporenie (napr. dôchodkové sporenie, podielový fond, investičný fond a pod.)</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da)obchodné meno spoločnosti/názov finančnej inštitúcie,</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db) dátum vzniku majetkového práva,</w:t>
      </w:r>
    </w:p>
    <w:p w:rsidR="001C7EC9" w:rsidP="001C7EC9">
      <w:pPr>
        <w:bidi w:val="0"/>
        <w:spacing w:after="0" w:line="240" w:lineRule="auto"/>
        <w:ind w:left="2127"/>
        <w:jc w:val="both"/>
        <w:rPr>
          <w:rFonts w:ascii="Times New Roman" w:hAnsi="Times New Roman"/>
          <w:sz w:val="24"/>
          <w:szCs w:val="24"/>
        </w:rPr>
      </w:pPr>
      <w:r>
        <w:rPr>
          <w:rFonts w:ascii="Times New Roman" w:hAnsi="Times New Roman"/>
          <w:sz w:val="24"/>
          <w:szCs w:val="24"/>
        </w:rPr>
        <w:t>dc)  podiel (napr. %, BSM, 1/1 a pod.)</w:t>
      </w:r>
    </w:p>
    <w:p w:rsidR="001C7EC9" w:rsidP="001C7EC9">
      <w:pPr>
        <w:bidi w:val="0"/>
        <w:spacing w:after="0" w:line="240" w:lineRule="auto"/>
        <w:ind w:left="2127"/>
        <w:jc w:val="both"/>
        <w:rPr>
          <w:rFonts w:ascii="Times New Roman" w:hAnsi="Times New Roman"/>
          <w:sz w:val="24"/>
          <w:szCs w:val="24"/>
        </w:rPr>
      </w:pPr>
    </w:p>
    <w:p w:rsidR="001C7EC9" w:rsidP="001C7EC9">
      <w:pPr>
        <w:pStyle w:val="ListParagraph"/>
        <w:numPr>
          <w:numId w:val="10"/>
        </w:numPr>
        <w:bidi w:val="0"/>
        <w:spacing w:after="0" w:line="240" w:lineRule="auto"/>
        <w:ind w:left="2127" w:hanging="284"/>
        <w:jc w:val="both"/>
        <w:rPr>
          <w:rFonts w:ascii="Times New Roman" w:hAnsi="Times New Roman"/>
          <w:sz w:val="24"/>
          <w:szCs w:val="24"/>
        </w:rPr>
      </w:pPr>
      <w:r>
        <w:rPr>
          <w:rFonts w:ascii="Times New Roman" w:hAnsi="Times New Roman"/>
          <w:sz w:val="24"/>
          <w:szCs w:val="24"/>
        </w:rPr>
        <w:t>právo duševného vlastníctva (napr. autorské právo, priemyselné práva licencia, obchodné meno, obchodná značka, ochranná známka, zlepšovanie návrhy a pod.)</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ea) dátum vzniku majetkového práva,</w:t>
      </w:r>
    </w:p>
    <w:p w:rsidR="001C7EC9" w:rsidP="001C7EC9">
      <w:pPr>
        <w:pStyle w:val="ListParagraph"/>
        <w:bidi w:val="0"/>
        <w:spacing w:after="0" w:line="240" w:lineRule="auto"/>
        <w:ind w:left="2552" w:hanging="425"/>
        <w:jc w:val="both"/>
        <w:rPr>
          <w:rFonts w:ascii="Times New Roman" w:hAnsi="Times New Roman"/>
          <w:sz w:val="24"/>
          <w:szCs w:val="24"/>
        </w:rPr>
      </w:pPr>
      <w:r>
        <w:rPr>
          <w:rFonts w:ascii="Times New Roman" w:hAnsi="Times New Roman"/>
          <w:sz w:val="24"/>
          <w:szCs w:val="24"/>
        </w:rPr>
        <w:t>eb) spôsob nadobudnutia (kúpa, dedičstvo, vytvorené vlastnou činnosťou bezodplatné nadobudnutie),</w:t>
      </w:r>
    </w:p>
    <w:p w:rsidR="001C7EC9" w:rsidP="001C7EC9">
      <w:pPr>
        <w:pStyle w:val="ListParagraph"/>
        <w:bidi w:val="0"/>
        <w:spacing w:after="0" w:line="240" w:lineRule="auto"/>
        <w:ind w:left="1843" w:firstLine="284"/>
        <w:jc w:val="both"/>
        <w:rPr>
          <w:rFonts w:ascii="Times New Roman" w:hAnsi="Times New Roman"/>
          <w:sz w:val="24"/>
          <w:szCs w:val="24"/>
        </w:rPr>
      </w:pPr>
      <w:r>
        <w:rPr>
          <w:rFonts w:ascii="Times New Roman" w:hAnsi="Times New Roman"/>
          <w:sz w:val="24"/>
          <w:szCs w:val="24"/>
        </w:rPr>
        <w:t>ec)  podiel (napr. %, BSM, 1/1 a pod.),</w:t>
      </w:r>
    </w:p>
    <w:p w:rsidR="001C7EC9" w:rsidP="001C7EC9">
      <w:pPr>
        <w:pStyle w:val="ListParagraph"/>
        <w:bidi w:val="0"/>
        <w:spacing w:after="0" w:line="240" w:lineRule="auto"/>
        <w:ind w:left="1843"/>
        <w:jc w:val="both"/>
        <w:rPr>
          <w:rFonts w:ascii="Times New Roman" w:hAnsi="Times New Roman"/>
          <w:sz w:val="24"/>
          <w:szCs w:val="24"/>
        </w:rPr>
      </w:pPr>
    </w:p>
    <w:p w:rsidR="001C7EC9" w:rsidP="001C7EC9">
      <w:pPr>
        <w:pStyle w:val="ListParagraph"/>
        <w:numPr>
          <w:numId w:val="10"/>
        </w:numPr>
        <w:bidi w:val="0"/>
        <w:spacing w:after="0" w:line="240" w:lineRule="auto"/>
        <w:jc w:val="both"/>
        <w:rPr>
          <w:rFonts w:ascii="Times New Roman" w:hAnsi="Times New Roman"/>
          <w:sz w:val="24"/>
          <w:szCs w:val="24"/>
        </w:rPr>
      </w:pPr>
      <w:r>
        <w:rPr>
          <w:rFonts w:ascii="Times New Roman" w:hAnsi="Times New Roman"/>
          <w:sz w:val="24"/>
          <w:szCs w:val="24"/>
        </w:rPr>
        <w:t xml:space="preserve">pôžička tretej osobe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fa) identifikačné údaje fyzickej osoby, právnickej osoby,</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fb) dátum vzniku majetkového práva ,</w:t>
      </w:r>
    </w:p>
    <w:p w:rsidR="001C7EC9" w:rsidP="001C7EC9">
      <w:pPr>
        <w:pStyle w:val="ListParagraph"/>
        <w:bidi w:val="0"/>
        <w:spacing w:after="0" w:line="240" w:lineRule="auto"/>
        <w:ind w:left="1843" w:firstLine="281"/>
        <w:jc w:val="both"/>
        <w:rPr>
          <w:rFonts w:ascii="Times New Roman" w:hAnsi="Times New Roman"/>
          <w:sz w:val="24"/>
          <w:szCs w:val="24"/>
        </w:rPr>
      </w:pPr>
      <w:r>
        <w:rPr>
          <w:rFonts w:ascii="Times New Roman" w:hAnsi="Times New Roman"/>
          <w:sz w:val="24"/>
          <w:szCs w:val="24"/>
        </w:rPr>
        <w:t>fc)  podiel (napr. %, BSM, 1/1 a pod.),</w:t>
      </w:r>
    </w:p>
    <w:p w:rsidR="001C7EC9" w:rsidP="001C7EC9">
      <w:pPr>
        <w:bidi w:val="0"/>
        <w:spacing w:after="0" w:line="240" w:lineRule="auto"/>
        <w:jc w:val="both"/>
        <w:rPr>
          <w:rFonts w:ascii="Times New Roman" w:hAnsi="Times New Roman"/>
          <w:sz w:val="24"/>
          <w:szCs w:val="24"/>
        </w:rPr>
      </w:pPr>
    </w:p>
    <w:p w:rsidR="001C7EC9" w:rsidP="001C7EC9">
      <w:pPr>
        <w:bidi w:val="0"/>
        <w:spacing w:after="0" w:line="240" w:lineRule="auto"/>
        <w:ind w:left="1701" w:hanging="285"/>
        <w:jc w:val="both"/>
        <w:rPr>
          <w:rFonts w:ascii="Times New Roman" w:hAnsi="Times New Roman"/>
          <w:sz w:val="24"/>
          <w:szCs w:val="24"/>
        </w:rPr>
      </w:pPr>
      <w:r>
        <w:rPr>
          <w:rFonts w:ascii="Times New Roman" w:hAnsi="Times New Roman"/>
          <w:sz w:val="24"/>
          <w:szCs w:val="24"/>
        </w:rPr>
        <w:t xml:space="preserve">  4.  existenciu záväzku podľa druhu, ktorého predmetom je peňažné plnenie vo zvyčajnej hodnote nad 10 000 eur</w:t>
      </w:r>
    </w:p>
    <w:p w:rsidR="001C7EC9" w:rsidP="001C7EC9">
      <w:pPr>
        <w:bidi w:val="0"/>
        <w:spacing w:after="0" w:line="240" w:lineRule="auto"/>
        <w:ind w:left="2127" w:hanging="711"/>
        <w:jc w:val="both"/>
        <w:rPr>
          <w:rFonts w:ascii="Times New Roman" w:hAnsi="Times New Roman"/>
          <w:sz w:val="24"/>
          <w:szCs w:val="24"/>
        </w:rPr>
      </w:pPr>
      <w:r>
        <w:rPr>
          <w:rFonts w:ascii="Times New Roman" w:hAnsi="Times New Roman"/>
          <w:sz w:val="24"/>
          <w:szCs w:val="24"/>
        </w:rPr>
        <w:t xml:space="preserve">       a) druh záväzku (napr. hypotekárny úver, spotrebný úver, stavebný úver, pôžička voči 3. osobe, leasing, exekúcia, záväzky zo zmluvy a pod.)</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obchodné meno spoločnosti/názov finančnej inštitúcie/fyzická osoba</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dátum vzniku záväzku,</w:t>
      </w:r>
    </w:p>
    <w:p w:rsidR="001C7EC9" w:rsidP="001C7EC9">
      <w:pPr>
        <w:pStyle w:val="ListParagraph"/>
        <w:numPr>
          <w:numId w:val="7"/>
        </w:numPr>
        <w:bidi w:val="0"/>
        <w:spacing w:after="0" w:line="240" w:lineRule="auto"/>
        <w:ind w:hanging="218"/>
        <w:jc w:val="both"/>
        <w:rPr>
          <w:rFonts w:ascii="Times New Roman" w:hAnsi="Times New Roman"/>
          <w:sz w:val="24"/>
          <w:szCs w:val="24"/>
        </w:rPr>
      </w:pPr>
      <w:r>
        <w:rPr>
          <w:rFonts w:ascii="Times New Roman" w:hAnsi="Times New Roman"/>
          <w:sz w:val="24"/>
          <w:szCs w:val="24"/>
        </w:rPr>
        <w:t xml:space="preserve">  podiel (napr. %, BSM, 1/1 a pod.),</w:t>
      </w:r>
    </w:p>
    <w:p w:rsidR="001C7EC9" w:rsidP="001C7EC9">
      <w:pPr>
        <w:pStyle w:val="ListParagraph"/>
        <w:bidi w:val="0"/>
        <w:spacing w:after="0" w:line="240" w:lineRule="auto"/>
        <w:ind w:left="2061"/>
        <w:jc w:val="both"/>
        <w:rPr>
          <w:rFonts w:ascii="Times New Roman" w:hAnsi="Times New Roman"/>
          <w:sz w:val="24"/>
          <w:szCs w:val="24"/>
        </w:rPr>
      </w:pPr>
    </w:p>
    <w:p w:rsidR="001C7EC9" w:rsidP="001C7EC9">
      <w:pPr>
        <w:pStyle w:val="ListParagraph"/>
        <w:bidi w:val="0"/>
        <w:spacing w:after="0" w:line="240" w:lineRule="auto"/>
        <w:ind w:left="1843" w:hanging="283"/>
        <w:jc w:val="both"/>
        <w:rPr>
          <w:rFonts w:ascii="Times New Roman" w:hAnsi="Times New Roman"/>
          <w:sz w:val="24"/>
          <w:szCs w:val="24"/>
        </w:rPr>
      </w:pPr>
      <w:r>
        <w:rPr>
          <w:rFonts w:ascii="Times New Roman" w:hAnsi="Times New Roman"/>
          <w:sz w:val="24"/>
          <w:szCs w:val="24"/>
        </w:rPr>
        <w:t>5. užívanie nehnuteľnej veci inej fyzickej osoby alebo inej právnickej osoby (v hodnote užívania nad 4 000 eur od jednej osoby)</w:t>
      </w:r>
    </w:p>
    <w:p w:rsidR="001C7EC9" w:rsidRPr="00A76EDD" w:rsidP="001C7EC9">
      <w:pPr>
        <w:pStyle w:val="ListParagraph"/>
        <w:numPr>
          <w:numId w:val="11"/>
        </w:numPr>
        <w:bidi w:val="0"/>
        <w:spacing w:after="0" w:line="240" w:lineRule="auto"/>
        <w:jc w:val="both"/>
        <w:rPr>
          <w:rFonts w:ascii="Times New Roman" w:hAnsi="Times New Roman"/>
          <w:i/>
          <w:sz w:val="24"/>
          <w:szCs w:val="24"/>
        </w:rPr>
      </w:pPr>
      <w:r w:rsidRPr="00A76EDD">
        <w:rPr>
          <w:rFonts w:ascii="Times New Roman" w:hAnsi="Times New Roman"/>
          <w:sz w:val="24"/>
          <w:szCs w:val="24"/>
        </w:rPr>
        <w:t>druh nehnuteľnej veci</w:t>
      </w:r>
      <w:r w:rsidRPr="00A76EDD">
        <w:rPr>
          <w:rFonts w:ascii="Times New Roman" w:hAnsi="Times New Roman"/>
          <w:i/>
          <w:sz w:val="24"/>
          <w:szCs w:val="24"/>
        </w:rPr>
        <w:t xml:space="preserve"> </w:t>
      </w:r>
      <w:r w:rsidRPr="00A76EDD">
        <w:rPr>
          <w:rFonts w:ascii="Times New Roman" w:hAnsi="Times New Roman"/>
          <w:sz w:val="24"/>
          <w:szCs w:val="24"/>
        </w:rPr>
        <w:t xml:space="preserve">(napr. zastavaná plocha a nádvorie, rodinný dom, bytový dom, byt, nebytový priestor, garáž, stavebný pozemok, budova pre obchod a služby, priemyselná budova a sklad, stavba na individuálnu rekreáciu, orná pôda, vinica, chmeľnica, trvalý trávny porast, záhrady, ovocný sad, lesný pozemok, vodná plocha, rozostavané stavby, ak sú zapísané v katastri nehnuteľností, iné stavby a pod.),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katastrálne územie, </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parcelné číslo,</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číslo listu vlastníctva (LV),</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výmera (m</w:t>
      </w:r>
      <w:r w:rsidRPr="00A76EDD">
        <w:rPr>
          <w:rFonts w:ascii="Times New Roman" w:hAnsi="Times New Roman"/>
          <w:sz w:val="24"/>
          <w:szCs w:val="24"/>
          <w:vertAlign w:val="superscript"/>
        </w:rPr>
        <w:t>2</w:t>
      </w:r>
      <w:r w:rsidRPr="00A76EDD">
        <w:rPr>
          <w:rFonts w:ascii="Times New Roman" w:hAnsi="Times New Roman"/>
          <w:sz w:val="24"/>
          <w:szCs w:val="24"/>
        </w:rPr>
        <w:t>),</w:t>
      </w:r>
    </w:p>
    <w:p w:rsidR="001C7EC9" w:rsidRPr="00A76EDD"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 xml:space="preserve">rok začatia užívania nehnuteľnosti, </w:t>
      </w:r>
    </w:p>
    <w:p w:rsidR="001C7EC9" w:rsidP="001C7EC9">
      <w:pPr>
        <w:pStyle w:val="ListParagraph"/>
        <w:numPr>
          <w:numId w:val="11"/>
        </w:numPr>
        <w:bidi w:val="0"/>
        <w:spacing w:after="0" w:line="240" w:lineRule="auto"/>
        <w:jc w:val="both"/>
        <w:rPr>
          <w:rFonts w:ascii="Times New Roman" w:hAnsi="Times New Roman"/>
          <w:sz w:val="24"/>
          <w:szCs w:val="24"/>
        </w:rPr>
      </w:pPr>
      <w:r w:rsidRPr="00A76EDD">
        <w:rPr>
          <w:rFonts w:ascii="Times New Roman" w:hAnsi="Times New Roman"/>
          <w:sz w:val="24"/>
          <w:szCs w:val="24"/>
        </w:rPr>
        <w:t>spôsob užívania (napr. nájomná zmluva, zmluva o ubytovaní,</w:t>
      </w:r>
      <w:r>
        <w:rPr>
          <w:rFonts w:ascii="Times New Roman" w:hAnsi="Times New Roman"/>
          <w:sz w:val="24"/>
          <w:szCs w:val="24"/>
        </w:rPr>
        <w:t xml:space="preserve"> </w:t>
      </w:r>
      <w:r>
        <w:rPr>
          <w:rStyle w:val="st1"/>
          <w:rFonts w:ascii="Times New Roman" w:hAnsi="Times New Roman"/>
          <w:sz w:val="24"/>
          <w:szCs w:val="24"/>
        </w:rPr>
        <w:t>timesharingová zmluva,</w:t>
      </w:r>
      <w:r>
        <w:rPr>
          <w:rFonts w:ascii="Times New Roman" w:hAnsi="Times New Roman"/>
          <w:sz w:val="24"/>
          <w:szCs w:val="24"/>
        </w:rPr>
        <w:t xml:space="preserve">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1843" w:hanging="1843"/>
        <w:rPr>
          <w:rFonts w:ascii="Times New Roman" w:hAnsi="Times New Roman"/>
          <w:sz w:val="24"/>
          <w:szCs w:val="24"/>
        </w:rPr>
      </w:pPr>
      <w:r>
        <w:rPr>
          <w:rFonts w:ascii="Times New Roman" w:hAnsi="Times New Roman"/>
          <w:sz w:val="24"/>
          <w:szCs w:val="24"/>
        </w:rPr>
        <w:t xml:space="preserve">                          6.  užívanie hnuteľnej veci inej fyzickej osoby alebo inej právnickej osoby (v hodnote užívania nad  4 000 eur od jednej osoby)</w:t>
      </w:r>
    </w:p>
    <w:p w:rsidR="001C7EC9" w:rsidP="001C7EC9">
      <w:pPr>
        <w:pStyle w:val="ListParagraph"/>
        <w:bidi w:val="0"/>
        <w:spacing w:after="0" w:line="240" w:lineRule="auto"/>
        <w:ind w:left="2127"/>
        <w:jc w:val="both"/>
        <w:rPr>
          <w:rFonts w:ascii="Times New Roman" w:hAnsi="Times New Roman"/>
          <w:sz w:val="24"/>
          <w:szCs w:val="24"/>
        </w:rPr>
      </w:pPr>
      <w:r>
        <w:rPr>
          <w:rFonts w:ascii="Times New Roman" w:hAnsi="Times New Roman"/>
          <w:sz w:val="24"/>
          <w:szCs w:val="24"/>
        </w:rPr>
        <w:t>a)   druh hnuteľnej veci,</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typ dopravného prostriedku,</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továrenská značka,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výroby,</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rok začatia užívania,</w:t>
      </w:r>
    </w:p>
    <w:p w:rsidR="001C7EC9" w:rsidP="001C7EC9">
      <w:pPr>
        <w:pStyle w:val="ListParagraph"/>
        <w:numPr>
          <w:numId w:val="8"/>
        </w:numPr>
        <w:bidi w:val="0"/>
        <w:spacing w:after="0" w:line="240" w:lineRule="auto"/>
        <w:jc w:val="both"/>
        <w:rPr>
          <w:rFonts w:ascii="Times New Roman" w:hAnsi="Times New Roman"/>
          <w:sz w:val="24"/>
          <w:szCs w:val="24"/>
        </w:rPr>
      </w:pPr>
      <w:r>
        <w:rPr>
          <w:rFonts w:ascii="Times New Roman" w:hAnsi="Times New Roman"/>
          <w:sz w:val="24"/>
          <w:szCs w:val="24"/>
        </w:rPr>
        <w:t>spôsob užívania  (napr. zmluva o užívaní, nájomná zmluva, zmluva o výpožičke a pod.).</w:t>
      </w:r>
    </w:p>
    <w:p w:rsidR="001C7EC9" w:rsidP="001C7EC9">
      <w:pPr>
        <w:bidi w:val="0"/>
        <w:spacing w:after="0" w:line="240" w:lineRule="auto"/>
        <w:rPr>
          <w:rFonts w:ascii="Times New Roman" w:hAnsi="Times New Roman"/>
          <w:sz w:val="24"/>
          <w:szCs w:val="24"/>
        </w:rPr>
      </w:pPr>
    </w:p>
    <w:p w:rsidR="001C7EC9" w:rsidP="001C7EC9">
      <w:pPr>
        <w:bidi w:val="0"/>
        <w:spacing w:after="0" w:line="240" w:lineRule="auto"/>
        <w:ind w:left="2124"/>
        <w:jc w:val="both"/>
        <w:rPr>
          <w:rFonts w:ascii="Times New Roman" w:hAnsi="Times New Roman"/>
          <w:sz w:val="24"/>
          <w:szCs w:val="24"/>
        </w:rPr>
      </w:pPr>
      <w:r>
        <w:rPr>
          <w:rFonts w:ascii="Times New Roman" w:hAnsi="Times New Roman"/>
          <w:sz w:val="24"/>
          <w:szCs w:val="24"/>
        </w:rPr>
        <w:t xml:space="preserve">Užívaním  sa rozumie získaný prospech, za ktorý by za iných okolností musel verejný funkcionár vynaložiť finančné prostriedky. </w:t>
      </w:r>
    </w:p>
    <w:p w:rsidR="001C7EC9" w:rsidP="001C7EC9">
      <w:pPr>
        <w:bidi w:val="0"/>
        <w:spacing w:after="0" w:line="240" w:lineRule="auto"/>
        <w:ind w:left="2124" w:firstLine="6"/>
        <w:jc w:val="both"/>
        <w:rPr>
          <w:rFonts w:ascii="Times New Roman" w:hAnsi="Times New Roman"/>
          <w:b/>
          <w:i/>
          <w:sz w:val="24"/>
          <w:szCs w:val="24"/>
        </w:rPr>
      </w:pPr>
    </w:p>
    <w:p w:rsidR="001C7EC9" w:rsidP="001C7EC9">
      <w:pPr>
        <w:bidi w:val="0"/>
        <w:spacing w:after="0" w:line="240" w:lineRule="auto"/>
        <w:ind w:left="2124" w:firstLine="6"/>
        <w:jc w:val="both"/>
        <w:rPr>
          <w:rFonts w:ascii="Times New Roman" w:hAnsi="Times New Roman"/>
          <w:b/>
          <w:i/>
          <w:sz w:val="24"/>
          <w:szCs w:val="24"/>
        </w:rPr>
      </w:pPr>
      <w:r>
        <w:rPr>
          <w:rFonts w:ascii="Times New Roman" w:hAnsi="Times New Roman"/>
          <w:b/>
          <w:i/>
          <w:sz w:val="24"/>
          <w:szCs w:val="24"/>
        </w:rPr>
        <w:t>Oznámenia podľa 6. bodu sa netýkajú údajov o manželovi (manželke) a neplnoletých deťoch.</w:t>
      </w:r>
    </w:p>
    <w:p w:rsidR="001C7EC9" w:rsidP="001C7EC9">
      <w:pPr>
        <w:bidi w:val="0"/>
        <w:spacing w:after="0" w:line="240" w:lineRule="auto"/>
        <w:ind w:left="2340"/>
        <w:jc w:val="both"/>
        <w:rPr>
          <w:rFonts w:ascii="Times New Roman" w:hAnsi="Times New Roman"/>
          <w:sz w:val="24"/>
          <w:szCs w:val="24"/>
        </w:rPr>
      </w:pPr>
    </w:p>
    <w:p w:rsidR="001C7EC9" w:rsidP="001C7EC9">
      <w:pPr>
        <w:bidi w:val="0"/>
        <w:spacing w:after="0" w:line="240" w:lineRule="auto"/>
        <w:ind w:left="1701"/>
        <w:jc w:val="both"/>
        <w:rPr>
          <w:rFonts w:ascii="Times New Roman" w:hAnsi="Times New Roman"/>
          <w:sz w:val="24"/>
          <w:szCs w:val="24"/>
        </w:rPr>
      </w:pPr>
      <w:r>
        <w:rPr>
          <w:rFonts w:ascii="Times New Roman" w:hAnsi="Times New Roman"/>
          <w:sz w:val="24"/>
          <w:szCs w:val="24"/>
        </w:rPr>
        <w:t>7.   Prijaté dary alebo iné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druh daru (popis daru alebo 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dátum prijatia daru/inej výhody,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prijaté od (identifikácia fyzickej osoby alebo právnickej osoby)</w:t>
      </w:r>
    </w:p>
    <w:p w:rsidR="001C7EC9" w:rsidP="001C7EC9">
      <w:pPr>
        <w:pStyle w:val="ListParagraph"/>
        <w:numPr>
          <w:numId w:val="9"/>
        </w:numPr>
        <w:bidi w:val="0"/>
        <w:spacing w:after="0" w:line="240" w:lineRule="auto"/>
        <w:jc w:val="both"/>
        <w:rPr>
          <w:rFonts w:ascii="Times New Roman" w:hAnsi="Times New Roman"/>
          <w:sz w:val="24"/>
          <w:szCs w:val="24"/>
        </w:rPr>
      </w:pPr>
      <w:r>
        <w:rPr>
          <w:rFonts w:ascii="Times New Roman" w:hAnsi="Times New Roman"/>
          <w:sz w:val="24"/>
          <w:szCs w:val="24"/>
        </w:rPr>
        <w:t xml:space="preserve"> podiel </w:t>
      </w:r>
    </w:p>
    <w:p w:rsidR="001C7EC9" w:rsidP="001C7EC9">
      <w:pPr>
        <w:pStyle w:val="ListParagraph"/>
        <w:bidi w:val="0"/>
        <w:spacing w:after="0" w:line="240" w:lineRule="auto"/>
        <w:ind w:left="2880"/>
        <w:jc w:val="both"/>
        <w:rPr>
          <w:rFonts w:ascii="Times New Roman" w:hAnsi="Times New Roman"/>
          <w:sz w:val="24"/>
          <w:szCs w:val="24"/>
        </w:rPr>
      </w:pPr>
    </w:p>
    <w:p w:rsidR="001C7EC9" w:rsidP="001C7EC9">
      <w:pPr>
        <w:bidi w:val="0"/>
        <w:spacing w:after="0" w:line="240" w:lineRule="auto"/>
        <w:ind w:left="2124"/>
        <w:jc w:val="both"/>
        <w:rPr>
          <w:rFonts w:ascii="Times New Roman" w:hAnsi="Times New Roman"/>
          <w:b/>
          <w:i/>
          <w:sz w:val="24"/>
          <w:szCs w:val="24"/>
        </w:rPr>
      </w:pPr>
      <w:r>
        <w:rPr>
          <w:rFonts w:ascii="Times New Roman" w:hAnsi="Times New Roman"/>
          <w:b/>
          <w:i/>
          <w:sz w:val="24"/>
          <w:szCs w:val="24"/>
        </w:rPr>
        <w:t xml:space="preserve"> Oznámenia podľa 7. bodu sa netýkajú údajov o manželovi/manželke a neplnoletých deťoch.</w:t>
      </w:r>
    </w:p>
    <w:p w:rsidR="001C7EC9" w:rsidP="001C7EC9">
      <w:pPr>
        <w:bidi w:val="0"/>
        <w:spacing w:after="0" w:line="240" w:lineRule="auto"/>
        <w:ind w:left="708"/>
        <w:jc w:val="both"/>
        <w:rPr>
          <w:rFonts w:ascii="Times New Roman" w:hAnsi="Times New Roman"/>
          <w:sz w:val="24"/>
          <w:szCs w:val="24"/>
        </w:rPr>
      </w:pPr>
    </w:p>
    <w:p w:rsidR="001C7EC9" w:rsidP="001C7EC9">
      <w:pPr>
        <w:bidi w:val="0"/>
        <w:spacing w:after="0" w:line="240" w:lineRule="auto"/>
        <w:ind w:left="708"/>
        <w:jc w:val="both"/>
        <w:rPr>
          <w:rFonts w:ascii="Times New Roman" w:hAnsi="Times New Roman"/>
          <w:sz w:val="24"/>
          <w:szCs w:val="24"/>
        </w:rPr>
      </w:pPr>
      <w:r>
        <w:rPr>
          <w:rFonts w:ascii="Times New Roman" w:hAnsi="Times New Roman"/>
          <w:sz w:val="24"/>
          <w:szCs w:val="24"/>
        </w:rPr>
        <w:t>Rovnakým spôsobom verejný funkcionár vyplní údaje o manželovi (manželke)  a neplnoletých deťoch, ktoré s ním žijú v domácnosti. Na tento účel použije samostatnú stranu. V prípade, že rodinní príslušníci nevlastnia žiadny majetok (nehnuteľný ani hnuteľný), je potrebné vyplniť údaje v záhlaví a príslušnú stranu ponechať čistú (nevyplnenú).</w:t>
      </w:r>
    </w:p>
    <w:p w:rsidR="001C7EC9" w:rsidP="001C7EC9">
      <w:pPr>
        <w:bidi w:val="0"/>
        <w:ind w:left="708"/>
        <w:jc w:val="both"/>
        <w:rPr>
          <w:rFonts w:ascii="Times New Roman" w:hAnsi="Times New Roman"/>
          <w:sz w:val="24"/>
          <w:szCs w:val="24"/>
        </w:rPr>
      </w:pPr>
    </w:p>
    <w:p w:rsidR="001C7EC9" w:rsidP="001C7EC9">
      <w:pPr>
        <w:bidi w:val="0"/>
        <w:ind w:left="708"/>
        <w:jc w:val="both"/>
        <w:rPr>
          <w:rFonts w:ascii="Times New Roman" w:hAnsi="Times New Roman"/>
          <w:sz w:val="24"/>
          <w:szCs w:val="24"/>
        </w:rPr>
      </w:pPr>
      <w:r>
        <w:rPr>
          <w:rFonts w:ascii="Times New Roman" w:hAnsi="Times New Roman"/>
          <w:sz w:val="24"/>
          <w:szCs w:val="24"/>
        </w:rPr>
        <w:t>Na záver verejný funkcionár označí  čísla strán, celkový počet strán, a tlačivo podpíše.</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numPr>
          <w:numId w:val="1"/>
        </w:numPr>
        <w:bidi w:val="0"/>
        <w:spacing w:after="0" w:line="240" w:lineRule="auto"/>
        <w:jc w:val="both"/>
        <w:rPr>
          <w:rFonts w:ascii="Times New Roman" w:hAnsi="Times New Roman"/>
          <w:sz w:val="24"/>
          <w:szCs w:val="24"/>
        </w:rPr>
      </w:pPr>
      <w:r>
        <w:rPr>
          <w:rFonts w:ascii="Times New Roman" w:hAnsi="Times New Roman"/>
          <w:sz w:val="24"/>
          <w:szCs w:val="24"/>
        </w:rPr>
        <w:t>Príloha 2 znie:</w:t>
      </w: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pStyle w:val="ListParagraph"/>
        <w:bidi w:val="0"/>
        <w:spacing w:after="0" w:line="240" w:lineRule="auto"/>
        <w:ind w:left="5664"/>
        <w:jc w:val="both"/>
        <w:rPr>
          <w:rFonts w:ascii="Times New Roman" w:hAnsi="Times New Roman"/>
          <w:sz w:val="24"/>
          <w:szCs w:val="24"/>
        </w:rPr>
      </w:pPr>
      <w:r>
        <w:rPr>
          <w:rFonts w:ascii="Times New Roman" w:hAnsi="Times New Roman"/>
          <w:sz w:val="24"/>
          <w:szCs w:val="24"/>
        </w:rPr>
        <w:t xml:space="preserve">Príloha č. 2  k ústavnému zákonu č. 357/2004 </w:t>
      </w:r>
      <w:r w:rsidR="00424899">
        <w:rPr>
          <w:rFonts w:ascii="Times New Roman" w:hAnsi="Times New Roman"/>
          <w:sz w:val="24"/>
          <w:szCs w:val="24"/>
        </w:rPr>
        <w:t>Z. z. v znení zákona č...../2015</w:t>
      </w:r>
      <w:r>
        <w:rPr>
          <w:rFonts w:ascii="Times New Roman" w:hAnsi="Times New Roman"/>
          <w:sz w:val="24"/>
          <w:szCs w:val="24"/>
        </w:rPr>
        <w:t xml:space="preserve"> Z. z.</w:t>
      </w:r>
    </w:p>
    <w:p w:rsidR="001C7EC9" w:rsidP="001C7EC9">
      <w:pPr>
        <w:pStyle w:val="ListParagraph"/>
        <w:bidi w:val="0"/>
        <w:spacing w:after="0" w:line="240" w:lineRule="auto"/>
        <w:ind w:left="360"/>
        <w:jc w:val="both"/>
        <w:rPr>
          <w:rFonts w:ascii="Times New Roman" w:hAnsi="Times New Roman"/>
          <w:b/>
          <w:sz w:val="24"/>
          <w:szCs w:val="24"/>
        </w:rPr>
      </w:pPr>
    </w:p>
    <w:p w:rsidR="001C7EC9" w:rsidP="001C7EC9">
      <w:pPr>
        <w:pStyle w:val="ListParagraph"/>
        <w:bidi w:val="0"/>
        <w:spacing w:after="0" w:line="240" w:lineRule="auto"/>
        <w:ind w:left="360"/>
        <w:jc w:val="both"/>
        <w:rPr>
          <w:rFonts w:ascii="Times New Roman" w:hAnsi="Times New Roman"/>
          <w:sz w:val="24"/>
          <w:szCs w:val="24"/>
        </w:rPr>
      </w:pPr>
    </w:p>
    <w:p w:rsidR="001C7EC9" w:rsidP="001C7EC9">
      <w:pPr>
        <w:bidi w:val="0"/>
        <w:spacing w:after="0" w:line="240" w:lineRule="auto"/>
        <w:jc w:val="center"/>
        <w:rPr>
          <w:rFonts w:ascii="Times New Roman" w:hAnsi="Times New Roman"/>
          <w:b/>
          <w:sz w:val="28"/>
          <w:szCs w:val="28"/>
        </w:rPr>
      </w:pPr>
      <w:r>
        <w:rPr>
          <w:rFonts w:ascii="Times New Roman" w:hAnsi="Times New Roman"/>
          <w:b/>
          <w:sz w:val="28"/>
          <w:szCs w:val="28"/>
        </w:rPr>
        <w:t>Vzor oznámenia verejného funkcionára po skončení výkonu verejnej funkcie (po uplynutí jedného roka)</w:t>
      </w:r>
    </w:p>
    <w:p w:rsidR="001C7EC9" w:rsidP="001C7EC9">
      <w:pPr>
        <w:bidi w:val="0"/>
        <w:spacing w:after="0" w:line="240" w:lineRule="auto"/>
        <w:jc w:val="center"/>
        <w:rPr>
          <w:rFonts w:ascii="Times New Roman" w:hAnsi="Times New Roman"/>
          <w:b/>
          <w:sz w:val="28"/>
          <w:szCs w:val="28"/>
        </w:rPr>
      </w:pPr>
    </w:p>
    <w:p w:rsidR="001C7EC9" w:rsidP="001C7EC9">
      <w:pPr>
        <w:bidi w:val="0"/>
        <w:spacing w:after="0" w:line="240" w:lineRule="auto"/>
        <w:jc w:val="both"/>
        <w:rPr>
          <w:rFonts w:ascii="Times New Roman" w:hAnsi="Times New Roman"/>
          <w:b/>
          <w:sz w:val="28"/>
          <w:szCs w:val="28"/>
        </w:rPr>
      </w:pPr>
    </w:p>
    <w:p w:rsidR="001C7EC9" w:rsidP="001C7EC9">
      <w:pPr>
        <w:bidi w:val="0"/>
      </w:pPr>
      <w:r>
        <w:rPr>
          <w:noProof/>
          <w:lang w:eastAsia="sk-SK"/>
        </w:rPr>
        <w:pict>
          <v:shape id="Picture 1" o:spid="_x0000_i1038" type="#_x0000_t75" alt="D:\richardj\_to_finish\NRSR\tlacivoC-2-2\tlacivoC-2-2-priloha-s1.wmf" style="width:449.07pt;height:645.77pt;visibility:visible" filled="f" stroked="f">
            <v:imagedata r:id="rId17" o:title=""/>
            <o:lock v:ext="edit" aspectratio="t"/>
          </v:shape>
        </w:pict>
      </w:r>
    </w:p>
    <w:p w:rsidR="001C7EC9" w:rsidP="001C7EC9">
      <w:pPr>
        <w:bidi w:val="0"/>
      </w:pPr>
      <w:r>
        <w:br w:type="page"/>
      </w:r>
    </w:p>
    <w:p w:rsidR="001C7EC9" w:rsidP="001C7EC9">
      <w:pPr>
        <w:bidi w:val="0"/>
      </w:pPr>
      <w:r>
        <w:rPr>
          <w:noProof/>
          <w:lang w:eastAsia="sk-SK"/>
        </w:rPr>
        <w:pict>
          <v:shape id="Picture 2" o:spid="_x0000_i1039" type="#_x0000_t75" alt="D:\richardj\_to_finish\NRSR\tlacivoC-2-2\tlacivoC-2-2-priloha-s2.wmf" style="width:449.07pt;height:636.98pt;visibility:visible" filled="f" stroked="f">
            <v:imagedata r:id="rId18" o:title=""/>
            <o:lock v:ext="edit" aspectratio="t"/>
          </v:shape>
        </w:pict>
      </w:r>
    </w:p>
    <w:p w:rsidR="001C7EC9" w:rsidP="001C7EC9">
      <w:pPr>
        <w:bidi w:val="0"/>
      </w:pPr>
      <w:r>
        <w:br w:type="page"/>
      </w:r>
    </w:p>
    <w:p w:rsidR="001C7EC9" w:rsidP="001C7EC9">
      <w:pPr>
        <w:bidi w:val="0"/>
      </w:pPr>
      <w:r>
        <w:rPr>
          <w:noProof/>
          <w:lang w:eastAsia="sk-SK"/>
        </w:rPr>
        <w:pict>
          <v:shape id="Picture 3" o:spid="_x0000_i1040" type="#_x0000_t75" alt="D:\richardj\_to_finish\NRSR\tlacivoC-2-2\tlacivoC-2-2-priloha-s3.wmf" style="width:449.07pt;height:636.98pt;visibility:visible" filled="f" stroked="f">
            <v:imagedata r:id="rId19" o:title=""/>
            <o:lock v:ext="edit" aspectratio="t"/>
          </v:shape>
        </w:pict>
      </w:r>
    </w:p>
    <w:p w:rsidR="001C7EC9" w:rsidP="001C7EC9">
      <w:pPr>
        <w:bidi w:val="0"/>
      </w:pPr>
      <w:r>
        <w:br w:type="page"/>
      </w:r>
    </w:p>
    <w:p w:rsidR="001C7EC9" w:rsidP="001C7EC9">
      <w:pPr>
        <w:bidi w:val="0"/>
      </w:pPr>
      <w:r>
        <w:rPr>
          <w:noProof/>
          <w:lang w:eastAsia="sk-SK"/>
        </w:rPr>
        <w:pict>
          <v:shape id="Picture 4" o:spid="_x0000_i1041" type="#_x0000_t75" alt="D:\richardj\_to_finish\NRSR\tlacivoC-2-2\tlacivoC-2-2-priloha-s4.wmf" style="width:449.07pt;height:636.98pt;visibility:visible" filled="f" stroked="f">
            <v:imagedata r:id="rId20" o:title=""/>
            <o:lock v:ext="edit" aspectratio="t"/>
          </v:shape>
        </w:pict>
      </w:r>
    </w:p>
    <w:p w:rsidR="001C7EC9" w:rsidP="001C7EC9">
      <w:pPr>
        <w:bidi w:val="0"/>
      </w:pPr>
      <w:r>
        <w:br w:type="page"/>
      </w:r>
    </w:p>
    <w:p w:rsidR="001C7EC9" w:rsidP="001C7EC9">
      <w:pPr>
        <w:bidi w:val="0"/>
      </w:pPr>
      <w:r>
        <w:rPr>
          <w:noProof/>
          <w:lang w:eastAsia="sk-SK"/>
        </w:rPr>
        <w:pict>
          <v:shape id="Picture 5" o:spid="_x0000_i1042" type="#_x0000_t75" alt="D:\richardj\_to_finish\NRSR\tlacivoC-2-2\tlacivoC-2-2-priloha-s5.wmf" style="width:449.07pt;height:636.98pt;visibility:visible" filled="f" stroked="f">
            <v:imagedata r:id="rId21" o:title=""/>
            <o:lock v:ext="edit" aspectratio="t"/>
          </v:shape>
        </w:pict>
      </w:r>
    </w:p>
    <w:p w:rsidR="001C7EC9" w:rsidP="001C7EC9">
      <w:pPr>
        <w:bidi w:val="0"/>
      </w:pPr>
      <w:r>
        <w:br w:type="page"/>
      </w:r>
    </w:p>
    <w:p w:rsidR="001C7EC9" w:rsidP="001C7EC9">
      <w:pPr>
        <w:bidi w:val="0"/>
      </w:pPr>
      <w:r>
        <w:rPr>
          <w:noProof/>
          <w:lang w:eastAsia="sk-SK"/>
        </w:rPr>
        <w:pict>
          <v:shape id="Picture 6" o:spid="_x0000_i1043" type="#_x0000_t75" alt="D:\richardj\_to_finish\NRSR\tlacivoC-2-2\tlacivoC-2-2-priloha-s6.wmf" style="width:449.07pt;height:636.98pt;visibility:visible" filled="f" stroked="f">
            <v:imagedata r:id="rId22" o:title=""/>
            <o:lock v:ext="edit" aspectratio="t"/>
          </v:shape>
        </w:pict>
      </w:r>
    </w:p>
    <w:p w:rsidR="001C7EC9" w:rsidP="001C7EC9">
      <w:pPr>
        <w:bidi w:val="0"/>
      </w:pPr>
      <w:r>
        <w:br w:type="page"/>
      </w:r>
    </w:p>
    <w:p w:rsidR="001C7EC9" w:rsidP="001C7EC9">
      <w:pPr>
        <w:bidi w:val="0"/>
      </w:pPr>
      <w:r>
        <w:rPr>
          <w:noProof/>
          <w:lang w:eastAsia="sk-SK"/>
        </w:rPr>
        <w:pict>
          <v:shape id="Picture 7" o:spid="_x0000_i1044" type="#_x0000_t75" alt="D:\richardj\_to_finish\NRSR\tlacivoC-2-2\tlacivoC-2-2-priloha-s7.wmf" style="width:449.07pt;height:636.98pt;visibility:visible" filled="f" stroked="f">
            <v:imagedata r:id="rId23" o:title=""/>
            <o:lock v:ext="edit" aspectratio="t"/>
          </v:shape>
        </w:pict>
      </w:r>
    </w:p>
    <w:p w:rsidR="001C7EC9" w:rsidP="001C7EC9">
      <w:pPr>
        <w:bidi w:val="0"/>
        <w:spacing w:after="0" w:line="240" w:lineRule="auto"/>
        <w:jc w:val="both"/>
        <w:rPr>
          <w:rFonts w:ascii="Times New Roman" w:hAnsi="Times New Roman"/>
          <w:b/>
          <w:sz w:val="28"/>
          <w:szCs w:val="28"/>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Čl. II</w:t>
      </w:r>
    </w:p>
    <w:p w:rsidR="001C7EC9" w:rsidP="001C7EC9">
      <w:pPr>
        <w:bidi w:val="0"/>
        <w:spacing w:after="0" w:line="240" w:lineRule="auto"/>
        <w:jc w:val="center"/>
        <w:rPr>
          <w:rFonts w:ascii="Times New Roman" w:hAnsi="Times New Roman"/>
          <w:sz w:val="24"/>
          <w:szCs w:val="24"/>
        </w:rPr>
      </w:pPr>
    </w:p>
    <w:p w:rsidR="001C7EC9" w:rsidP="001C7EC9">
      <w:pPr>
        <w:bidi w:val="0"/>
        <w:spacing w:after="0" w:line="240" w:lineRule="auto"/>
        <w:jc w:val="center"/>
        <w:rPr>
          <w:rFonts w:ascii="Times New Roman" w:hAnsi="Times New Roman"/>
          <w:sz w:val="24"/>
          <w:szCs w:val="24"/>
        </w:rPr>
      </w:pPr>
      <w:r>
        <w:rPr>
          <w:rFonts w:ascii="Times New Roman" w:hAnsi="Times New Roman"/>
          <w:sz w:val="24"/>
          <w:szCs w:val="24"/>
        </w:rPr>
        <w:t>Tento ústavný zákon n</w:t>
      </w:r>
      <w:r w:rsidR="008D1AC5">
        <w:rPr>
          <w:rFonts w:ascii="Times New Roman" w:hAnsi="Times New Roman"/>
          <w:sz w:val="24"/>
          <w:szCs w:val="24"/>
        </w:rPr>
        <w:t>adobúda účinnosť 1. januára 201</w:t>
      </w:r>
      <w:r w:rsidR="00DF4875">
        <w:rPr>
          <w:rFonts w:ascii="Times New Roman" w:hAnsi="Times New Roman"/>
          <w:sz w:val="24"/>
          <w:szCs w:val="24"/>
        </w:rPr>
        <w:t>6</w:t>
      </w:r>
      <w:r>
        <w:rPr>
          <w:rFonts w:ascii="Times New Roman" w:hAnsi="Times New Roman"/>
          <w:sz w:val="24"/>
          <w:szCs w:val="24"/>
        </w:rPr>
        <w:t>.</w:t>
      </w:r>
    </w:p>
    <w:p w:rsidR="006A2DC1">
      <w:pPr>
        <w:bidi w:val="0"/>
      </w:pPr>
    </w:p>
    <w:sectPr w:rsidSect="00A0469E">
      <w:pgSz w:w="11906" w:h="16838"/>
      <w:pgMar w:top="1417" w:right="1417" w:bottom="1417" w:left="1417" w:header="708" w:footer="708" w:gutter="0"/>
      <w:lnNumType w:distance="0"/>
      <w:cols w:space="708"/>
      <w:noEndnote w:val="0"/>
      <w:bidi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font>
  <w:font w:name="Courier New">
    <w:panose1 w:val="02070309020205020404"/>
    <w:charset w:val="EE"/>
    <w:family w:val="modern"/>
    <w:pitch w:val="fixed"/>
    <w:sig w:usb0="00000000" w:usb1="00000000" w:usb2="00000000" w:usb3="00000000" w:csb0="000001FF" w:csb1="00000000"/>
  </w:font>
  <w:font w:name="Symbol">
    <w:panose1 w:val="05050102010706020507"/>
    <w:charset w:val="02"/>
    <w:family w:val="roman"/>
    <w:pitch w:val="variable"/>
    <w:sig w:usb0="00000000" w:usb1="00000000" w:usb2="00000000" w:usb3="00000000" w:csb0="80000000" w:csb1="00000000"/>
  </w:font>
  <w:font w:name="Wingdings">
    <w:panose1 w:val="05000000000000000000"/>
    <w:charset w:val="02"/>
    <w:family w:val="auto"/>
    <w:pitch w:val="variable"/>
    <w:sig w:usb0="00000000" w:usb1="00000000" w:usb2="00000000" w:usb3="00000000" w:csb0="80000000" w:csb1="00000000"/>
  </w:font>
  <w:font w:name="Cambria Math">
    <w:panose1 w:val="02040503050406030204"/>
    <w:charset w:val="01"/>
    <w:family w:val="roman"/>
    <w:pitch w:val="variable"/>
    <w:sig w:usb0="00000000" w:usb1="00000000" w:usb2="00000000" w:usb3="00000000" w:csb0="00000000" w:csb1="00000000"/>
  </w:font>
  <w:font w:name="Calibri">
    <w:panose1 w:val="020F0502020204030204"/>
    <w:charset w:val="EE"/>
    <w:family w:val="swiss"/>
    <w:pitch w:val="variable"/>
    <w:sig w:usb0="00000000" w:usb1="00000000" w:usb2="00000000" w:usb3="00000000" w:csb0="0000019F" w:csb1="00000000"/>
  </w:font>
  <w:font w:name="Tahoma">
    <w:panose1 w:val="020B0604030504040204"/>
    <w:charset w:val="00"/>
    <w:family w:val="swiss"/>
    <w:pitch w:val="variable"/>
    <w:sig w:usb0="00000000" w:usb1="00000000" w:usb2="00000000" w:usb3="00000000" w:csb0="00000001" w:csb1="00000000"/>
  </w:font>
  <w:font w:name="AngsanaUPC">
    <w:panose1 w:val="02020603050405020304"/>
    <w:charset w:val="DE"/>
    <w:family w:val="roman"/>
    <w:pitch w:val="variable"/>
    <w:sig w:usb0="00000000" w:usb1="00000000" w:usb2="00000000" w:usb3="00000000" w:csb0="00010001" w:csb1="00000000"/>
  </w:font>
  <w:font w:name="Cambria">
    <w:panose1 w:val="02040503050406030204"/>
    <w:charset w:val="EE"/>
    <w:family w:val="roman"/>
    <w:pitch w:val="variable"/>
    <w:sig w:usb0="00000000"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C7DC2"/>
    <w:multiLevelType w:val="hybridMultilevel"/>
    <w:tmpl w:val="5DEED73A"/>
    <w:lvl w:ilvl="0">
      <w:start w:val="1"/>
      <w:numFmt w:val="decimal"/>
      <w:lvlText w:val="%1."/>
      <w:lvlJc w:val="left"/>
      <w:pPr>
        <w:tabs>
          <w:tab w:val="num" w:pos="720"/>
        </w:tabs>
        <w:ind w:left="720" w:hanging="360"/>
      </w:pPr>
      <w:rPr>
        <w:rFonts w:cs="Times New Roman"/>
        <w:b w:val="0"/>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
    <w:nsid w:val="05343F2F"/>
    <w:multiLevelType w:val="hybridMultilevel"/>
    <w:tmpl w:val="2C703634"/>
    <w:lvl w:ilvl="0">
      <w:start w:val="2"/>
      <w:numFmt w:val="lowerLetter"/>
      <w:lvlText w:val="%1)"/>
      <w:lvlJc w:val="left"/>
      <w:pPr>
        <w:ind w:left="2487" w:hanging="360"/>
      </w:pPr>
      <w:rPr>
        <w:rFonts w:cs="Times New Roman"/>
        <w:rtl w:val="0"/>
        <w:cs w:val="0"/>
      </w:rPr>
    </w:lvl>
    <w:lvl w:ilvl="1">
      <w:start w:val="1"/>
      <w:numFmt w:val="lowerLetter"/>
      <w:lvlText w:val="%2."/>
      <w:lvlJc w:val="left"/>
      <w:pPr>
        <w:ind w:left="3207" w:hanging="360"/>
      </w:pPr>
      <w:rPr>
        <w:rFonts w:cs="Times New Roman"/>
        <w:rtl w:val="0"/>
        <w:cs w:val="0"/>
      </w:rPr>
    </w:lvl>
    <w:lvl w:ilvl="2">
      <w:start w:val="1"/>
      <w:numFmt w:val="lowerRoman"/>
      <w:lvlText w:val="%3."/>
      <w:lvlJc w:val="right"/>
      <w:pPr>
        <w:ind w:left="3927" w:hanging="180"/>
      </w:pPr>
      <w:rPr>
        <w:rFonts w:cs="Times New Roman"/>
        <w:rtl w:val="0"/>
        <w:cs w:val="0"/>
      </w:rPr>
    </w:lvl>
    <w:lvl w:ilvl="3">
      <w:start w:val="1"/>
      <w:numFmt w:val="decimal"/>
      <w:lvlText w:val="%4."/>
      <w:lvlJc w:val="left"/>
      <w:pPr>
        <w:ind w:left="4647" w:hanging="360"/>
      </w:pPr>
      <w:rPr>
        <w:rFonts w:cs="Times New Roman"/>
        <w:rtl w:val="0"/>
        <w:cs w:val="0"/>
      </w:rPr>
    </w:lvl>
    <w:lvl w:ilvl="4">
      <w:start w:val="1"/>
      <w:numFmt w:val="lowerLetter"/>
      <w:lvlText w:val="%5."/>
      <w:lvlJc w:val="left"/>
      <w:pPr>
        <w:ind w:left="5367" w:hanging="360"/>
      </w:pPr>
      <w:rPr>
        <w:rFonts w:cs="Times New Roman"/>
        <w:rtl w:val="0"/>
        <w:cs w:val="0"/>
      </w:rPr>
    </w:lvl>
    <w:lvl w:ilvl="5">
      <w:start w:val="1"/>
      <w:numFmt w:val="lowerRoman"/>
      <w:lvlText w:val="%6."/>
      <w:lvlJc w:val="right"/>
      <w:pPr>
        <w:ind w:left="6087" w:hanging="180"/>
      </w:pPr>
      <w:rPr>
        <w:rFonts w:cs="Times New Roman"/>
        <w:rtl w:val="0"/>
        <w:cs w:val="0"/>
      </w:rPr>
    </w:lvl>
    <w:lvl w:ilvl="6">
      <w:start w:val="1"/>
      <w:numFmt w:val="decimal"/>
      <w:lvlText w:val="%7."/>
      <w:lvlJc w:val="left"/>
      <w:pPr>
        <w:ind w:left="6807" w:hanging="360"/>
      </w:pPr>
      <w:rPr>
        <w:rFonts w:cs="Times New Roman"/>
        <w:rtl w:val="0"/>
        <w:cs w:val="0"/>
      </w:rPr>
    </w:lvl>
    <w:lvl w:ilvl="7">
      <w:start w:val="1"/>
      <w:numFmt w:val="lowerLetter"/>
      <w:lvlText w:val="%8."/>
      <w:lvlJc w:val="left"/>
      <w:pPr>
        <w:ind w:left="7527" w:hanging="360"/>
      </w:pPr>
      <w:rPr>
        <w:rFonts w:cs="Times New Roman"/>
        <w:rtl w:val="0"/>
        <w:cs w:val="0"/>
      </w:rPr>
    </w:lvl>
    <w:lvl w:ilvl="8">
      <w:start w:val="1"/>
      <w:numFmt w:val="lowerRoman"/>
      <w:lvlText w:val="%9."/>
      <w:lvlJc w:val="right"/>
      <w:pPr>
        <w:ind w:left="8247" w:hanging="180"/>
      </w:pPr>
      <w:rPr>
        <w:rFonts w:cs="Times New Roman"/>
        <w:rtl w:val="0"/>
        <w:cs w:val="0"/>
      </w:rPr>
    </w:lvl>
  </w:abstractNum>
  <w:abstractNum w:abstractNumId="2">
    <w:nsid w:val="177C2469"/>
    <w:multiLevelType w:val="hybridMultilevel"/>
    <w:tmpl w:val="0DB43892"/>
    <w:lvl w:ilvl="0">
      <w:start w:val="1"/>
      <w:numFmt w:val="lowerLetter"/>
      <w:lvlText w:val="%1)"/>
      <w:lvlJc w:val="left"/>
      <w:pPr>
        <w:ind w:left="2160" w:hanging="360"/>
      </w:pPr>
      <w:rPr>
        <w:rFonts w:cs="Times New Roman"/>
        <w:rtl w:val="0"/>
        <w:cs w:val="0"/>
      </w:rPr>
    </w:lvl>
    <w:lvl w:ilvl="1">
      <w:start w:val="1"/>
      <w:numFmt w:val="lowerLetter"/>
      <w:lvlText w:val="%2."/>
      <w:lvlJc w:val="left"/>
      <w:pPr>
        <w:ind w:left="2880" w:hanging="360"/>
      </w:pPr>
      <w:rPr>
        <w:rFonts w:cs="Times New Roman"/>
        <w:rtl w:val="0"/>
        <w:cs w:val="0"/>
      </w:rPr>
    </w:lvl>
    <w:lvl w:ilvl="2">
      <w:start w:val="1"/>
      <w:numFmt w:val="lowerRoman"/>
      <w:lvlText w:val="%3."/>
      <w:lvlJc w:val="right"/>
      <w:pPr>
        <w:ind w:left="3600" w:hanging="180"/>
      </w:pPr>
      <w:rPr>
        <w:rFonts w:cs="Times New Roman"/>
        <w:rtl w:val="0"/>
        <w:cs w:val="0"/>
      </w:rPr>
    </w:lvl>
    <w:lvl w:ilvl="3">
      <w:start w:val="1"/>
      <w:numFmt w:val="decimal"/>
      <w:lvlText w:val="%4."/>
      <w:lvlJc w:val="left"/>
      <w:pPr>
        <w:ind w:left="4320" w:hanging="360"/>
      </w:pPr>
      <w:rPr>
        <w:rFonts w:cs="Times New Roman"/>
        <w:rtl w:val="0"/>
        <w:cs w:val="0"/>
      </w:rPr>
    </w:lvl>
    <w:lvl w:ilvl="4">
      <w:start w:val="1"/>
      <w:numFmt w:val="lowerLetter"/>
      <w:lvlText w:val="%5."/>
      <w:lvlJc w:val="left"/>
      <w:pPr>
        <w:ind w:left="5040" w:hanging="360"/>
      </w:pPr>
      <w:rPr>
        <w:rFonts w:cs="Times New Roman"/>
        <w:rtl w:val="0"/>
        <w:cs w:val="0"/>
      </w:rPr>
    </w:lvl>
    <w:lvl w:ilvl="5">
      <w:start w:val="1"/>
      <w:numFmt w:val="lowerRoman"/>
      <w:lvlText w:val="%6."/>
      <w:lvlJc w:val="right"/>
      <w:pPr>
        <w:ind w:left="5760" w:hanging="180"/>
      </w:pPr>
      <w:rPr>
        <w:rFonts w:cs="Times New Roman"/>
        <w:rtl w:val="0"/>
        <w:cs w:val="0"/>
      </w:rPr>
    </w:lvl>
    <w:lvl w:ilvl="6">
      <w:start w:val="1"/>
      <w:numFmt w:val="decimal"/>
      <w:lvlText w:val="%7."/>
      <w:lvlJc w:val="left"/>
      <w:pPr>
        <w:ind w:left="6480" w:hanging="360"/>
      </w:pPr>
      <w:rPr>
        <w:rFonts w:cs="Times New Roman"/>
        <w:rtl w:val="0"/>
        <w:cs w:val="0"/>
      </w:rPr>
    </w:lvl>
    <w:lvl w:ilvl="7">
      <w:start w:val="1"/>
      <w:numFmt w:val="lowerLetter"/>
      <w:lvlText w:val="%8."/>
      <w:lvlJc w:val="left"/>
      <w:pPr>
        <w:ind w:left="7200" w:hanging="360"/>
      </w:pPr>
      <w:rPr>
        <w:rFonts w:cs="Times New Roman"/>
        <w:rtl w:val="0"/>
        <w:cs w:val="0"/>
      </w:rPr>
    </w:lvl>
    <w:lvl w:ilvl="8">
      <w:start w:val="1"/>
      <w:numFmt w:val="lowerRoman"/>
      <w:lvlText w:val="%9."/>
      <w:lvlJc w:val="right"/>
      <w:pPr>
        <w:ind w:left="7920" w:hanging="180"/>
      </w:pPr>
      <w:rPr>
        <w:rFonts w:cs="Times New Roman"/>
        <w:rtl w:val="0"/>
        <w:cs w:val="0"/>
      </w:rPr>
    </w:lvl>
  </w:abstractNum>
  <w:abstractNum w:abstractNumId="3">
    <w:nsid w:val="1D4C24FA"/>
    <w:multiLevelType w:val="hybridMultilevel"/>
    <w:tmpl w:val="F5BE04C8"/>
    <w:lvl w:ilvl="0">
      <w:start w:val="1"/>
      <w:numFmt w:val="lowerLetter"/>
      <w:lvlText w:val="%1)"/>
      <w:lvlJc w:val="left"/>
      <w:pPr>
        <w:ind w:left="1364" w:hanging="360"/>
      </w:pPr>
      <w:rPr>
        <w:rFonts w:cs="Times New Roman"/>
        <w:rtl w:val="0"/>
        <w:cs w:val="0"/>
      </w:rPr>
    </w:lvl>
    <w:lvl w:ilvl="1">
      <w:start w:val="1"/>
      <w:numFmt w:val="lowerLetter"/>
      <w:lvlText w:val="%2."/>
      <w:lvlJc w:val="left"/>
      <w:pPr>
        <w:ind w:left="2084" w:hanging="360"/>
      </w:pPr>
      <w:rPr>
        <w:rFonts w:cs="Times New Roman"/>
        <w:rtl w:val="0"/>
        <w:cs w:val="0"/>
      </w:rPr>
    </w:lvl>
    <w:lvl w:ilvl="2">
      <w:start w:val="1"/>
      <w:numFmt w:val="lowerRoman"/>
      <w:lvlText w:val="%3."/>
      <w:lvlJc w:val="right"/>
      <w:pPr>
        <w:ind w:left="2804" w:hanging="180"/>
      </w:pPr>
      <w:rPr>
        <w:rFonts w:cs="Times New Roman"/>
        <w:rtl w:val="0"/>
        <w:cs w:val="0"/>
      </w:rPr>
    </w:lvl>
    <w:lvl w:ilvl="3">
      <w:start w:val="1"/>
      <w:numFmt w:val="decimal"/>
      <w:lvlText w:val="%4."/>
      <w:lvlJc w:val="left"/>
      <w:pPr>
        <w:ind w:left="3524" w:hanging="360"/>
      </w:pPr>
      <w:rPr>
        <w:rFonts w:cs="Times New Roman"/>
        <w:rtl w:val="0"/>
        <w:cs w:val="0"/>
      </w:rPr>
    </w:lvl>
    <w:lvl w:ilvl="4">
      <w:start w:val="1"/>
      <w:numFmt w:val="lowerLetter"/>
      <w:lvlText w:val="%5."/>
      <w:lvlJc w:val="left"/>
      <w:pPr>
        <w:ind w:left="4244" w:hanging="360"/>
      </w:pPr>
      <w:rPr>
        <w:rFonts w:cs="Times New Roman"/>
        <w:rtl w:val="0"/>
        <w:cs w:val="0"/>
      </w:rPr>
    </w:lvl>
    <w:lvl w:ilvl="5">
      <w:start w:val="1"/>
      <w:numFmt w:val="lowerRoman"/>
      <w:lvlText w:val="%6."/>
      <w:lvlJc w:val="right"/>
      <w:pPr>
        <w:ind w:left="4964" w:hanging="180"/>
      </w:pPr>
      <w:rPr>
        <w:rFonts w:cs="Times New Roman"/>
        <w:rtl w:val="0"/>
        <w:cs w:val="0"/>
      </w:rPr>
    </w:lvl>
    <w:lvl w:ilvl="6">
      <w:start w:val="1"/>
      <w:numFmt w:val="decimal"/>
      <w:lvlText w:val="%7."/>
      <w:lvlJc w:val="left"/>
      <w:pPr>
        <w:ind w:left="5684" w:hanging="360"/>
      </w:pPr>
      <w:rPr>
        <w:rFonts w:cs="Times New Roman"/>
        <w:rtl w:val="0"/>
        <w:cs w:val="0"/>
      </w:rPr>
    </w:lvl>
    <w:lvl w:ilvl="7">
      <w:start w:val="1"/>
      <w:numFmt w:val="lowerLetter"/>
      <w:lvlText w:val="%8."/>
      <w:lvlJc w:val="left"/>
      <w:pPr>
        <w:ind w:left="6404" w:hanging="360"/>
      </w:pPr>
      <w:rPr>
        <w:rFonts w:cs="Times New Roman"/>
        <w:rtl w:val="0"/>
        <w:cs w:val="0"/>
      </w:rPr>
    </w:lvl>
    <w:lvl w:ilvl="8">
      <w:start w:val="1"/>
      <w:numFmt w:val="lowerRoman"/>
      <w:lvlText w:val="%9."/>
      <w:lvlJc w:val="right"/>
      <w:pPr>
        <w:ind w:left="7124" w:hanging="180"/>
      </w:pPr>
      <w:rPr>
        <w:rFonts w:cs="Times New Roman"/>
        <w:rtl w:val="0"/>
        <w:cs w:val="0"/>
      </w:rPr>
    </w:lvl>
  </w:abstractNum>
  <w:abstractNum w:abstractNumId="4">
    <w:nsid w:val="217842C8"/>
    <w:multiLevelType w:val="hybridMultilevel"/>
    <w:tmpl w:val="BDD04E9E"/>
    <w:lvl w:ilvl="0">
      <w:start w:val="1"/>
      <w:numFmt w:val="upperRoman"/>
      <w:lvlText w:val="%1."/>
      <w:lvlJc w:val="left"/>
      <w:pPr>
        <w:ind w:left="1080" w:hanging="720"/>
      </w:pPr>
      <w:rPr>
        <w:rFonts w:cs="Times New Roman"/>
        <w:b w:val="0"/>
        <w:rtl w:val="0"/>
        <w:cs w:val="0"/>
      </w:rPr>
    </w:lvl>
    <w:lvl w:ilvl="1">
      <w:start w:val="1"/>
      <w:numFmt w:val="decimal"/>
      <w:lvlText w:val="%2."/>
      <w:lvlJc w:val="left"/>
      <w:pPr>
        <w:ind w:left="1440" w:hanging="360"/>
      </w:pPr>
      <w:rPr>
        <w:rFonts w:ascii="Times New Roman" w:eastAsia="Times New Roman" w:hAnsi="Times New Roman"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0"/>
      <w:numFmt w:val="bullet"/>
      <w:lvlText w:val="-"/>
      <w:lvlJc w:val="left"/>
      <w:pPr>
        <w:ind w:left="4500" w:hanging="360"/>
      </w:pPr>
      <w:rPr>
        <w:rFonts w:ascii="Times New Roman" w:eastAsia="Times New Roman" w:hAnsi="Times New Roman" w:hint="default"/>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5">
    <w:nsid w:val="4A031FA3"/>
    <w:multiLevelType w:val="hybridMultilevel"/>
    <w:tmpl w:val="94FC03CC"/>
    <w:lvl w:ilvl="0">
      <w:start w:val="1"/>
      <w:numFmt w:val="decimal"/>
      <w:lvlText w:val="%1."/>
      <w:lvlJc w:val="left"/>
      <w:pPr>
        <w:ind w:left="360" w:hanging="360"/>
      </w:pPr>
      <w:rPr>
        <w:rFonts w:cs="Times New Roman"/>
        <w:b w:val="0"/>
        <w:i w:val="0"/>
        <w:color w:val="auto"/>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6">
    <w:nsid w:val="64C10C73"/>
    <w:multiLevelType w:val="hybridMultilevel"/>
    <w:tmpl w:val="DDC46B78"/>
    <w:lvl w:ilvl="0">
      <w:start w:val="2"/>
      <w:numFmt w:val="lowerLetter"/>
      <w:lvlText w:val="%1)"/>
      <w:lvlJc w:val="left"/>
      <w:pPr>
        <w:ind w:left="2061" w:hanging="360"/>
      </w:pPr>
      <w:rPr>
        <w:rFonts w:cs="Times New Roman"/>
        <w:rtl w:val="0"/>
        <w:cs w:val="0"/>
      </w:rPr>
    </w:lvl>
    <w:lvl w:ilvl="1">
      <w:start w:val="1"/>
      <w:numFmt w:val="lowerLetter"/>
      <w:lvlText w:val="%2."/>
      <w:lvlJc w:val="left"/>
      <w:pPr>
        <w:ind w:left="2781" w:hanging="360"/>
      </w:pPr>
      <w:rPr>
        <w:rFonts w:cs="Times New Roman"/>
        <w:rtl w:val="0"/>
        <w:cs w:val="0"/>
      </w:rPr>
    </w:lvl>
    <w:lvl w:ilvl="2">
      <w:start w:val="1"/>
      <w:numFmt w:val="lowerRoman"/>
      <w:lvlText w:val="%3."/>
      <w:lvlJc w:val="right"/>
      <w:pPr>
        <w:ind w:left="3501" w:hanging="180"/>
      </w:pPr>
      <w:rPr>
        <w:rFonts w:cs="Times New Roman"/>
        <w:rtl w:val="0"/>
        <w:cs w:val="0"/>
      </w:rPr>
    </w:lvl>
    <w:lvl w:ilvl="3">
      <w:start w:val="1"/>
      <w:numFmt w:val="decimal"/>
      <w:lvlText w:val="%4."/>
      <w:lvlJc w:val="left"/>
      <w:pPr>
        <w:ind w:left="4221" w:hanging="360"/>
      </w:pPr>
      <w:rPr>
        <w:rFonts w:cs="Times New Roman"/>
        <w:rtl w:val="0"/>
        <w:cs w:val="0"/>
      </w:rPr>
    </w:lvl>
    <w:lvl w:ilvl="4">
      <w:start w:val="1"/>
      <w:numFmt w:val="lowerLetter"/>
      <w:lvlText w:val="%5."/>
      <w:lvlJc w:val="left"/>
      <w:pPr>
        <w:ind w:left="4941" w:hanging="360"/>
      </w:pPr>
      <w:rPr>
        <w:rFonts w:cs="Times New Roman"/>
        <w:rtl w:val="0"/>
        <w:cs w:val="0"/>
      </w:rPr>
    </w:lvl>
    <w:lvl w:ilvl="5">
      <w:start w:val="1"/>
      <w:numFmt w:val="lowerRoman"/>
      <w:lvlText w:val="%6."/>
      <w:lvlJc w:val="right"/>
      <w:pPr>
        <w:ind w:left="5661" w:hanging="180"/>
      </w:pPr>
      <w:rPr>
        <w:rFonts w:cs="Times New Roman"/>
        <w:rtl w:val="0"/>
        <w:cs w:val="0"/>
      </w:rPr>
    </w:lvl>
    <w:lvl w:ilvl="6">
      <w:start w:val="1"/>
      <w:numFmt w:val="decimal"/>
      <w:lvlText w:val="%7."/>
      <w:lvlJc w:val="left"/>
      <w:pPr>
        <w:ind w:left="6381" w:hanging="360"/>
      </w:pPr>
      <w:rPr>
        <w:rFonts w:cs="Times New Roman"/>
        <w:rtl w:val="0"/>
        <w:cs w:val="0"/>
      </w:rPr>
    </w:lvl>
    <w:lvl w:ilvl="7">
      <w:start w:val="1"/>
      <w:numFmt w:val="lowerLetter"/>
      <w:lvlText w:val="%8."/>
      <w:lvlJc w:val="left"/>
      <w:pPr>
        <w:ind w:left="7101" w:hanging="360"/>
      </w:pPr>
      <w:rPr>
        <w:rFonts w:cs="Times New Roman"/>
        <w:rtl w:val="0"/>
        <w:cs w:val="0"/>
      </w:rPr>
    </w:lvl>
    <w:lvl w:ilvl="8">
      <w:start w:val="1"/>
      <w:numFmt w:val="lowerRoman"/>
      <w:lvlText w:val="%9."/>
      <w:lvlJc w:val="right"/>
      <w:pPr>
        <w:ind w:left="7821" w:hanging="180"/>
      </w:pPr>
      <w:rPr>
        <w:rFonts w:cs="Times New Roman"/>
        <w:rtl w:val="0"/>
        <w:cs w:val="0"/>
      </w:rPr>
    </w:lvl>
  </w:abstractNum>
  <w:abstractNum w:abstractNumId="7">
    <w:nsid w:val="6B127135"/>
    <w:multiLevelType w:val="hybridMultilevel"/>
    <w:tmpl w:val="5380E0D6"/>
    <w:lvl w:ilvl="0">
      <w:start w:val="1"/>
      <w:numFmt w:val="lowerLetter"/>
      <w:lvlText w:val="%1)"/>
      <w:lvlJc w:val="left"/>
      <w:pPr>
        <w:ind w:left="2203" w:hanging="360"/>
      </w:pPr>
      <w:rPr>
        <w:rFonts w:cs="Times New Roman" w:hint="default"/>
        <w:rtl w:val="0"/>
        <w:cs w:val="0"/>
      </w:rPr>
    </w:lvl>
    <w:lvl w:ilvl="1">
      <w:start w:val="1"/>
      <w:numFmt w:val="lowerLetter"/>
      <w:lvlText w:val="%2."/>
      <w:lvlJc w:val="left"/>
      <w:pPr>
        <w:ind w:left="2923" w:hanging="360"/>
      </w:pPr>
      <w:rPr>
        <w:rFonts w:cs="Times New Roman"/>
        <w:rtl w:val="0"/>
        <w:cs w:val="0"/>
      </w:rPr>
    </w:lvl>
    <w:lvl w:ilvl="2">
      <w:start w:val="1"/>
      <w:numFmt w:val="lowerRoman"/>
      <w:lvlText w:val="%3."/>
      <w:lvlJc w:val="right"/>
      <w:pPr>
        <w:ind w:left="3643" w:hanging="180"/>
      </w:pPr>
      <w:rPr>
        <w:rFonts w:cs="Times New Roman"/>
        <w:rtl w:val="0"/>
        <w:cs w:val="0"/>
      </w:rPr>
    </w:lvl>
    <w:lvl w:ilvl="3">
      <w:start w:val="1"/>
      <w:numFmt w:val="decimal"/>
      <w:lvlText w:val="%4."/>
      <w:lvlJc w:val="left"/>
      <w:pPr>
        <w:ind w:left="4363" w:hanging="360"/>
      </w:pPr>
      <w:rPr>
        <w:rFonts w:cs="Times New Roman"/>
        <w:rtl w:val="0"/>
        <w:cs w:val="0"/>
      </w:rPr>
    </w:lvl>
    <w:lvl w:ilvl="4">
      <w:start w:val="1"/>
      <w:numFmt w:val="lowerLetter"/>
      <w:lvlText w:val="%5."/>
      <w:lvlJc w:val="left"/>
      <w:pPr>
        <w:ind w:left="5083" w:hanging="360"/>
      </w:pPr>
      <w:rPr>
        <w:rFonts w:cs="Times New Roman"/>
        <w:rtl w:val="0"/>
        <w:cs w:val="0"/>
      </w:rPr>
    </w:lvl>
    <w:lvl w:ilvl="5">
      <w:start w:val="1"/>
      <w:numFmt w:val="lowerRoman"/>
      <w:lvlText w:val="%6."/>
      <w:lvlJc w:val="right"/>
      <w:pPr>
        <w:ind w:left="5803" w:hanging="180"/>
      </w:pPr>
      <w:rPr>
        <w:rFonts w:cs="Times New Roman"/>
        <w:rtl w:val="0"/>
        <w:cs w:val="0"/>
      </w:rPr>
    </w:lvl>
    <w:lvl w:ilvl="6">
      <w:start w:val="1"/>
      <w:numFmt w:val="decimal"/>
      <w:lvlText w:val="%7."/>
      <w:lvlJc w:val="left"/>
      <w:pPr>
        <w:ind w:left="6523" w:hanging="360"/>
      </w:pPr>
      <w:rPr>
        <w:rFonts w:cs="Times New Roman"/>
        <w:rtl w:val="0"/>
        <w:cs w:val="0"/>
      </w:rPr>
    </w:lvl>
    <w:lvl w:ilvl="7">
      <w:start w:val="1"/>
      <w:numFmt w:val="lowerLetter"/>
      <w:lvlText w:val="%8."/>
      <w:lvlJc w:val="left"/>
      <w:pPr>
        <w:ind w:left="7243" w:hanging="360"/>
      </w:pPr>
      <w:rPr>
        <w:rFonts w:cs="Times New Roman"/>
        <w:rtl w:val="0"/>
        <w:cs w:val="0"/>
      </w:rPr>
    </w:lvl>
    <w:lvl w:ilvl="8">
      <w:start w:val="1"/>
      <w:numFmt w:val="lowerRoman"/>
      <w:lvlText w:val="%9."/>
      <w:lvlJc w:val="right"/>
      <w:pPr>
        <w:ind w:left="7963" w:hanging="180"/>
      </w:pPr>
      <w:rPr>
        <w:rFonts w:cs="Times New Roman"/>
        <w:rtl w:val="0"/>
        <w:cs w:val="0"/>
      </w:rPr>
    </w:lvl>
  </w:abstractNum>
  <w:abstractNum w:abstractNumId="8">
    <w:nsid w:val="7112066B"/>
    <w:multiLevelType w:val="hybridMultilevel"/>
    <w:tmpl w:val="B40C9CA8"/>
    <w:lvl w:ilvl="0">
      <w:start w:val="1"/>
      <w:numFmt w:val="lowerLetter"/>
      <w:lvlText w:val="%1)"/>
      <w:lvlJc w:val="left"/>
      <w:pPr>
        <w:ind w:left="2487" w:hanging="360"/>
      </w:pPr>
      <w:rPr>
        <w:rFonts w:cs="Times New Roman"/>
        <w:i w:val="0"/>
        <w:rtl w:val="0"/>
        <w:cs w:val="0"/>
      </w:rPr>
    </w:lvl>
    <w:lvl w:ilvl="1">
      <w:start w:val="1"/>
      <w:numFmt w:val="bullet"/>
      <w:lvlText w:val="o"/>
      <w:lvlJc w:val="left"/>
      <w:pPr>
        <w:ind w:left="3207" w:hanging="360"/>
      </w:pPr>
      <w:rPr>
        <w:rFonts w:ascii="Courier New" w:hAnsi="Courier New" w:hint="default"/>
      </w:rPr>
    </w:lvl>
    <w:lvl w:ilvl="2">
      <w:start w:val="1"/>
      <w:numFmt w:val="bullet"/>
      <w:lvlText w:val=""/>
      <w:lvlJc w:val="left"/>
      <w:pPr>
        <w:ind w:left="3927" w:hanging="360"/>
      </w:pPr>
      <w:rPr>
        <w:rFonts w:ascii="Wingdings" w:hAnsi="Wingdings" w:hint="default"/>
      </w:rPr>
    </w:lvl>
    <w:lvl w:ilvl="3">
      <w:start w:val="1"/>
      <w:numFmt w:val="bullet"/>
      <w:lvlText w:val=""/>
      <w:lvlJc w:val="left"/>
      <w:pPr>
        <w:ind w:left="4647" w:hanging="360"/>
      </w:pPr>
      <w:rPr>
        <w:rFonts w:ascii="Symbol" w:hAnsi="Symbol" w:hint="default"/>
      </w:rPr>
    </w:lvl>
    <w:lvl w:ilvl="4">
      <w:start w:val="1"/>
      <w:numFmt w:val="bullet"/>
      <w:lvlText w:val="o"/>
      <w:lvlJc w:val="left"/>
      <w:pPr>
        <w:ind w:left="5367" w:hanging="360"/>
      </w:pPr>
      <w:rPr>
        <w:rFonts w:ascii="Courier New" w:hAnsi="Courier New" w:hint="default"/>
      </w:rPr>
    </w:lvl>
    <w:lvl w:ilvl="5">
      <w:start w:val="1"/>
      <w:numFmt w:val="bullet"/>
      <w:lvlText w:val=""/>
      <w:lvlJc w:val="left"/>
      <w:pPr>
        <w:ind w:left="6087" w:hanging="360"/>
      </w:pPr>
      <w:rPr>
        <w:rFonts w:ascii="Wingdings" w:hAnsi="Wingdings" w:hint="default"/>
      </w:rPr>
    </w:lvl>
    <w:lvl w:ilvl="6">
      <w:start w:val="1"/>
      <w:numFmt w:val="bullet"/>
      <w:lvlText w:val=""/>
      <w:lvlJc w:val="left"/>
      <w:pPr>
        <w:ind w:left="6807" w:hanging="360"/>
      </w:pPr>
      <w:rPr>
        <w:rFonts w:ascii="Symbol" w:hAnsi="Symbol" w:hint="default"/>
      </w:rPr>
    </w:lvl>
    <w:lvl w:ilvl="7">
      <w:start w:val="1"/>
      <w:numFmt w:val="bullet"/>
      <w:lvlText w:val="o"/>
      <w:lvlJc w:val="left"/>
      <w:pPr>
        <w:ind w:left="7527" w:hanging="360"/>
      </w:pPr>
      <w:rPr>
        <w:rFonts w:ascii="Courier New" w:hAnsi="Courier New" w:hint="default"/>
      </w:rPr>
    </w:lvl>
    <w:lvl w:ilvl="8">
      <w:start w:val="1"/>
      <w:numFmt w:val="bullet"/>
      <w:lvlText w:val=""/>
      <w:lvlJc w:val="left"/>
      <w:pPr>
        <w:ind w:left="8247" w:hanging="360"/>
      </w:pPr>
      <w:rPr>
        <w:rFonts w:ascii="Wingdings" w:hAnsi="Wingdings" w:hint="default"/>
      </w:rPr>
    </w:lvl>
  </w:abstractNum>
  <w:abstractNum w:abstractNumId="9">
    <w:nsid w:val="71BF0D1C"/>
    <w:multiLevelType w:val="hybridMultilevel"/>
    <w:tmpl w:val="2B723BB0"/>
    <w:lvl w:ilvl="0">
      <w:start w:val="1"/>
      <w:numFmt w:val="lowerLetter"/>
      <w:lvlText w:val="%1)"/>
      <w:lvlJc w:val="left"/>
      <w:pPr>
        <w:ind w:left="2309" w:hanging="360"/>
      </w:pPr>
      <w:rPr>
        <w:rFonts w:cs="Times New Roman"/>
        <w:rtl w:val="0"/>
        <w:cs w:val="0"/>
      </w:rPr>
    </w:lvl>
    <w:lvl w:ilvl="1">
      <w:start w:val="1"/>
      <w:numFmt w:val="lowerLetter"/>
      <w:lvlText w:val="%2."/>
      <w:lvlJc w:val="left"/>
      <w:pPr>
        <w:ind w:left="3029" w:hanging="360"/>
      </w:pPr>
      <w:rPr>
        <w:rFonts w:cs="Times New Roman"/>
        <w:rtl w:val="0"/>
        <w:cs w:val="0"/>
      </w:rPr>
    </w:lvl>
    <w:lvl w:ilvl="2">
      <w:start w:val="1"/>
      <w:numFmt w:val="lowerRoman"/>
      <w:lvlText w:val="%3."/>
      <w:lvlJc w:val="right"/>
      <w:pPr>
        <w:ind w:left="3749" w:hanging="180"/>
      </w:pPr>
      <w:rPr>
        <w:rFonts w:cs="Times New Roman"/>
        <w:rtl w:val="0"/>
        <w:cs w:val="0"/>
      </w:rPr>
    </w:lvl>
    <w:lvl w:ilvl="3">
      <w:start w:val="1"/>
      <w:numFmt w:val="decimal"/>
      <w:lvlText w:val="%4."/>
      <w:lvlJc w:val="left"/>
      <w:pPr>
        <w:ind w:left="4469" w:hanging="360"/>
      </w:pPr>
      <w:rPr>
        <w:rFonts w:cs="Times New Roman"/>
        <w:rtl w:val="0"/>
        <w:cs w:val="0"/>
      </w:rPr>
    </w:lvl>
    <w:lvl w:ilvl="4">
      <w:start w:val="1"/>
      <w:numFmt w:val="lowerLetter"/>
      <w:lvlText w:val="%5."/>
      <w:lvlJc w:val="left"/>
      <w:pPr>
        <w:ind w:left="5189" w:hanging="360"/>
      </w:pPr>
      <w:rPr>
        <w:rFonts w:cs="Times New Roman"/>
        <w:rtl w:val="0"/>
        <w:cs w:val="0"/>
      </w:rPr>
    </w:lvl>
    <w:lvl w:ilvl="5">
      <w:start w:val="1"/>
      <w:numFmt w:val="lowerRoman"/>
      <w:lvlText w:val="%6."/>
      <w:lvlJc w:val="right"/>
      <w:pPr>
        <w:ind w:left="5909" w:hanging="180"/>
      </w:pPr>
      <w:rPr>
        <w:rFonts w:cs="Times New Roman"/>
        <w:rtl w:val="0"/>
        <w:cs w:val="0"/>
      </w:rPr>
    </w:lvl>
    <w:lvl w:ilvl="6">
      <w:start w:val="1"/>
      <w:numFmt w:val="decimal"/>
      <w:lvlText w:val="%7."/>
      <w:lvlJc w:val="left"/>
      <w:pPr>
        <w:ind w:left="6629" w:hanging="360"/>
      </w:pPr>
      <w:rPr>
        <w:rFonts w:cs="Times New Roman"/>
        <w:rtl w:val="0"/>
        <w:cs w:val="0"/>
      </w:rPr>
    </w:lvl>
    <w:lvl w:ilvl="7">
      <w:start w:val="1"/>
      <w:numFmt w:val="lowerLetter"/>
      <w:lvlText w:val="%8."/>
      <w:lvlJc w:val="left"/>
      <w:pPr>
        <w:ind w:left="7349" w:hanging="360"/>
      </w:pPr>
      <w:rPr>
        <w:rFonts w:cs="Times New Roman"/>
        <w:rtl w:val="0"/>
        <w:cs w:val="0"/>
      </w:rPr>
    </w:lvl>
    <w:lvl w:ilvl="8">
      <w:start w:val="1"/>
      <w:numFmt w:val="lowerRoman"/>
      <w:lvlText w:val="%9."/>
      <w:lvlJc w:val="right"/>
      <w:pPr>
        <w:ind w:left="8069" w:hanging="180"/>
      </w:pPr>
      <w:rPr>
        <w:rFonts w:cs="Times New Roman"/>
        <w:rtl w:val="0"/>
        <w:cs w:val="0"/>
      </w:rPr>
    </w:lvl>
  </w:abstractNum>
  <w:abstractNum w:abstractNumId="10">
    <w:nsid w:val="7C911A71"/>
    <w:multiLevelType w:val="hybridMultilevel"/>
    <w:tmpl w:val="08B2DF3E"/>
    <w:lvl w:ilvl="0">
      <w:start w:val="1"/>
      <w:numFmt w:val="lowerLetter"/>
      <w:lvlText w:val="%1)"/>
      <w:lvlJc w:val="left"/>
      <w:pPr>
        <w:ind w:left="1440" w:hanging="360"/>
      </w:pPr>
      <w:rPr>
        <w:rFonts w:cs="Times New Roman"/>
        <w:color w:val="000000" w:themeColor="tx1" w:themeShade="FF"/>
        <w:rtl w:val="0"/>
        <w:cs w:val="0"/>
      </w:rPr>
    </w:lvl>
    <w:lvl w:ilvl="1">
      <w:start w:val="1"/>
      <w:numFmt w:val="lowerLetter"/>
      <w:lvlText w:val="%2."/>
      <w:lvlJc w:val="left"/>
      <w:pPr>
        <w:ind w:left="2160" w:hanging="360"/>
      </w:pPr>
      <w:rPr>
        <w:rFonts w:cs="Times New Roman"/>
        <w:rtl w:val="0"/>
        <w:cs w:val="0"/>
      </w:rPr>
    </w:lvl>
    <w:lvl w:ilvl="2">
      <w:start w:val="1"/>
      <w:numFmt w:val="lowerRoman"/>
      <w:lvlText w:val="%3."/>
      <w:lvlJc w:val="right"/>
      <w:pPr>
        <w:ind w:left="2880" w:hanging="180"/>
      </w:pPr>
      <w:rPr>
        <w:rFonts w:cs="Times New Roman"/>
        <w:rtl w:val="0"/>
        <w:cs w:val="0"/>
      </w:rPr>
    </w:lvl>
    <w:lvl w:ilvl="3">
      <w:start w:val="1"/>
      <w:numFmt w:val="decimal"/>
      <w:lvlText w:val="%4."/>
      <w:lvlJc w:val="left"/>
      <w:pPr>
        <w:ind w:left="3600" w:hanging="360"/>
      </w:pPr>
      <w:rPr>
        <w:rFonts w:cs="Times New Roman"/>
        <w:rtl w:val="0"/>
        <w:cs w:val="0"/>
      </w:rPr>
    </w:lvl>
    <w:lvl w:ilvl="4">
      <w:start w:val="1"/>
      <w:numFmt w:val="lowerLetter"/>
      <w:lvlText w:val="%5."/>
      <w:lvlJc w:val="left"/>
      <w:pPr>
        <w:ind w:left="4320" w:hanging="360"/>
      </w:pPr>
      <w:rPr>
        <w:rFonts w:cs="Times New Roman"/>
        <w:rtl w:val="0"/>
        <w:cs w:val="0"/>
      </w:rPr>
    </w:lvl>
    <w:lvl w:ilvl="5">
      <w:start w:val="1"/>
      <w:numFmt w:val="lowerRoman"/>
      <w:lvlText w:val="%6."/>
      <w:lvlJc w:val="right"/>
      <w:pPr>
        <w:ind w:left="5040" w:hanging="180"/>
      </w:pPr>
      <w:rPr>
        <w:rFonts w:cs="Times New Roman"/>
        <w:rtl w:val="0"/>
        <w:cs w:val="0"/>
      </w:rPr>
    </w:lvl>
    <w:lvl w:ilvl="6">
      <w:start w:val="1"/>
      <w:numFmt w:val="decimal"/>
      <w:lvlText w:val="%7."/>
      <w:lvlJc w:val="left"/>
      <w:pPr>
        <w:ind w:left="5760" w:hanging="360"/>
      </w:pPr>
      <w:rPr>
        <w:rFonts w:cs="Times New Roman"/>
        <w:rtl w:val="0"/>
        <w:cs w:val="0"/>
      </w:rPr>
    </w:lvl>
    <w:lvl w:ilvl="7">
      <w:start w:val="1"/>
      <w:numFmt w:val="lowerLetter"/>
      <w:lvlText w:val="%8."/>
      <w:lvlJc w:val="left"/>
      <w:pPr>
        <w:ind w:left="6480" w:hanging="360"/>
      </w:pPr>
      <w:rPr>
        <w:rFonts w:cs="Times New Roman"/>
        <w:rtl w:val="0"/>
        <w:cs w:val="0"/>
      </w:rPr>
    </w:lvl>
    <w:lvl w:ilvl="8">
      <w:start w:val="1"/>
      <w:numFmt w:val="lowerRoman"/>
      <w:lvlText w:val="%9."/>
      <w:lvlJc w:val="right"/>
      <w:pPr>
        <w:ind w:left="7200" w:hanging="180"/>
      </w:pPr>
      <w:rPr>
        <w:rFonts w:cs="Times New Roman"/>
        <w:rtl w:val="0"/>
        <w:cs w:val="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08"/>
  <w:hyphenationZone w:val="425"/>
  <w:characterSpacingControl w:val="doNotCompress"/>
  <w:compat/>
  <w:rsids>
    <w:rsidRoot w:val="001C7EC9"/>
    <w:rsid w:val="000907CA"/>
    <w:rsid w:val="001313C6"/>
    <w:rsid w:val="001A53F0"/>
    <w:rsid w:val="001C7EC9"/>
    <w:rsid w:val="001F2200"/>
    <w:rsid w:val="00283393"/>
    <w:rsid w:val="002F7DFE"/>
    <w:rsid w:val="00424899"/>
    <w:rsid w:val="004763E2"/>
    <w:rsid w:val="004B29FE"/>
    <w:rsid w:val="00547159"/>
    <w:rsid w:val="00583B5A"/>
    <w:rsid w:val="005C10FD"/>
    <w:rsid w:val="006A2DC1"/>
    <w:rsid w:val="00732EE8"/>
    <w:rsid w:val="00747E19"/>
    <w:rsid w:val="007C446C"/>
    <w:rsid w:val="008474CD"/>
    <w:rsid w:val="008B2794"/>
    <w:rsid w:val="008D1AC5"/>
    <w:rsid w:val="00936661"/>
    <w:rsid w:val="00A0469E"/>
    <w:rsid w:val="00A57671"/>
    <w:rsid w:val="00A76EDD"/>
    <w:rsid w:val="00B4141D"/>
    <w:rsid w:val="00BA0D6A"/>
    <w:rsid w:val="00C13675"/>
    <w:rsid w:val="00C63C21"/>
    <w:rsid w:val="00D74997"/>
    <w:rsid w:val="00DF4875"/>
  </w:rsids>
  <m:mathPr>
    <m:mathFont m:val="Cambria Math"/>
  </m:mathPr>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eastAsia="Times New Roman" w:asciiTheme="minorHAnsi" w:hAnsiTheme="minorHAnsi" w:cstheme="minorHAnsi"/>
        <w:sz w:val="22"/>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EC9"/>
    <w:pPr>
      <w:framePr w:wrap="auto"/>
      <w:widowControl/>
      <w:autoSpaceDE/>
      <w:autoSpaceDN/>
      <w:adjustRightInd/>
      <w:spacing w:after="200" w:line="276" w:lineRule="auto"/>
      <w:ind w:left="0" w:right="0"/>
      <w:jc w:val="left"/>
      <w:textAlignment w:val="auto"/>
    </w:pPr>
    <w:rPr>
      <w:rFonts w:ascii="Calibri" w:hAnsi="Calibri" w:cs="Times New Roman"/>
      <w:sz w:val="22"/>
      <w:szCs w:val="22"/>
      <w:rtl w:val="0"/>
      <w:cs w:val="0"/>
      <w:lang w:val="sk-SK"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ListParagraph">
    <w:name w:val="List Paragraph"/>
    <w:basedOn w:val="Normal"/>
    <w:uiPriority w:val="34"/>
    <w:qFormat/>
    <w:rsid w:val="001C7EC9"/>
    <w:pPr>
      <w:ind w:left="720"/>
      <w:contextualSpacing/>
      <w:jc w:val="left"/>
    </w:pPr>
  </w:style>
  <w:style w:type="character" w:customStyle="1" w:styleId="st1">
    <w:name w:val="st1"/>
    <w:basedOn w:val="DefaultParagraphFont"/>
    <w:rsid w:val="001C7EC9"/>
    <w:rPr>
      <w:rFonts w:cs="Times New Roman"/>
      <w:rtl w:val="0"/>
      <w:cs w:val="0"/>
    </w:rPr>
  </w:style>
  <w:style w:type="paragraph" w:styleId="BalloonText">
    <w:name w:val="Balloon Text"/>
    <w:basedOn w:val="Normal"/>
    <w:link w:val="BalloonTextChar"/>
    <w:uiPriority w:val="99"/>
    <w:semiHidden/>
    <w:unhideWhenUsed/>
    <w:rsid w:val="001C7EC9"/>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7EC9"/>
    <w:rPr>
      <w:rFonts w:ascii="Tahoma" w:hAnsi="Tahoma" w:cs="Tahoma"/>
      <w:sz w:val="16"/>
      <w:szCs w:val="16"/>
      <w:rtl w:val="0"/>
      <w:cs w:val="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wmf" /><Relationship Id="rId11" Type="http://schemas.openxmlformats.org/officeDocument/2006/relationships/image" Target="media/image8.wmf" /><Relationship Id="rId12" Type="http://schemas.openxmlformats.org/officeDocument/2006/relationships/image" Target="media/image9.wmf" /><Relationship Id="rId13" Type="http://schemas.openxmlformats.org/officeDocument/2006/relationships/image" Target="media/image10.wmf" /><Relationship Id="rId14" Type="http://schemas.openxmlformats.org/officeDocument/2006/relationships/image" Target="media/image11.wmf" /><Relationship Id="rId15" Type="http://schemas.openxmlformats.org/officeDocument/2006/relationships/image" Target="media/image12.wmf" /><Relationship Id="rId16" Type="http://schemas.openxmlformats.org/officeDocument/2006/relationships/image" Target="media/image13.wmf" /><Relationship Id="rId17" Type="http://schemas.openxmlformats.org/officeDocument/2006/relationships/image" Target="media/image14.wmf" /><Relationship Id="rId18" Type="http://schemas.openxmlformats.org/officeDocument/2006/relationships/image" Target="media/image15.wmf" /><Relationship Id="rId19" Type="http://schemas.openxmlformats.org/officeDocument/2006/relationships/image" Target="media/image16.wmf" /><Relationship Id="rId2" Type="http://schemas.openxmlformats.org/officeDocument/2006/relationships/webSettings" Target="webSettings.xml" /><Relationship Id="rId20" Type="http://schemas.openxmlformats.org/officeDocument/2006/relationships/image" Target="media/image17.wmf" /><Relationship Id="rId21" Type="http://schemas.openxmlformats.org/officeDocument/2006/relationships/image" Target="media/image18.wmf" /><Relationship Id="rId22" Type="http://schemas.openxmlformats.org/officeDocument/2006/relationships/image" Target="media/image19.wmf" /><Relationship Id="rId23" Type="http://schemas.openxmlformats.org/officeDocument/2006/relationships/image" Target="media/image20.wmf"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wmf" /><Relationship Id="rId5" Type="http://schemas.openxmlformats.org/officeDocument/2006/relationships/image" Target="media/image2.wmf" /><Relationship Id="rId6" Type="http://schemas.openxmlformats.org/officeDocument/2006/relationships/image" Target="media/image3.wmf" /><Relationship Id="rId7" Type="http://schemas.openxmlformats.org/officeDocument/2006/relationships/image" Target="media/image4.wmf" /><Relationship Id="rId8" Type="http://schemas.openxmlformats.org/officeDocument/2006/relationships/image" Target="media/image5.wmf" /><Relationship Id="rId9" Type="http://schemas.openxmlformats.org/officeDocument/2006/relationships/image" Target="media/image6.wmf"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34</Pages>
  <Words>4137</Words>
  <Characters>23585</Characters>
  <Application>Microsoft Office Word</Application>
  <DocSecurity>0</DocSecurity>
  <Lines>0</Lines>
  <Paragraphs>0</Paragraphs>
  <ScaleCrop>false</ScaleCrop>
  <Company>Hewlett-Packard Company</Company>
  <LinksUpToDate>false</LinksUpToDate>
  <CharactersWithSpaces>27667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Gašparíková, Jarmila</cp:lastModifiedBy>
  <cp:revision>2</cp:revision>
  <dcterms:created xsi:type="dcterms:W3CDTF">2015-04-14T11:10:00Z</dcterms:created>
  <dcterms:modified xsi:type="dcterms:W3CDTF">2015-04-14T11:10:00Z</dcterms:modified>
</cp:coreProperties>
</file>