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4A3E2C" w:rsidP="005D18E8">
      <w:pPr>
        <w:pBdr>
          <w:bottom w:val="single" w:sz="12" w:space="1" w:color="auto"/>
        </w:pBdr>
        <w:bidi w:val="0"/>
        <w:spacing w:line="360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4A3E2C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A3E2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6A2A48" w:rsidRPr="004A3E2C" w:rsidP="006A2A48">
      <w:pPr>
        <w:bidi w:val="0"/>
        <w:spacing w:line="360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4A3E2C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4A3E2C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4A3E2C" w:rsidP="005D18E8">
      <w:pPr>
        <w:bidi w:val="0"/>
        <w:spacing w:line="360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4A3E2C" w:rsidR="00355DF8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50A28" w:rsidRPr="004A3E2C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  <w:r w:rsidR="00722694">
        <w:rPr>
          <w:rFonts w:ascii="Book Antiqua" w:hAnsi="Book Antiqua"/>
          <w:sz w:val="22"/>
          <w:szCs w:val="22"/>
        </w:rPr>
        <w:t>z ... 2015</w:t>
      </w:r>
      <w:r w:rsidRPr="004A3E2C">
        <w:rPr>
          <w:rFonts w:ascii="Book Antiqua" w:hAnsi="Book Antiqua"/>
          <w:sz w:val="22"/>
          <w:szCs w:val="22"/>
        </w:rPr>
        <w:t>,</w:t>
      </w: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4A3E2C">
        <w:rPr>
          <w:rFonts w:ascii="Book Antiqua" w:hAnsi="Book Antiqua"/>
          <w:b/>
          <w:sz w:val="22"/>
          <w:szCs w:val="22"/>
        </w:rPr>
        <w:t xml:space="preserve">ktorým sa dopĺňa </w:t>
      </w:r>
      <w:r w:rsidR="00644CE3">
        <w:rPr>
          <w:rFonts w:ascii="Book Antiqua" w:hAnsi="Book Antiqua"/>
          <w:b/>
          <w:sz w:val="22"/>
          <w:szCs w:val="22"/>
        </w:rPr>
        <w:t>z</w:t>
      </w:r>
      <w:r w:rsidRPr="00644CE3" w:rsidR="00644CE3">
        <w:rPr>
          <w:rFonts w:ascii="Book Antiqua" w:hAnsi="Book Antiqua"/>
          <w:b/>
          <w:sz w:val="22"/>
          <w:szCs w:val="22"/>
        </w:rPr>
        <w:t>ákon Národnej rady Slovenske</w:t>
      </w:r>
      <w:r w:rsidR="00644CE3">
        <w:rPr>
          <w:rFonts w:ascii="Book Antiqua" w:hAnsi="Book Antiqua"/>
          <w:b/>
          <w:sz w:val="22"/>
          <w:szCs w:val="22"/>
        </w:rPr>
        <w:t>j republiky č. 350/1996 Z. z. o </w:t>
      </w:r>
      <w:r w:rsidRPr="00644CE3" w:rsidR="00644CE3">
        <w:rPr>
          <w:rFonts w:ascii="Book Antiqua" w:hAnsi="Book Antiqua"/>
          <w:b/>
          <w:sz w:val="22"/>
          <w:szCs w:val="22"/>
        </w:rPr>
        <w:t xml:space="preserve">rokovacom poriadku Národnej rady Slovenskej republiky v znení </w:t>
      </w:r>
      <w:r w:rsidRPr="004A3E2C">
        <w:rPr>
          <w:rFonts w:ascii="Book Antiqua" w:hAnsi="Book Antiqua"/>
          <w:b/>
          <w:sz w:val="22"/>
          <w:szCs w:val="22"/>
        </w:rPr>
        <w:t xml:space="preserve">neskorších predpisov </w:t>
      </w:r>
    </w:p>
    <w:p w:rsidR="00355DF8" w:rsidRPr="004A3E2C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4A3E2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55DF8" w:rsidRPr="004A3E2C" w:rsidP="005D18E8">
      <w:pPr>
        <w:bidi w:val="0"/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4A3E2C">
        <w:rPr>
          <w:rFonts w:ascii="Book Antiqua" w:hAnsi="Book Antiqua"/>
          <w:b/>
          <w:sz w:val="22"/>
          <w:szCs w:val="22"/>
        </w:rPr>
        <w:t>Čl. I</w:t>
      </w:r>
    </w:p>
    <w:p w:rsidR="00355DF8" w:rsidRPr="004A3E2C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85653F" w:rsidRPr="0085653F" w:rsidP="0085653F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Zákon Nár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odnej rady Slovenskej republiky </w:t>
      </w: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č. 350/1996 Z. z. o r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okovacom poriadku Národnej rady </w:t>
      </w: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Slovenskej republiky v zn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ení nálezu Ústavného súdu Slovenskej republiky č. 77/1998 Z. z., zákona </w:t>
      </w: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č. 86/2000 Z. z., z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ákona č. 138/2002 Z. z., zákona </w:t>
      </w: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č. 100/2003 Z. z., z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ákona č. 551/2003 Z. z., zákona </w:t>
      </w: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č. 215/2004 Z. z., z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>ákona č. 360/2004 Z. z., zákona č. </w:t>
      </w: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253/2005 Z. z., nálezu Úst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avného súdu Slovenskej </w:t>
      </w: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republi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ky č. 320/2005 Z. z., zákona č. 261/2006 Z. z., </w:t>
      </w: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zákona č. 199/2007 Z. z.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>, zákona č. 400/2009 Z. z., zá</w:t>
      </w: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kona č. 38/2010 Z. z., z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ákona č. 153/2011 Z. z., zákona </w:t>
      </w:r>
      <w:r w:rsidRPr="0085653F">
        <w:rPr>
          <w:rFonts w:ascii="Book Antiqua" w:hAnsi="Book Antiqua"/>
          <w:color w:val="231F20"/>
          <w:sz w:val="22"/>
          <w:szCs w:val="22"/>
          <w:lang w:eastAsia="en-US"/>
        </w:rPr>
        <w:t>č. 187/2011 Z. z., uznesenia Ústavného súdu Slovenskej</w:t>
      </w:r>
    </w:p>
    <w:p w:rsidR="00355DF8" w:rsidP="0085653F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85653F" w:rsidR="0085653F">
        <w:rPr>
          <w:rFonts w:ascii="Book Antiqua" w:hAnsi="Book Antiqua"/>
          <w:color w:val="231F20"/>
          <w:sz w:val="22"/>
          <w:szCs w:val="22"/>
          <w:lang w:eastAsia="en-US"/>
        </w:rPr>
        <w:t>republiky č</w:t>
      </w:r>
      <w:r w:rsidR="0085653F">
        <w:rPr>
          <w:rFonts w:ascii="Book Antiqua" w:hAnsi="Book Antiqua"/>
          <w:color w:val="231F20"/>
          <w:sz w:val="22"/>
          <w:szCs w:val="22"/>
          <w:lang w:eastAsia="en-US"/>
        </w:rPr>
        <w:t xml:space="preserve">. 191/2011 Z. z., uznesenia </w:t>
      </w:r>
      <w:r w:rsidRPr="0085653F" w:rsidR="0085653F">
        <w:rPr>
          <w:rFonts w:ascii="Book Antiqua" w:hAnsi="Book Antiqua"/>
          <w:color w:val="231F20"/>
          <w:sz w:val="22"/>
          <w:szCs w:val="22"/>
          <w:lang w:eastAsia="en-US"/>
        </w:rPr>
        <w:t>Ústavného súdu S</w:t>
      </w:r>
      <w:r w:rsidR="0085653F">
        <w:rPr>
          <w:rFonts w:ascii="Book Antiqua" w:hAnsi="Book Antiqua"/>
          <w:color w:val="231F20"/>
          <w:sz w:val="22"/>
          <w:szCs w:val="22"/>
          <w:lang w:eastAsia="en-US"/>
        </w:rPr>
        <w:t xml:space="preserve">lovenskej republiky č. 237/2011 </w:t>
      </w:r>
      <w:r w:rsidRPr="0085653F" w:rsidR="0085653F">
        <w:rPr>
          <w:rFonts w:ascii="Book Antiqua" w:hAnsi="Book Antiqua"/>
          <w:color w:val="231F20"/>
          <w:sz w:val="22"/>
          <w:szCs w:val="22"/>
          <w:lang w:eastAsia="en-US"/>
        </w:rPr>
        <w:t xml:space="preserve">Z. z., zákona č. 69/2012 </w:t>
      </w:r>
      <w:r w:rsidR="0085653F">
        <w:rPr>
          <w:rFonts w:ascii="Book Antiqua" w:hAnsi="Book Antiqua"/>
          <w:color w:val="231F20"/>
          <w:sz w:val="22"/>
          <w:szCs w:val="22"/>
          <w:lang w:eastAsia="en-US"/>
        </w:rPr>
        <w:t xml:space="preserve">Z. z., zákona č. 79/2012 Z. z., </w:t>
      </w:r>
      <w:r w:rsidRPr="0085653F" w:rsidR="0085653F">
        <w:rPr>
          <w:rFonts w:ascii="Book Antiqua" w:hAnsi="Book Antiqua"/>
          <w:color w:val="231F20"/>
          <w:sz w:val="22"/>
          <w:szCs w:val="22"/>
          <w:lang w:eastAsia="en-US"/>
        </w:rPr>
        <w:t>záko</w:t>
      </w:r>
      <w:r w:rsidR="0085653F">
        <w:rPr>
          <w:rFonts w:ascii="Book Antiqua" w:hAnsi="Book Antiqua"/>
          <w:color w:val="231F20"/>
          <w:sz w:val="22"/>
          <w:szCs w:val="22"/>
          <w:lang w:eastAsia="en-US"/>
        </w:rPr>
        <w:t xml:space="preserve">na č. 236/2012 Z. z., zákona č. 296/2012 Z. z., </w:t>
      </w:r>
      <w:r w:rsidRPr="0085653F" w:rsidR="0085653F">
        <w:rPr>
          <w:rFonts w:ascii="Book Antiqua" w:hAnsi="Book Antiqua"/>
          <w:color w:val="231F20"/>
          <w:sz w:val="22"/>
          <w:szCs w:val="22"/>
          <w:lang w:eastAsia="en-US"/>
        </w:rPr>
        <w:t>zákona č. 330/2012 Z. z</w:t>
      </w:r>
      <w:r w:rsidR="0085653F">
        <w:rPr>
          <w:rFonts w:ascii="Book Antiqua" w:hAnsi="Book Antiqua"/>
          <w:color w:val="231F20"/>
          <w:sz w:val="22"/>
          <w:szCs w:val="22"/>
          <w:lang w:eastAsia="en-US"/>
        </w:rPr>
        <w:t xml:space="preserve">., zákona č. 309/2013 Z. z. a zákona č.  </w:t>
      </w:r>
      <w:r w:rsidRPr="0085653F" w:rsidR="0085653F">
        <w:rPr>
          <w:rFonts w:ascii="Book Antiqua" w:hAnsi="Book Antiqua"/>
          <w:color w:val="231F20"/>
          <w:sz w:val="22"/>
          <w:szCs w:val="22"/>
          <w:lang w:eastAsia="en-US"/>
        </w:rPr>
        <w:t>402/2013 Z.z.</w:t>
      </w:r>
      <w:r w:rsidR="0085653F">
        <w:rPr>
          <w:rFonts w:ascii="Book Antiqua" w:hAnsi="Book Antiqua"/>
          <w:color w:val="231F20"/>
          <w:sz w:val="22"/>
          <w:szCs w:val="22"/>
          <w:lang w:eastAsia="en-US"/>
        </w:rPr>
        <w:t xml:space="preserve"> sa </w:t>
      </w:r>
      <w:r w:rsidRPr="0085653F" w:rsidR="0085653F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C076B9" w:rsidRPr="004A3E2C" w:rsidP="0085653F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</w:p>
    <w:p w:rsidR="005514DF" w:rsidRPr="00C076B9" w:rsidP="00AA0C8C">
      <w:pPr>
        <w:bidi w:val="0"/>
        <w:spacing w:line="360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="00BB5AA9">
        <w:rPr>
          <w:rFonts w:ascii="Book Antiqua" w:hAnsi="Book Antiqua"/>
          <w:bCs/>
          <w:sz w:val="22"/>
          <w:szCs w:val="22"/>
        </w:rPr>
        <w:t>V § 110</w:t>
      </w:r>
      <w:r w:rsidR="00C076B9">
        <w:rPr>
          <w:rFonts w:ascii="Book Antiqua" w:hAnsi="Book Antiqua"/>
          <w:bCs/>
          <w:sz w:val="22"/>
          <w:szCs w:val="22"/>
        </w:rPr>
        <w:t xml:space="preserve"> </w:t>
      </w:r>
      <w:r w:rsidR="00BB5AA9">
        <w:rPr>
          <w:rFonts w:ascii="Book Antiqua" w:hAnsi="Book Antiqua"/>
          <w:bCs/>
          <w:sz w:val="22"/>
          <w:szCs w:val="22"/>
        </w:rPr>
        <w:t xml:space="preserve"> </w:t>
      </w:r>
      <w:r w:rsidRPr="00C076B9" w:rsidR="00C076B9">
        <w:rPr>
          <w:rFonts w:ascii="Book Antiqua" w:hAnsi="Book Antiqua"/>
          <w:bCs/>
          <w:sz w:val="22"/>
          <w:szCs w:val="22"/>
        </w:rPr>
        <w:t>ods</w:t>
      </w:r>
      <w:r w:rsidR="00BB5AA9">
        <w:rPr>
          <w:rFonts w:ascii="Book Antiqua" w:hAnsi="Book Antiqua"/>
          <w:bCs/>
          <w:sz w:val="22"/>
          <w:szCs w:val="22"/>
        </w:rPr>
        <w:t>. 5 sa na konci vkladá nová veta, ktorá</w:t>
      </w:r>
      <w:r w:rsidRPr="00C076B9" w:rsidR="00C076B9">
        <w:rPr>
          <w:rFonts w:ascii="Book Antiqua" w:hAnsi="Book Antiqua"/>
          <w:bCs/>
          <w:sz w:val="22"/>
          <w:szCs w:val="22"/>
        </w:rPr>
        <w:t xml:space="preserve"> zn</w:t>
      </w:r>
      <w:r w:rsidR="00C076B9">
        <w:rPr>
          <w:rFonts w:ascii="Book Antiqua" w:hAnsi="Book Antiqua"/>
          <w:bCs/>
          <w:sz w:val="22"/>
          <w:szCs w:val="22"/>
        </w:rPr>
        <w:t>ie</w:t>
      </w:r>
      <w:r w:rsidRPr="00C076B9" w:rsidR="00C076B9">
        <w:rPr>
          <w:rFonts w:ascii="Book Antiqua" w:hAnsi="Book Antiqua"/>
          <w:bCs/>
          <w:sz w:val="22"/>
          <w:szCs w:val="22"/>
        </w:rPr>
        <w:t>:</w:t>
      </w:r>
    </w:p>
    <w:p w:rsidR="006116DD" w:rsidP="00C076B9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="00BB5AA9">
        <w:rPr>
          <w:rFonts w:ascii="Book Antiqua" w:hAnsi="Book Antiqua"/>
          <w:bCs/>
          <w:sz w:val="22"/>
          <w:szCs w:val="22"/>
        </w:rPr>
        <w:t xml:space="preserve">„Deň novej voľby určí </w:t>
      </w:r>
      <w:r w:rsidR="00C076B9">
        <w:rPr>
          <w:rFonts w:ascii="Book Antiqua" w:hAnsi="Book Antiqua"/>
          <w:bCs/>
          <w:sz w:val="22"/>
          <w:szCs w:val="22"/>
        </w:rPr>
        <w:t>predseda</w:t>
      </w:r>
      <w:r w:rsidR="00BB5AA9">
        <w:rPr>
          <w:rFonts w:ascii="Book Antiqua" w:hAnsi="Book Antiqua"/>
          <w:bCs/>
          <w:sz w:val="22"/>
          <w:szCs w:val="22"/>
        </w:rPr>
        <w:t xml:space="preserve"> národnej rady takým spôsobom, aby bola nová voľba zaradená do programu schôdze nasledujúcej po </w:t>
      </w:r>
      <w:r w:rsidR="00B23B32">
        <w:rPr>
          <w:rFonts w:ascii="Book Antiqua" w:hAnsi="Book Antiqua"/>
          <w:bCs/>
          <w:sz w:val="22"/>
          <w:szCs w:val="22"/>
        </w:rPr>
        <w:t>schôdzi, na ktorej bo</w:t>
      </w:r>
      <w:r w:rsidR="00902FB2">
        <w:rPr>
          <w:rFonts w:ascii="Book Antiqua" w:hAnsi="Book Antiqua"/>
          <w:bCs/>
          <w:sz w:val="22"/>
          <w:szCs w:val="22"/>
        </w:rPr>
        <w:t>la vykonaná opakovaná voľba</w:t>
      </w:r>
      <w:r w:rsidR="00B23B32">
        <w:rPr>
          <w:rFonts w:ascii="Book Antiqua" w:hAnsi="Book Antiqua"/>
          <w:bCs/>
          <w:sz w:val="22"/>
          <w:szCs w:val="22"/>
        </w:rPr>
        <w:t>.“.</w:t>
      </w:r>
    </w:p>
    <w:p w:rsidR="00D07CF4" w:rsidP="005D18E8">
      <w:pPr>
        <w:bidi w:val="0"/>
        <w:spacing w:line="360" w:lineRule="auto"/>
        <w:rPr>
          <w:rFonts w:ascii="Book Antiqua" w:hAnsi="Book Antiqua"/>
          <w:bCs/>
          <w:sz w:val="22"/>
          <w:szCs w:val="22"/>
        </w:rPr>
      </w:pPr>
    </w:p>
    <w:p w:rsidR="00AA0C8C" w:rsidRPr="004A3E2C" w:rsidP="005D18E8">
      <w:pPr>
        <w:bidi w:val="0"/>
        <w:spacing w:line="360" w:lineRule="auto"/>
        <w:rPr>
          <w:rFonts w:ascii="Book Antiqua" w:hAnsi="Book Antiqua"/>
          <w:bCs/>
          <w:sz w:val="22"/>
          <w:szCs w:val="22"/>
        </w:rPr>
      </w:pPr>
    </w:p>
    <w:p w:rsidR="00F444F8" w:rsidRPr="004A3E2C" w:rsidP="000E310D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="000E310D">
        <w:rPr>
          <w:rFonts w:ascii="Book Antiqua" w:hAnsi="Book Antiqua"/>
          <w:b/>
          <w:sz w:val="22"/>
          <w:szCs w:val="22"/>
        </w:rPr>
        <w:t>Čl. II</w:t>
      </w:r>
    </w:p>
    <w:p w:rsidR="00AA0C8C" w:rsidP="00A37F27">
      <w:pPr>
        <w:bidi w:val="0"/>
        <w:spacing w:line="360" w:lineRule="auto"/>
        <w:ind w:left="708"/>
        <w:jc w:val="both"/>
        <w:rPr>
          <w:rFonts w:ascii="Book Antiqua" w:hAnsi="Book Antiqua"/>
          <w:sz w:val="22"/>
          <w:szCs w:val="22"/>
        </w:rPr>
      </w:pPr>
    </w:p>
    <w:p w:rsidR="00355DF8" w:rsidRPr="004A3E2C" w:rsidP="00A37F27">
      <w:pPr>
        <w:bidi w:val="0"/>
        <w:spacing w:line="360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4A3E2C">
        <w:rPr>
          <w:rFonts w:ascii="Book Antiqua" w:hAnsi="Book Antiqua"/>
          <w:sz w:val="22"/>
          <w:szCs w:val="22"/>
        </w:rPr>
        <w:t xml:space="preserve">Tento </w:t>
      </w:r>
      <w:r w:rsidR="007B2565">
        <w:rPr>
          <w:rFonts w:ascii="Book Antiqua" w:hAnsi="Book Antiqua"/>
          <w:sz w:val="22"/>
          <w:szCs w:val="22"/>
        </w:rPr>
        <w:t xml:space="preserve">zákon nadobúda účinnosť </w:t>
      </w:r>
      <w:r w:rsidR="00C31FB2">
        <w:rPr>
          <w:rFonts w:ascii="Book Antiqua" w:hAnsi="Book Antiqua"/>
          <w:sz w:val="22"/>
          <w:szCs w:val="22"/>
        </w:rPr>
        <w:t xml:space="preserve">1. </w:t>
      </w:r>
      <w:r w:rsidR="00011175">
        <w:rPr>
          <w:rFonts w:ascii="Book Antiqua" w:hAnsi="Book Antiqua"/>
          <w:sz w:val="22"/>
          <w:szCs w:val="22"/>
        </w:rPr>
        <w:t>augusta</w:t>
      </w:r>
      <w:r w:rsidR="007B2565">
        <w:rPr>
          <w:rFonts w:ascii="Book Antiqua" w:hAnsi="Book Antiqua"/>
          <w:sz w:val="22"/>
          <w:szCs w:val="22"/>
        </w:rPr>
        <w:t xml:space="preserve"> </w:t>
      </w:r>
      <w:r w:rsidR="00C31FB2">
        <w:rPr>
          <w:rFonts w:ascii="Book Antiqua" w:hAnsi="Book Antiqua"/>
          <w:sz w:val="22"/>
          <w:szCs w:val="22"/>
        </w:rPr>
        <w:t>2015</w:t>
      </w:r>
      <w:r w:rsidRPr="004A3E2C">
        <w:rPr>
          <w:rFonts w:ascii="Book Antiqua" w:hAnsi="Book Antiqua"/>
          <w:sz w:val="22"/>
          <w:szCs w:val="22"/>
        </w:rPr>
        <w:t>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2382E05"/>
    <w:multiLevelType w:val="hybridMultilevel"/>
    <w:tmpl w:val="3FBA378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11175"/>
    <w:rsid w:val="00016A2C"/>
    <w:rsid w:val="00026FF8"/>
    <w:rsid w:val="00060305"/>
    <w:rsid w:val="00097342"/>
    <w:rsid w:val="000D2E53"/>
    <w:rsid w:val="000E310D"/>
    <w:rsid w:val="000F4272"/>
    <w:rsid w:val="001068FB"/>
    <w:rsid w:val="00113A5A"/>
    <w:rsid w:val="0011595B"/>
    <w:rsid w:val="00120770"/>
    <w:rsid w:val="001225E4"/>
    <w:rsid w:val="00134A54"/>
    <w:rsid w:val="00144062"/>
    <w:rsid w:val="001717B1"/>
    <w:rsid w:val="00191453"/>
    <w:rsid w:val="001E271E"/>
    <w:rsid w:val="0022529E"/>
    <w:rsid w:val="002637A5"/>
    <w:rsid w:val="00273F9E"/>
    <w:rsid w:val="002835DF"/>
    <w:rsid w:val="0029474D"/>
    <w:rsid w:val="002A10BC"/>
    <w:rsid w:val="002D3D18"/>
    <w:rsid w:val="0030595E"/>
    <w:rsid w:val="00315A87"/>
    <w:rsid w:val="00317EA7"/>
    <w:rsid w:val="003375F9"/>
    <w:rsid w:val="00355DF8"/>
    <w:rsid w:val="00392D5C"/>
    <w:rsid w:val="0039747B"/>
    <w:rsid w:val="003A3B7B"/>
    <w:rsid w:val="003A5A0D"/>
    <w:rsid w:val="00426EFB"/>
    <w:rsid w:val="00450A28"/>
    <w:rsid w:val="00452619"/>
    <w:rsid w:val="00472D5D"/>
    <w:rsid w:val="00474ADD"/>
    <w:rsid w:val="004927EC"/>
    <w:rsid w:val="004931CF"/>
    <w:rsid w:val="00496A32"/>
    <w:rsid w:val="00496EE0"/>
    <w:rsid w:val="004A3E2C"/>
    <w:rsid w:val="004B290C"/>
    <w:rsid w:val="00511153"/>
    <w:rsid w:val="00532383"/>
    <w:rsid w:val="005514DF"/>
    <w:rsid w:val="005748BA"/>
    <w:rsid w:val="005A2487"/>
    <w:rsid w:val="005B0047"/>
    <w:rsid w:val="005D18E8"/>
    <w:rsid w:val="006116DD"/>
    <w:rsid w:val="00644CE3"/>
    <w:rsid w:val="00651380"/>
    <w:rsid w:val="00661B75"/>
    <w:rsid w:val="00663192"/>
    <w:rsid w:val="006A2A48"/>
    <w:rsid w:val="0071290A"/>
    <w:rsid w:val="00722694"/>
    <w:rsid w:val="00740E04"/>
    <w:rsid w:val="00764629"/>
    <w:rsid w:val="00774D36"/>
    <w:rsid w:val="00791D62"/>
    <w:rsid w:val="007A60C4"/>
    <w:rsid w:val="007B2565"/>
    <w:rsid w:val="007B5ED5"/>
    <w:rsid w:val="007D10BF"/>
    <w:rsid w:val="007F3CB7"/>
    <w:rsid w:val="008078FC"/>
    <w:rsid w:val="00807968"/>
    <w:rsid w:val="00823364"/>
    <w:rsid w:val="0085653F"/>
    <w:rsid w:val="008941D7"/>
    <w:rsid w:val="00901330"/>
    <w:rsid w:val="00902FB2"/>
    <w:rsid w:val="00911577"/>
    <w:rsid w:val="0094671B"/>
    <w:rsid w:val="00950795"/>
    <w:rsid w:val="00972F78"/>
    <w:rsid w:val="0097682F"/>
    <w:rsid w:val="00986960"/>
    <w:rsid w:val="009B3C7E"/>
    <w:rsid w:val="00A10A36"/>
    <w:rsid w:val="00A26DF2"/>
    <w:rsid w:val="00A37F27"/>
    <w:rsid w:val="00A62BA4"/>
    <w:rsid w:val="00A65321"/>
    <w:rsid w:val="00A90DCB"/>
    <w:rsid w:val="00AA0244"/>
    <w:rsid w:val="00AA0C8C"/>
    <w:rsid w:val="00AD61AB"/>
    <w:rsid w:val="00AD6DAA"/>
    <w:rsid w:val="00AE4888"/>
    <w:rsid w:val="00B16FB6"/>
    <w:rsid w:val="00B23B32"/>
    <w:rsid w:val="00B32B22"/>
    <w:rsid w:val="00B56A74"/>
    <w:rsid w:val="00BA26F3"/>
    <w:rsid w:val="00BB5AA9"/>
    <w:rsid w:val="00C076B9"/>
    <w:rsid w:val="00C210C5"/>
    <w:rsid w:val="00C31FB2"/>
    <w:rsid w:val="00C61FB1"/>
    <w:rsid w:val="00C85130"/>
    <w:rsid w:val="00CD076A"/>
    <w:rsid w:val="00D07CF4"/>
    <w:rsid w:val="00D24847"/>
    <w:rsid w:val="00D33F44"/>
    <w:rsid w:val="00D5159D"/>
    <w:rsid w:val="00D51FC3"/>
    <w:rsid w:val="00D72D34"/>
    <w:rsid w:val="00D822E9"/>
    <w:rsid w:val="00D82B24"/>
    <w:rsid w:val="00DB26F1"/>
    <w:rsid w:val="00DB457A"/>
    <w:rsid w:val="00DD7574"/>
    <w:rsid w:val="00DE7254"/>
    <w:rsid w:val="00DF2ACB"/>
    <w:rsid w:val="00DF5DBF"/>
    <w:rsid w:val="00E129F9"/>
    <w:rsid w:val="00E21846"/>
    <w:rsid w:val="00E71250"/>
    <w:rsid w:val="00E82718"/>
    <w:rsid w:val="00E92C16"/>
    <w:rsid w:val="00EA0AC5"/>
    <w:rsid w:val="00F444F8"/>
    <w:rsid w:val="00F63AF2"/>
    <w:rsid w:val="00F94E39"/>
    <w:rsid w:val="00FC34C8"/>
    <w:rsid w:val="00FE3A0B"/>
    <w:rsid w:val="00FF34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58E2-1657-40DE-84D1-2B4043CA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227</Words>
  <Characters>1297</Characters>
  <Application>Microsoft Office Word</Application>
  <DocSecurity>0</DocSecurity>
  <Lines>0</Lines>
  <Paragraphs>0</Paragraphs>
  <ScaleCrop>false</ScaleCrop>
  <Company>Kancelaria NR SR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2015-02-19T09:22:00Z</cp:lastPrinted>
  <dcterms:created xsi:type="dcterms:W3CDTF">2015-03-30T10:19:00Z</dcterms:created>
  <dcterms:modified xsi:type="dcterms:W3CDTF">2015-03-30T10:19:00Z</dcterms:modified>
</cp:coreProperties>
</file>