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129F1">
        <w:rPr>
          <w:sz w:val="22"/>
          <w:szCs w:val="22"/>
        </w:rPr>
        <w:t>584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F129F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129F1">
        <w:t>1476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129F1">
        <w:rPr>
          <w:rFonts w:ascii="Arial" w:hAnsi="Arial" w:cs="Arial"/>
          <w:sz w:val="22"/>
          <w:szCs w:val="22"/>
        </w:rPr>
        <w:t> 20.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129F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129F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129F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F129F1">
        <w:rPr>
          <w:rFonts w:cs="Arial"/>
          <w:szCs w:val="22"/>
        </w:rPr>
        <w:t>zákon č. 461/2003 Z. z. o sociálnom poistení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129F1">
        <w:rPr>
          <w:rFonts w:cs="Arial"/>
          <w:szCs w:val="22"/>
        </w:rPr>
        <w:t>1468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129F1">
        <w:rPr>
          <w:rFonts w:cs="Arial"/>
          <w:szCs w:val="22"/>
        </w:rPr>
        <w:t>13.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129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129F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129F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C73C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5653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29F1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2015-03-20T09:32:00Z</cp:lastPrinted>
  <dcterms:created xsi:type="dcterms:W3CDTF">2015-03-27T06:49:00Z</dcterms:created>
  <dcterms:modified xsi:type="dcterms:W3CDTF">2015-03-27T06:49:00Z</dcterms:modified>
</cp:coreProperties>
</file>