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 w:rsidP="00CA554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CA554F" w:rsidP="00CA554F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CA554F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Pr="00490C1F">
        <w:rPr>
          <w:rFonts w:ascii="Book Antiqua" w:hAnsi="Book Antiqua"/>
          <w:sz w:val="22"/>
          <w:szCs w:val="22"/>
        </w:rPr>
        <w:t xml:space="preserve"> 201</w:t>
      </w:r>
      <w:r w:rsidR="000A01A8">
        <w:rPr>
          <w:rFonts w:ascii="Book Antiqua" w:hAnsi="Book Antiqua"/>
          <w:sz w:val="22"/>
          <w:szCs w:val="22"/>
        </w:rPr>
        <w:t>5</w:t>
      </w:r>
      <w:r w:rsidRPr="00490C1F">
        <w:rPr>
          <w:rFonts w:ascii="Book Antiqua" w:hAnsi="Book Antiqua"/>
          <w:sz w:val="22"/>
          <w:szCs w:val="22"/>
        </w:rPr>
        <w:t>,</w:t>
      </w: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65017" w:rsidR="00FD1252">
        <w:rPr>
          <w:rFonts w:ascii="Book Antiqua" w:hAnsi="Book Antiqua"/>
          <w:b/>
          <w:sz w:val="22"/>
          <w:szCs w:val="22"/>
        </w:rPr>
        <w:t>ktorým sa mení</w:t>
      </w:r>
      <w:r w:rsidR="00FD1252">
        <w:rPr>
          <w:rFonts w:ascii="Book Antiqua" w:hAnsi="Book Antiqua"/>
          <w:b/>
          <w:sz w:val="22"/>
          <w:szCs w:val="22"/>
        </w:rPr>
        <w:t xml:space="preserve"> </w:t>
      </w:r>
      <w:r w:rsidRPr="0068628D" w:rsidR="00FA37AF">
        <w:rPr>
          <w:rFonts w:ascii="Book Antiqua" w:hAnsi="Book Antiqua"/>
          <w:b/>
          <w:sz w:val="22"/>
          <w:szCs w:val="22"/>
        </w:rPr>
        <w:t>a dopĺňa</w:t>
      </w:r>
      <w:r w:rsidR="00FA37AF">
        <w:rPr>
          <w:rFonts w:ascii="Book Antiqua" w:hAnsi="Book Antiqua"/>
          <w:b/>
          <w:sz w:val="22"/>
          <w:szCs w:val="22"/>
        </w:rPr>
        <w:t xml:space="preserve"> </w:t>
      </w:r>
      <w:r w:rsidRPr="00365017" w:rsidR="00FD1252">
        <w:rPr>
          <w:rFonts w:ascii="Book Antiqua" w:hAnsi="Book Antiqua"/>
          <w:b/>
          <w:sz w:val="22"/>
          <w:szCs w:val="22"/>
        </w:rPr>
        <w:t xml:space="preserve">zákon </w:t>
      </w:r>
      <w:r w:rsidR="00AB75AF">
        <w:rPr>
          <w:rFonts w:ascii="Book Antiqua" w:hAnsi="Book Antiqua"/>
          <w:b/>
          <w:sz w:val="22"/>
          <w:szCs w:val="22"/>
        </w:rPr>
        <w:t xml:space="preserve">č. </w:t>
      </w:r>
      <w:r w:rsidR="008D140E">
        <w:rPr>
          <w:rFonts w:ascii="Book Antiqua" w:hAnsi="Book Antiqua"/>
          <w:b/>
          <w:sz w:val="22"/>
          <w:szCs w:val="22"/>
        </w:rPr>
        <w:t>40/1964</w:t>
      </w:r>
      <w:r w:rsidR="003D290F">
        <w:rPr>
          <w:rFonts w:ascii="Book Antiqua" w:hAnsi="Book Antiqua"/>
          <w:b/>
          <w:sz w:val="22"/>
          <w:szCs w:val="22"/>
        </w:rPr>
        <w:t xml:space="preserve"> Z</w:t>
      </w:r>
      <w:r w:rsidR="008D140E">
        <w:rPr>
          <w:rFonts w:ascii="Book Antiqua" w:hAnsi="Book Antiqua"/>
          <w:b/>
          <w:sz w:val="22"/>
          <w:szCs w:val="22"/>
        </w:rPr>
        <w:t>b.</w:t>
      </w:r>
      <w:r w:rsidR="003D290F">
        <w:rPr>
          <w:rFonts w:ascii="Book Antiqua" w:hAnsi="Book Antiqua"/>
          <w:b/>
          <w:sz w:val="22"/>
          <w:szCs w:val="22"/>
        </w:rPr>
        <w:t xml:space="preserve"> </w:t>
      </w:r>
      <w:r w:rsidR="008D140E">
        <w:rPr>
          <w:rFonts w:ascii="Book Antiqua" w:hAnsi="Book Antiqua"/>
          <w:b/>
          <w:sz w:val="22"/>
          <w:szCs w:val="22"/>
        </w:rPr>
        <w:t>Občiansky zákonník</w:t>
      </w:r>
      <w:r w:rsidR="00FD1252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CA554F" w:rsidP="00CA554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CA554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E459E9" w:rsidRPr="00490C1F" w:rsidP="00CA55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 w:rsidP="00CA554F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5F3FA3" w:rsidRPr="00692578" w:rsidP="00CA554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8D140E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Zákon č. 40/1964 Zb. Občiansky zákonník v znení zákona č. 58/1969 Zb., zákona č.</w:t>
      </w:r>
      <w:r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</w:t>
      </w:r>
      <w:r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261/2001 Z. z., zákona č. 281/2001 Z. z., zákona č. 23/2002 Z. z., zákona č. 34/2002 Z. z., zákona č. 95/2002 Z. z., zákona č. 184/2002 Z. z., zákona č. 215/2002 Z. z., zákona č.</w:t>
      </w:r>
      <w:r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526/2002 Z. z., zákona č. 504/2003 Z. z., zákona č. 515/2003 Z. z., zákona č. 150/2004 Z. z., zákona č. 404/2004 Z. z., zákona č. 635/2004 Z. z., zákona č. 171/2005 Z. z., zákona č.</w:t>
      </w:r>
      <w:r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266/2005 Z. z., zákona č. 336/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2005 Z. z., zákona č. 118/2006 Z. z., zákona č. 188/2006 Z. z., zákona č. 84/2007 Z. z., zákona č. 335/2007 Z. z., zákona č. 568/2007 Z. z., zákona č. 214/2008 Z. z., zákona č. 379/2008 Z. z., zákona č. 477/2008 Z. z., zákona č. 186/2009 Z. z., zákona č. 575/2009 Z. z., zákona č. 129/2010 Z. z., zákona č. 546/2010 Z. z., zákona č. 130/2011 Z. z., 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zákona č.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161/2011 Z. z., 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zákona č.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69/2012 Z. z., 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zákona č.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180/2013 Z.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z., 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zákona č. 102/2014 Z. z., zákona č.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106/2014 Z. z. </w:t>
      </w:r>
      <w:r w:rsidRPr="00692578" w:rsidR="003F346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a zákona č. 335/2014 Z. z. </w:t>
      </w:r>
      <w:r w:rsidRPr="00692578" w:rsid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sa </w:t>
      </w:r>
      <w:r w:rsidRPr="00692578" w:rsidR="003D290F">
        <w:rPr>
          <w:rFonts w:ascii="Book Antiqua" w:hAnsi="Book Antiqua"/>
          <w:bCs/>
          <w:sz w:val="22"/>
          <w:szCs w:val="22"/>
        </w:rPr>
        <w:t xml:space="preserve">dopĺňa </w:t>
      </w:r>
      <w:r w:rsidRPr="00692578" w:rsidR="00E459E9">
        <w:rPr>
          <w:rFonts w:ascii="Book Antiqua" w:hAnsi="Book Antiqua"/>
          <w:bCs/>
          <w:sz w:val="22"/>
          <w:szCs w:val="22"/>
        </w:rPr>
        <w:t>takto:</w:t>
      </w:r>
    </w:p>
    <w:p w:rsidR="00A956F5" w:rsidRPr="00692578" w:rsidP="00CA554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0734B1" w:rsidRPr="00692578" w:rsidP="00CA554F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692578" w:rsidR="00A956F5">
        <w:rPr>
          <w:rFonts w:ascii="Book Antiqua" w:hAnsi="Book Antiqua"/>
          <w:bCs/>
          <w:sz w:val="22"/>
          <w:szCs w:val="22"/>
        </w:rPr>
        <w:t>Deviata časť sa dopĺňa dvadsiatou</w:t>
      </w:r>
      <w:r w:rsidRPr="00692578" w:rsidR="003F346C">
        <w:rPr>
          <w:rFonts w:ascii="Book Antiqua" w:hAnsi="Book Antiqua"/>
          <w:bCs/>
          <w:sz w:val="22"/>
          <w:szCs w:val="22"/>
        </w:rPr>
        <w:t xml:space="preserve"> druhou</w:t>
      </w:r>
      <w:r w:rsidRPr="00692578" w:rsidR="00A956F5">
        <w:rPr>
          <w:rFonts w:ascii="Book Antiqua" w:hAnsi="Book Antiqua"/>
          <w:bCs/>
          <w:sz w:val="22"/>
          <w:szCs w:val="22"/>
        </w:rPr>
        <w:t xml:space="preserve"> hlavou</w:t>
      </w:r>
      <w:r w:rsidRPr="00692578" w:rsidR="00952E00">
        <w:rPr>
          <w:rFonts w:ascii="Book Antiqua" w:hAnsi="Book Antiqua"/>
          <w:bCs/>
          <w:sz w:val="22"/>
          <w:szCs w:val="22"/>
        </w:rPr>
        <w:t>, ktorá vrátane nadpisu znie:</w:t>
      </w:r>
    </w:p>
    <w:p w:rsidR="003F346C" w:rsidRPr="00692578" w:rsidP="003F346C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92578" w:rsidR="000734B1">
        <w:rPr>
          <w:rFonts w:ascii="Book Antiqua" w:hAnsi="Book Antiqua"/>
          <w:bCs/>
          <w:sz w:val="22"/>
          <w:szCs w:val="22"/>
        </w:rPr>
        <w:t>„</w:t>
      </w:r>
      <w:r w:rsidRPr="00692578">
        <w:rPr>
          <w:rFonts w:ascii="Book Antiqua" w:hAnsi="Book Antiqua"/>
          <w:b/>
          <w:bCs/>
          <w:sz w:val="22"/>
          <w:szCs w:val="22"/>
        </w:rPr>
        <w:t>DVADSIATA DRUHÁ HLAVA</w:t>
      </w:r>
    </w:p>
    <w:p w:rsidR="003F346C" w:rsidRPr="00692578" w:rsidP="003F346C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92578">
        <w:rPr>
          <w:rFonts w:ascii="Book Antiqua" w:hAnsi="Book Antiqua"/>
          <w:b/>
          <w:bCs/>
          <w:sz w:val="22"/>
          <w:szCs w:val="22"/>
        </w:rPr>
        <w:t xml:space="preserve">PRECHODNÉ USTANOVENIA </w:t>
      </w:r>
    </w:p>
    <w:p w:rsidR="003F346C" w:rsidRPr="00692578" w:rsidP="003F346C">
      <w:pPr>
        <w:pStyle w:val="BodyText"/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692578">
        <w:rPr>
          <w:rFonts w:ascii="Book Antiqua" w:hAnsi="Book Antiqua"/>
          <w:b/>
          <w:bCs/>
          <w:sz w:val="22"/>
          <w:szCs w:val="22"/>
        </w:rPr>
        <w:t>K ÚPRAVÁM ÚČINNÝM OD 1. AUGUSTA 2015</w:t>
      </w:r>
    </w:p>
    <w:p w:rsidR="000734B1" w:rsidRPr="00692578" w:rsidP="003F346C">
      <w:pPr>
        <w:pStyle w:val="BodyText"/>
        <w:bidi w:val="0"/>
        <w:spacing w:before="120" w:line="276" w:lineRule="auto"/>
        <w:ind w:left="3540" w:firstLine="708"/>
        <w:rPr>
          <w:rFonts w:ascii="Book Antiqua" w:hAnsi="Book Antiqua"/>
          <w:b/>
          <w:bCs/>
          <w:sz w:val="22"/>
          <w:szCs w:val="22"/>
        </w:rPr>
      </w:pPr>
      <w:r w:rsidRPr="00692578" w:rsidR="003F346C">
        <w:rPr>
          <w:rFonts w:ascii="Book Antiqua" w:hAnsi="Book Antiqua"/>
          <w:b/>
          <w:bCs/>
          <w:sz w:val="22"/>
          <w:szCs w:val="22"/>
        </w:rPr>
        <w:t>§ 879t</w:t>
      </w:r>
    </w:p>
    <w:p w:rsidR="003F346C" w:rsidRPr="00692578" w:rsidP="003F346C">
      <w:pPr>
        <w:pStyle w:val="l6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692578" w:rsidR="000734B1">
        <w:rPr>
          <w:rStyle w:val="num"/>
          <w:rFonts w:ascii="Book Antiqua" w:hAnsi="Book Antiqua" w:cs="Arial"/>
          <w:bCs/>
          <w:color w:val="303030"/>
          <w:sz w:val="22"/>
          <w:szCs w:val="22"/>
        </w:rPr>
        <w:t>(1)</w:t>
      </w:r>
      <w:r w:rsidRPr="00692578" w:rsidR="000734B1">
        <w:rPr>
          <w:rStyle w:val="apple-converted-space"/>
          <w:rFonts w:ascii="Book Antiqua" w:hAnsi="Book Antiqua" w:cs="Arial"/>
          <w:color w:val="000000"/>
          <w:sz w:val="22"/>
          <w:szCs w:val="22"/>
        </w:rPr>
        <w:t> </w:t>
      </w:r>
      <w:r w:rsidRPr="00692578">
        <w:rPr>
          <w:rStyle w:val="apple-converted-space"/>
          <w:rFonts w:ascii="Book Antiqua" w:hAnsi="Book Antiqua" w:cs="Arial"/>
          <w:color w:val="000000"/>
          <w:sz w:val="22"/>
          <w:szCs w:val="22"/>
        </w:rPr>
        <w:tab/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 xml:space="preserve">Ak si oprávnená osoba neuplatnila nárok na </w:t>
      </w:r>
      <w:r w:rsidRPr="00692578" w:rsidR="00060CF4">
        <w:rPr>
          <w:rFonts w:ascii="Book Antiqua" w:hAnsi="Book Antiqua" w:cs="Arial"/>
          <w:color w:val="000000"/>
          <w:sz w:val="22"/>
          <w:szCs w:val="22"/>
        </w:rPr>
        <w:t>výplatu náhrady podľa § 879o ods. 1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>, môže požiadať o výplatu peňažných prostriedkov v rozsahu tejto náhrady najneskôr 31. decembra 201</w:t>
      </w:r>
      <w:r w:rsidRPr="00692578" w:rsidR="00060CF4">
        <w:rPr>
          <w:rFonts w:ascii="Book Antiqua" w:hAnsi="Book Antiqua" w:cs="Arial"/>
          <w:color w:val="000000"/>
          <w:sz w:val="22"/>
          <w:szCs w:val="22"/>
        </w:rPr>
        <w:t>6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 xml:space="preserve">. Na účely vyplácania peňažných prostriedkov podľa prvej vety a preukazovania práva na ich výplatu sa rovnako použijú ustanovenia § 879d ods. 1 štvrtej vety a všeobecné predpisy o ochrane pred legalizáciou príjmov z trestnej činnosti a o ochrane pred financovaním terorizmu; vyplácanie týchto peňažných prostriedkov oprávnenej osobe zabezpečí Ministerstvo financií Slovenskej republiky alebo ním poverená právnická osoba. </w:t>
      </w:r>
      <w:r w:rsidRPr="00692578" w:rsidR="008631EF">
        <w:rPr>
          <w:rFonts w:ascii="Book Antiqua" w:hAnsi="Book Antiqua" w:cs="Arial"/>
          <w:color w:val="000000"/>
          <w:sz w:val="22"/>
          <w:szCs w:val="22"/>
        </w:rPr>
        <w:t>V priebehu troch mesiacov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 xml:space="preserve"> pred uplynutím lehoty podľa prvej vety je Ministerstvo financií Slovenskej republiky povinné </w:t>
      </w:r>
      <w:r w:rsidRPr="00692578" w:rsidR="008631EF">
        <w:rPr>
          <w:rFonts w:ascii="Book Antiqua" w:hAnsi="Book Antiqua" w:cs="Arial"/>
          <w:color w:val="000000"/>
          <w:sz w:val="22"/>
          <w:szCs w:val="22"/>
        </w:rPr>
        <w:t xml:space="preserve">trikrát 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 xml:space="preserve">zverejniť informáciu o jej uplynutí v </w:t>
      </w:r>
      <w:r w:rsidRPr="00692578" w:rsidR="008631EF">
        <w:rPr>
          <w:rFonts w:ascii="Book Antiqua" w:hAnsi="Book Antiqua" w:cs="Arial"/>
          <w:color w:val="000000"/>
          <w:sz w:val="22"/>
          <w:szCs w:val="22"/>
        </w:rPr>
        <w:t>aspoň dvoch denníkoch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 xml:space="preserve"> s celoštátnou pôsobnosťou</w:t>
      </w:r>
      <w:r w:rsidRPr="00692578" w:rsidR="00ED7687">
        <w:rPr>
          <w:rFonts w:ascii="Book Antiqua" w:hAnsi="Book Antiqua" w:cs="Arial"/>
          <w:color w:val="000000"/>
          <w:sz w:val="22"/>
          <w:szCs w:val="22"/>
        </w:rPr>
        <w:t xml:space="preserve"> a aspoň </w:t>
      </w:r>
      <w:r w:rsidRPr="00692578" w:rsidR="000A01A8">
        <w:rPr>
          <w:rFonts w:ascii="Book Antiqua" w:hAnsi="Book Antiqua" w:cs="Arial"/>
          <w:color w:val="000000"/>
          <w:sz w:val="22"/>
          <w:szCs w:val="22"/>
        </w:rPr>
        <w:t>dvakrát</w:t>
      </w:r>
      <w:r w:rsidRPr="00692578" w:rsidR="00ED7687">
        <w:rPr>
          <w:rFonts w:ascii="Book Antiqua" w:hAnsi="Book Antiqua" w:cs="Arial"/>
          <w:color w:val="000000"/>
          <w:sz w:val="22"/>
          <w:szCs w:val="22"/>
        </w:rPr>
        <w:t xml:space="preserve"> v</w:t>
      </w:r>
      <w:r w:rsidRPr="00692578" w:rsidR="00692578">
        <w:rPr>
          <w:rFonts w:ascii="Book Antiqua" w:hAnsi="Book Antiqua" w:cs="Arial"/>
          <w:color w:val="000000"/>
          <w:sz w:val="22"/>
          <w:szCs w:val="22"/>
        </w:rPr>
        <w:t> Rozhlase a televízii Slovenska</w:t>
      </w:r>
      <w:r w:rsidRPr="00692578" w:rsidR="000734B1">
        <w:rPr>
          <w:rFonts w:ascii="Book Antiqua" w:hAnsi="Book Antiqua" w:cs="Arial"/>
          <w:color w:val="000000"/>
          <w:sz w:val="22"/>
          <w:szCs w:val="22"/>
        </w:rPr>
        <w:t>.</w:t>
      </w:r>
    </w:p>
    <w:p w:rsidR="000734B1" w:rsidRPr="00692578" w:rsidP="003F346C">
      <w:pPr>
        <w:pStyle w:val="l6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692578">
        <w:rPr>
          <w:rStyle w:val="num"/>
          <w:rFonts w:ascii="Book Antiqua" w:hAnsi="Book Antiqua" w:cs="Arial"/>
          <w:bCs/>
          <w:color w:val="303030"/>
          <w:sz w:val="22"/>
          <w:szCs w:val="22"/>
        </w:rPr>
        <w:t>(2)</w:t>
      </w:r>
      <w:r w:rsidRPr="00692578">
        <w:rPr>
          <w:rStyle w:val="apple-converted-space"/>
          <w:rFonts w:ascii="Book Antiqua" w:hAnsi="Book Antiqua" w:cs="Arial"/>
          <w:color w:val="000000"/>
          <w:sz w:val="22"/>
          <w:szCs w:val="22"/>
        </w:rPr>
        <w:t> </w:t>
      </w:r>
      <w:r w:rsidRPr="00692578" w:rsidR="003F346C">
        <w:rPr>
          <w:rStyle w:val="apple-converted-space"/>
          <w:rFonts w:ascii="Book Antiqua" w:hAnsi="Book Antiqua" w:cs="Arial"/>
          <w:color w:val="000000"/>
          <w:sz w:val="22"/>
          <w:szCs w:val="22"/>
        </w:rPr>
        <w:tab/>
      </w:r>
      <w:r w:rsidRPr="00692578">
        <w:rPr>
          <w:rFonts w:ascii="Book Antiqua" w:hAnsi="Book Antiqua" w:cs="Arial"/>
          <w:color w:val="000000"/>
          <w:sz w:val="22"/>
          <w:szCs w:val="22"/>
        </w:rPr>
        <w:t>Kontrolu správnosti a opodstatnenosti vyplácania peňažných prostriedkov podľa odseku 1 je oprávnené vykonávať Ministerstvo financií Slovenskej republiky. Pri výkone tejto kontroly sa postupuje podľa všeobecných predpisov o kontrole v štátnej správe a použijú sa ustanovenia osobitného predpisu o bankovom tajomstve. Na účely kontroly vykonávanej Ministerstvom financií Slovenskej republiky je banka alebo pobočka zahraničnej banky, v ktorej boli uložené zostatky zrušených vkladov na doručiteľa podľa § 879d ods. 1 a § 879e ods. 5, povinná predložiť Ministerstvu financií Slovenskej republiky podľa jeho požiadaviek a v ním určenej lehote doklady, podklady, vysvetlenia a ďalšie informácie o predložených požiadavkách na výplatu peňažných prostriedkov a o vyplatených peňažných prostriedkoch podľa odseku 1.“.</w:t>
      </w:r>
    </w:p>
    <w:p w:rsidR="000734B1" w:rsidRPr="00692578" w:rsidP="00CA554F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E459E9" w:rsidRPr="00692578" w:rsidP="00CA554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92578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490C1F" w:rsidP="00CA554F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692578">
        <w:rPr>
          <w:rFonts w:ascii="Book Antiqua" w:hAnsi="Book Antiqua"/>
          <w:sz w:val="22"/>
          <w:szCs w:val="22"/>
        </w:rPr>
        <w:t>Tento záko</w:t>
      </w:r>
      <w:r w:rsidRPr="00692578" w:rsidR="00CA424E">
        <w:rPr>
          <w:rFonts w:ascii="Book Antiqua" w:hAnsi="Book Antiqua"/>
          <w:sz w:val="22"/>
          <w:szCs w:val="22"/>
        </w:rPr>
        <w:t>n nadobúda účinnosť 1. </w:t>
      </w:r>
      <w:r w:rsidRPr="00692578" w:rsidR="000A01A8">
        <w:rPr>
          <w:rFonts w:ascii="Book Antiqua" w:hAnsi="Book Antiqua"/>
          <w:sz w:val="22"/>
          <w:szCs w:val="22"/>
        </w:rPr>
        <w:t>august</w:t>
      </w:r>
      <w:r w:rsidRPr="00692578" w:rsidR="00CA424E">
        <w:rPr>
          <w:rFonts w:ascii="Book Antiqua" w:hAnsi="Book Antiqua"/>
          <w:sz w:val="22"/>
          <w:szCs w:val="22"/>
        </w:rPr>
        <w:t>a</w:t>
      </w:r>
      <w:r w:rsidRPr="00692578" w:rsidR="00DE5C53">
        <w:rPr>
          <w:rFonts w:ascii="Book Antiqua" w:hAnsi="Book Antiqua"/>
          <w:sz w:val="22"/>
          <w:szCs w:val="22"/>
        </w:rPr>
        <w:t xml:space="preserve"> 2015</w:t>
      </w:r>
      <w:r w:rsidRPr="00692578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7F17DDC"/>
    <w:multiLevelType w:val="hybridMultilevel"/>
    <w:tmpl w:val="2AE87316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7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D620FF5"/>
    <w:multiLevelType w:val="hybridMultilevel"/>
    <w:tmpl w:val="814850A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16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90C1F"/>
    <w:rsid w:val="000174AA"/>
    <w:rsid w:val="00060CF4"/>
    <w:rsid w:val="00067C2A"/>
    <w:rsid w:val="000734B1"/>
    <w:rsid w:val="000A01A8"/>
    <w:rsid w:val="000B31F4"/>
    <w:rsid w:val="000D455C"/>
    <w:rsid w:val="000D5EE8"/>
    <w:rsid w:val="000D6CF8"/>
    <w:rsid w:val="00107142"/>
    <w:rsid w:val="00150E3C"/>
    <w:rsid w:val="00152306"/>
    <w:rsid w:val="00181078"/>
    <w:rsid w:val="00192E69"/>
    <w:rsid w:val="001E6685"/>
    <w:rsid w:val="00205294"/>
    <w:rsid w:val="002626CC"/>
    <w:rsid w:val="002A64E7"/>
    <w:rsid w:val="002A6BB2"/>
    <w:rsid w:val="002C1FC3"/>
    <w:rsid w:val="00313E68"/>
    <w:rsid w:val="00316CAE"/>
    <w:rsid w:val="00356AA0"/>
    <w:rsid w:val="003614D8"/>
    <w:rsid w:val="00365017"/>
    <w:rsid w:val="003C4264"/>
    <w:rsid w:val="003C673C"/>
    <w:rsid w:val="003D252E"/>
    <w:rsid w:val="003D290F"/>
    <w:rsid w:val="003F346C"/>
    <w:rsid w:val="00490C1F"/>
    <w:rsid w:val="005221BA"/>
    <w:rsid w:val="0059078F"/>
    <w:rsid w:val="0059565D"/>
    <w:rsid w:val="005F3FA3"/>
    <w:rsid w:val="0061176E"/>
    <w:rsid w:val="0063170B"/>
    <w:rsid w:val="0068628D"/>
    <w:rsid w:val="00692578"/>
    <w:rsid w:val="006B7446"/>
    <w:rsid w:val="006E0952"/>
    <w:rsid w:val="0070570C"/>
    <w:rsid w:val="007A4541"/>
    <w:rsid w:val="007B50E6"/>
    <w:rsid w:val="007D1F73"/>
    <w:rsid w:val="0085128C"/>
    <w:rsid w:val="008631EF"/>
    <w:rsid w:val="00881B4E"/>
    <w:rsid w:val="008D140E"/>
    <w:rsid w:val="0090724B"/>
    <w:rsid w:val="00925E2C"/>
    <w:rsid w:val="009322D0"/>
    <w:rsid w:val="00952E00"/>
    <w:rsid w:val="009904EB"/>
    <w:rsid w:val="009D03DA"/>
    <w:rsid w:val="009E1290"/>
    <w:rsid w:val="009E6D7D"/>
    <w:rsid w:val="00A359E2"/>
    <w:rsid w:val="00A956F5"/>
    <w:rsid w:val="00AB75AF"/>
    <w:rsid w:val="00AE48CD"/>
    <w:rsid w:val="00B56579"/>
    <w:rsid w:val="00C25319"/>
    <w:rsid w:val="00C64F0F"/>
    <w:rsid w:val="00C64FF8"/>
    <w:rsid w:val="00CA424E"/>
    <w:rsid w:val="00CA554F"/>
    <w:rsid w:val="00CF3D5C"/>
    <w:rsid w:val="00D069BB"/>
    <w:rsid w:val="00D15201"/>
    <w:rsid w:val="00D22FE0"/>
    <w:rsid w:val="00DB2DBA"/>
    <w:rsid w:val="00DE5C53"/>
    <w:rsid w:val="00E459E9"/>
    <w:rsid w:val="00E67F44"/>
    <w:rsid w:val="00E80C6E"/>
    <w:rsid w:val="00E900C0"/>
    <w:rsid w:val="00ED7687"/>
    <w:rsid w:val="00EF4B6A"/>
    <w:rsid w:val="00EF6B3F"/>
    <w:rsid w:val="00F07509"/>
    <w:rsid w:val="00F402F8"/>
    <w:rsid w:val="00F8214A"/>
    <w:rsid w:val="00FA37AF"/>
    <w:rsid w:val="00FD1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9322D0"/>
    <w:rPr>
      <w:vertAlign w:val="superscript"/>
    </w:rPr>
  </w:style>
  <w:style w:type="character" w:customStyle="1" w:styleId="h1a">
    <w:name w:val="h1a"/>
    <w:uiPriority w:val="99"/>
    <w:rsid w:val="00316CAE"/>
  </w:style>
  <w:style w:type="paragraph" w:customStyle="1" w:styleId="l6">
    <w:name w:val="l6"/>
    <w:basedOn w:val="Normal"/>
    <w:rsid w:val="000734B1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um">
    <w:name w:val="num"/>
    <w:basedOn w:val="DefaultParagraphFont"/>
    <w:rsid w:val="000734B1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0734B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0D02-68F9-4D32-9235-0F66CB91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535</Words>
  <Characters>3055</Characters>
  <Application>Microsoft Office Word</Application>
  <DocSecurity>0</DocSecurity>
  <Lines>0</Lines>
  <Paragraphs>0</Paragraphs>
  <ScaleCrop>false</ScaleCrop>
  <Company>Nebo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2014-04-08T14:38:00Z</cp:lastPrinted>
  <dcterms:created xsi:type="dcterms:W3CDTF">2015-03-24T16:08:00Z</dcterms:created>
  <dcterms:modified xsi:type="dcterms:W3CDTF">2015-03-24T16:08:00Z</dcterms:modified>
</cp:coreProperties>
</file>