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02F4" w:rsidRPr="00ED0CBF" w:rsidP="00C102F4">
      <w:pPr>
        <w:bidi w:val="0"/>
        <w:spacing w:after="200" w:line="276" w:lineRule="auto"/>
        <w:jc w:val="center"/>
        <w:rPr>
          <w:rFonts w:ascii="Times New Roman" w:hAnsi="Times New Roman"/>
          <w:b/>
          <w:bCs/>
          <w:sz w:val="28"/>
          <w:szCs w:val="28"/>
          <w:lang w:val="sk-SK"/>
        </w:rPr>
      </w:pPr>
      <w:r w:rsidRPr="00ED0CBF">
        <w:rPr>
          <w:rFonts w:ascii="Times New Roman" w:hAnsi="Times New Roman"/>
          <w:b/>
          <w:bCs/>
          <w:sz w:val="28"/>
          <w:szCs w:val="28"/>
          <w:lang w:val="sk-SK"/>
        </w:rPr>
        <w:t>Doložka vybraných vplyvov</w:t>
      </w:r>
    </w:p>
    <w:p w:rsidR="00C102F4" w:rsidRPr="00ED0CBF" w:rsidP="00C102F4">
      <w:pPr>
        <w:bidi w:val="0"/>
        <w:ind w:right="-108"/>
        <w:jc w:val="center"/>
        <w:rPr>
          <w:rFonts w:ascii="Times New Roman" w:hAnsi="Times New Roman"/>
          <w:b/>
          <w:bCs/>
          <w:sz w:val="28"/>
          <w:szCs w:val="28"/>
          <w:lang w:val="sk-SK"/>
        </w:rPr>
      </w:pPr>
    </w:p>
    <w:p w:rsidR="00C102F4" w:rsidRPr="00ED0CBF" w:rsidP="00C102F4">
      <w:pPr>
        <w:bidi w:val="0"/>
        <w:rPr>
          <w:rFonts w:ascii="Times New Roman" w:hAnsi="Times New Roman"/>
          <w:b/>
          <w:bCs/>
          <w:lang w:val="sk-SK"/>
        </w:rPr>
      </w:pPr>
    </w:p>
    <w:p w:rsidR="00C102F4" w:rsidRPr="00842333" w:rsidP="00C102F4">
      <w:pPr>
        <w:bidi w:val="0"/>
        <w:rPr>
          <w:rFonts w:ascii="Times New Roman" w:hAnsi="Times New Roman"/>
          <w:b/>
          <w:bCs/>
          <w:lang w:val="sk-SK"/>
        </w:rPr>
      </w:pPr>
    </w:p>
    <w:p w:rsidR="00C102F4" w:rsidRPr="00842333" w:rsidP="00C102F4">
      <w:pPr>
        <w:bidi w:val="0"/>
        <w:jc w:val="both"/>
        <w:rPr>
          <w:rFonts w:ascii="Times New Roman" w:hAnsi="Times New Roman"/>
          <w:spacing w:val="-4"/>
          <w:lang w:val="sk-SK"/>
        </w:rPr>
      </w:pPr>
      <w:r w:rsidRPr="00842333">
        <w:rPr>
          <w:rFonts w:ascii="Times New Roman" w:hAnsi="Times New Roman"/>
          <w:b/>
          <w:bCs/>
          <w:lang w:val="sk-SK"/>
        </w:rPr>
        <w:t>A.1. Názov materiálu:</w:t>
      </w:r>
      <w:r w:rsidRPr="00842333">
        <w:rPr>
          <w:rFonts w:ascii="Times New Roman" w:hAnsi="Times New Roman"/>
          <w:lang w:val="sk-SK"/>
        </w:rPr>
        <w:t xml:space="preserve"> </w:t>
      </w:r>
      <w:r w:rsidRPr="00842333">
        <w:rPr>
          <w:rFonts w:ascii="Times New Roman" w:hAnsi="Times New Roman"/>
          <w:spacing w:val="-4"/>
          <w:lang w:val="sk-SK"/>
        </w:rPr>
        <w:t xml:space="preserve">Návrh zákona, ktorým sa mení a dopĺňa zákon č. 179/2011 Z. z o hospodárskej mobilizácii a o zmene zákona a doplnení zákona č. 387/2002 Z. z. o riadení štátu v krízových situáciách mimo času vojny a vojnového stavu v znení </w:t>
      </w:r>
      <w:r w:rsidRPr="00842333" w:rsidR="00EC770E">
        <w:rPr>
          <w:rFonts w:ascii="Times New Roman" w:hAnsi="Times New Roman"/>
          <w:spacing w:val="-4"/>
          <w:lang w:val="sk-SK"/>
        </w:rPr>
        <w:t>neskorších predpisov</w:t>
      </w:r>
      <w:r w:rsidR="004415E2">
        <w:rPr>
          <w:rFonts w:ascii="Times New Roman" w:hAnsi="Times New Roman"/>
          <w:spacing w:val="-4"/>
          <w:lang w:val="sk-SK"/>
        </w:rPr>
        <w:t xml:space="preserve"> </w:t>
      </w:r>
      <w:r w:rsidRPr="004415E2" w:rsidR="004415E2">
        <w:rPr>
          <w:rFonts w:ascii="Times New Roman" w:hAnsi="Times New Roman"/>
          <w:spacing w:val="-4"/>
          <w:lang w:val="sk-SK"/>
        </w:rPr>
        <w:t>v znení zákona Národnej rady Slovenskej republiky č. 204/2013 Z. z.</w:t>
      </w:r>
    </w:p>
    <w:p w:rsidR="00C102F4" w:rsidRPr="00842333" w:rsidP="00C102F4">
      <w:pPr>
        <w:bidi w:val="0"/>
        <w:jc w:val="both"/>
        <w:rPr>
          <w:rFonts w:ascii="Times New Roman" w:hAnsi="Times New Roman" w:cs="Arial"/>
          <w:lang w:val="sk-SK"/>
        </w:rPr>
      </w:pPr>
    </w:p>
    <w:p w:rsidR="00C102F4" w:rsidRPr="00842333" w:rsidP="00C102F4">
      <w:pPr>
        <w:bidi w:val="0"/>
        <w:outlineLvl w:val="0"/>
        <w:rPr>
          <w:rFonts w:ascii="Times New Roman" w:hAnsi="Times New Roman"/>
          <w:bCs/>
          <w:lang w:val="sk-SK"/>
        </w:rPr>
      </w:pPr>
      <w:r w:rsidRPr="00842333">
        <w:rPr>
          <w:rFonts w:ascii="Times New Roman" w:hAnsi="Times New Roman"/>
          <w:b/>
          <w:bCs/>
          <w:lang w:val="sk-SK"/>
        </w:rPr>
        <w:t xml:space="preserve">Termín začatia a ukončenia PPK: </w:t>
      </w:r>
    </w:p>
    <w:p w:rsidR="00C102F4" w:rsidRPr="00842333" w:rsidP="00C102F4">
      <w:pPr>
        <w:bidi w:val="0"/>
        <w:rPr>
          <w:rFonts w:ascii="Times New Roman" w:hAnsi="Times New Roman"/>
          <w:b/>
          <w:bCs/>
          <w:lang w:val="sk-SK"/>
        </w:rPr>
      </w:pPr>
    </w:p>
    <w:p w:rsidR="00C102F4" w:rsidRPr="00842333" w:rsidP="00C102F4">
      <w:pPr>
        <w:bidi w:val="0"/>
        <w:rPr>
          <w:rFonts w:ascii="Times New Roman" w:hAnsi="Times New Roman"/>
          <w:b/>
          <w:bCs/>
          <w:lang w:val="sk-SK"/>
        </w:rPr>
      </w:pPr>
    </w:p>
    <w:p w:rsidR="00C102F4" w:rsidRPr="00842333" w:rsidP="00C102F4">
      <w:pPr>
        <w:bidi w:val="0"/>
        <w:rPr>
          <w:rFonts w:ascii="Times New Roman" w:hAnsi="Times New Roman"/>
          <w:b/>
          <w:bCs/>
          <w:lang w:val="sk-SK"/>
        </w:rPr>
      </w:pPr>
      <w:r w:rsidRPr="00842333">
        <w:rPr>
          <w:rFonts w:ascii="Times New Roman" w:hAnsi="Times New Roman"/>
          <w:b/>
          <w:bCs/>
          <w:lang w:val="sk-SK"/>
        </w:rPr>
        <w:t>A.2. Vplyvy:</w:t>
      </w:r>
    </w:p>
    <w:p w:rsidR="00C102F4" w:rsidRPr="00842333" w:rsidP="00C102F4">
      <w:pPr>
        <w:bidi w:val="0"/>
        <w:rPr>
          <w:rFonts w:ascii="Times New Roman" w:hAnsi="Times New Roman"/>
          <w:lang w:val="sk-SK"/>
        </w:rPr>
      </w:pPr>
    </w:p>
    <w:tbl>
      <w:tblPr>
        <w:tblStyle w:val="TableNormal"/>
        <w:tblW w:w="4987"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227"/>
        <w:gridCol w:w="1279"/>
        <w:gridCol w:w="1279"/>
        <w:gridCol w:w="1279"/>
      </w:tblGrid>
      <w:tr>
        <w:tblPrEx>
          <w:tblW w:w="4987"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Pozitívne</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Žiadne</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Negatívne</w:t>
            </w: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1. Vplyvy na rozpočet verejnej správy</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2. Vplyvy na podnikateľské prostredie</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3. Sociálne vplyvy na</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 sociálnu exklúziu,</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 rovnosť príležitostí a rodovú rovnosť,</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 zamestnanosť</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4. Vplyvy na životné prostredie</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r>
        <w:tblPrEx>
          <w:tblW w:w="4987" w:type="pct"/>
          <w:tblInd w:w="1" w:type="dxa"/>
          <w:tblCellMar>
            <w:left w:w="0" w:type="dxa"/>
            <w:right w:w="0" w:type="dxa"/>
          </w:tblCellMar>
        </w:tblPrEx>
        <w:tc>
          <w:tcPr>
            <w:tcW w:w="5227"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rPr>
                <w:rFonts w:ascii="Times New Roman" w:hAnsi="Times New Roman"/>
                <w:lang w:val="sk-SK"/>
              </w:rPr>
            </w:pPr>
            <w:r w:rsidRPr="00842333">
              <w:rPr>
                <w:rFonts w:ascii="Times New Roman" w:hAnsi="Times New Roman"/>
                <w:lang w:val="sk-SK"/>
              </w:rPr>
              <w:t>5. Vplyvy na informatizáciu spoločnosti</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r w:rsidRPr="00842333">
              <w:rPr>
                <w:rFonts w:ascii="Times New Roman" w:hAnsi="Times New Roman"/>
                <w:lang w:val="sk-SK"/>
              </w:rPr>
              <w:t>x</w:t>
            </w:r>
          </w:p>
        </w:tc>
        <w:tc>
          <w:tcPr>
            <w:tcW w:w="1279" w:type="dxa"/>
            <w:tcBorders>
              <w:top w:val="outset" w:sz="6" w:space="0" w:color="auto"/>
              <w:left w:val="outset" w:sz="6" w:space="0" w:color="auto"/>
              <w:bottom w:val="outset" w:sz="6" w:space="0" w:color="auto"/>
              <w:right w:val="outset" w:sz="6" w:space="0" w:color="auto"/>
            </w:tcBorders>
            <w:textDirection w:val="lrTb"/>
            <w:vAlign w:val="center"/>
          </w:tcPr>
          <w:p w:rsidR="00C102F4" w:rsidRPr="00842333" w:rsidP="00353260">
            <w:pPr>
              <w:bidi w:val="0"/>
              <w:jc w:val="center"/>
              <w:rPr>
                <w:rFonts w:ascii="Times New Roman" w:hAnsi="Times New Roman"/>
                <w:lang w:val="sk-SK"/>
              </w:rPr>
            </w:pPr>
          </w:p>
        </w:tc>
      </w:tr>
    </w:tbl>
    <w:p w:rsidR="00C102F4" w:rsidRPr="00842333" w:rsidP="00C102F4">
      <w:pPr>
        <w:bidi w:val="0"/>
        <w:jc w:val="both"/>
        <w:rPr>
          <w:rFonts w:ascii="Times New Roman" w:hAnsi="Times New Roman"/>
          <w:b/>
          <w:sz w:val="16"/>
          <w:szCs w:val="16"/>
          <w:lang w:val="sk-SK"/>
        </w:rPr>
      </w:pPr>
    </w:p>
    <w:p w:rsidR="00C102F4" w:rsidRPr="00842333" w:rsidP="00C102F4">
      <w:pPr>
        <w:bidi w:val="0"/>
        <w:jc w:val="both"/>
        <w:rPr>
          <w:rFonts w:ascii="Times New Roman" w:hAnsi="Times New Roman"/>
          <w:bCs/>
          <w:szCs w:val="20"/>
          <w:u w:val="single"/>
          <w:lang w:val="sk-SK"/>
        </w:rPr>
      </w:pPr>
      <w:r w:rsidRPr="00842333">
        <w:rPr>
          <w:rFonts w:ascii="Times New Roman" w:hAnsi="Times New Roman"/>
          <w:b/>
          <w:sz w:val="16"/>
          <w:szCs w:val="16"/>
          <w:lang w:val="sk-SK"/>
        </w:rPr>
        <w:t>*</w:t>
      </w:r>
      <w:r w:rsidRPr="00842333">
        <w:rPr>
          <w:rFonts w:ascii="Times New Roman" w:hAnsi="Times New Roman"/>
          <w:bCs/>
          <w:sz w:val="16"/>
          <w:szCs w:val="16"/>
          <w:lang w:val="sk-SK"/>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C102F4" w:rsidRPr="00842333" w:rsidP="00C102F4">
      <w:pPr>
        <w:bidi w:val="0"/>
        <w:jc w:val="both"/>
        <w:rPr>
          <w:rFonts w:ascii="Times New Roman" w:hAnsi="Times New Roman"/>
          <w:b/>
          <w:bCs/>
          <w:szCs w:val="20"/>
          <w:lang w:val="sk-SK"/>
        </w:rPr>
      </w:pPr>
    </w:p>
    <w:p w:rsidR="00C102F4" w:rsidRPr="00842333" w:rsidP="00C102F4">
      <w:pPr>
        <w:bidi w:val="0"/>
        <w:jc w:val="both"/>
        <w:rPr>
          <w:rFonts w:ascii="Times New Roman" w:hAnsi="Times New Roman"/>
          <w:b/>
          <w:bCs/>
          <w:szCs w:val="20"/>
          <w:lang w:val="sk-SK"/>
        </w:rPr>
      </w:pPr>
      <w:r w:rsidRPr="00842333">
        <w:rPr>
          <w:rFonts w:ascii="Times New Roman" w:hAnsi="Times New Roman"/>
          <w:b/>
          <w:bCs/>
          <w:szCs w:val="20"/>
          <w:lang w:val="sk-SK"/>
        </w:rPr>
        <w:t>A.3. Poznámky</w:t>
      </w:r>
    </w:p>
    <w:p w:rsidR="00C102F4" w:rsidRPr="00842333" w:rsidP="00C102F4">
      <w:pPr>
        <w:bidi w:val="0"/>
        <w:jc w:val="both"/>
        <w:rPr>
          <w:rFonts w:ascii="Times New Roman" w:hAnsi="Times New Roman"/>
          <w:lang w:val="sk-SK"/>
        </w:rPr>
      </w:pPr>
    </w:p>
    <w:p w:rsidR="00C102F4" w:rsidRPr="00842333" w:rsidP="00C102F4">
      <w:pPr>
        <w:bidi w:val="0"/>
        <w:jc w:val="both"/>
        <w:rPr>
          <w:rFonts w:ascii="Times New Roman" w:hAnsi="Times New Roman"/>
          <w:b/>
          <w:szCs w:val="20"/>
          <w:lang w:val="sk-SK"/>
        </w:rPr>
      </w:pPr>
      <w:r w:rsidRPr="00842333">
        <w:rPr>
          <w:rFonts w:ascii="Times New Roman" w:hAnsi="Times New Roman"/>
          <w:b/>
          <w:szCs w:val="20"/>
          <w:lang w:val="sk-SK"/>
        </w:rPr>
        <w:t>A.4. Alternatívne riešenia</w:t>
      </w:r>
    </w:p>
    <w:p w:rsidR="00C102F4" w:rsidRPr="00842333" w:rsidP="00C102F4">
      <w:pPr>
        <w:bidi w:val="0"/>
        <w:jc w:val="both"/>
        <w:rPr>
          <w:rFonts w:ascii="Times New Roman" w:hAnsi="Times New Roman"/>
          <w:lang w:val="sk-SK"/>
        </w:rPr>
      </w:pPr>
      <w:r w:rsidRPr="00842333">
        <w:rPr>
          <w:rFonts w:ascii="Times New Roman" w:hAnsi="Times New Roman"/>
          <w:lang w:val="sk-SK"/>
        </w:rPr>
        <w:t>bezpredmetné</w:t>
      </w:r>
    </w:p>
    <w:p w:rsidR="00C102F4" w:rsidRPr="00842333" w:rsidP="00C102F4">
      <w:pPr>
        <w:bidi w:val="0"/>
        <w:jc w:val="both"/>
        <w:rPr>
          <w:rFonts w:ascii="Times New Roman" w:hAnsi="Times New Roman"/>
          <w:lang w:val="sk-SK"/>
        </w:rPr>
      </w:pPr>
    </w:p>
    <w:p w:rsidR="00C102F4" w:rsidRPr="00842333" w:rsidP="00C102F4">
      <w:pPr>
        <w:bidi w:val="0"/>
        <w:rPr>
          <w:rFonts w:ascii="Times New Roman" w:hAnsi="Times New Roman"/>
          <w:b/>
          <w:szCs w:val="20"/>
          <w:lang w:val="sk-SK"/>
        </w:rPr>
      </w:pPr>
      <w:r w:rsidRPr="00842333">
        <w:rPr>
          <w:rFonts w:ascii="Times New Roman" w:hAnsi="Times New Roman"/>
          <w:b/>
          <w:szCs w:val="20"/>
          <w:lang w:val="sk-SK"/>
        </w:rPr>
        <w:t>A.5. Stanovisko gestorov</w:t>
      </w:r>
    </w:p>
    <w:p w:rsidR="00C102F4" w:rsidRPr="00842333" w:rsidP="00C102F4">
      <w:pPr>
        <w:bidi w:val="0"/>
        <w:rPr>
          <w:rFonts w:ascii="Times New Roman" w:hAnsi="Times New Roman"/>
          <w:szCs w:val="20"/>
          <w:lang w:val="sk-SK"/>
        </w:rPr>
      </w:pPr>
      <w:r w:rsidRPr="00842333">
        <w:rPr>
          <w:rFonts w:ascii="Times New Roman" w:hAnsi="Times New Roman"/>
          <w:szCs w:val="20"/>
          <w:lang w:val="sk-SK"/>
        </w:rPr>
        <w:t>bezpredmetné</w:t>
      </w:r>
    </w:p>
    <w:p w:rsidR="00C102F4" w:rsidRPr="00842333" w:rsidP="00C102F4">
      <w:pPr>
        <w:bidi w:val="0"/>
        <w:spacing w:after="200" w:line="276" w:lineRule="auto"/>
        <w:rPr>
          <w:rFonts w:ascii="Times New Roman" w:hAnsi="Times New Roman"/>
          <w:b/>
          <w:lang w:val="sk-SK"/>
        </w:rPr>
        <w:sectPr w:rsidSect="00353260">
          <w:pgSz w:w="11906" w:h="16838"/>
          <w:pgMar w:top="1417" w:right="1417" w:bottom="1135" w:left="1417" w:header="708" w:footer="708" w:gutter="0"/>
          <w:lnNumType w:distance="0"/>
          <w:cols w:space="708"/>
          <w:noEndnote w:val="0"/>
          <w:bidi w:val="0"/>
          <w:docGrid w:linePitch="360"/>
        </w:sectPr>
      </w:pPr>
    </w:p>
    <w:p w:rsidR="00C102F4" w:rsidRPr="00842333" w:rsidP="00C102F4">
      <w:pPr>
        <w:bidi w:val="0"/>
        <w:jc w:val="center"/>
        <w:rPr>
          <w:rFonts w:ascii="Times New Roman" w:hAnsi="Times New Roman"/>
          <w:lang w:val="sk-SK"/>
        </w:rPr>
      </w:pPr>
      <w:r w:rsidRPr="00842333">
        <w:rPr>
          <w:rFonts w:ascii="Times New Roman" w:hAnsi="Times New Roman"/>
          <w:b/>
          <w:bCs/>
          <w:sz w:val="28"/>
          <w:szCs w:val="28"/>
          <w:lang w:val="sk-SK"/>
        </w:rPr>
        <w:t>Vplyvy na rozpočet verejnej správy,</w:t>
      </w:r>
    </w:p>
    <w:p w:rsidR="00C102F4" w:rsidRPr="00842333" w:rsidP="00C102F4">
      <w:pPr>
        <w:bidi w:val="0"/>
        <w:jc w:val="center"/>
        <w:rPr>
          <w:rFonts w:ascii="Times New Roman" w:hAnsi="Times New Roman"/>
          <w:lang w:val="sk-SK"/>
        </w:rPr>
      </w:pPr>
      <w:r w:rsidRPr="00842333">
        <w:rPr>
          <w:rFonts w:ascii="Times New Roman" w:hAnsi="Times New Roman"/>
          <w:b/>
          <w:bCs/>
          <w:sz w:val="28"/>
          <w:szCs w:val="28"/>
          <w:lang w:val="sk-SK"/>
        </w:rPr>
        <w:t>na zamestnanosť vo verejnej správe a financovanie návrhu</w:t>
      </w:r>
    </w:p>
    <w:p w:rsidR="00C102F4" w:rsidRPr="00842333" w:rsidP="00C102F4">
      <w:pPr>
        <w:bidi w:val="0"/>
        <w:rPr>
          <w:rFonts w:ascii="Times New Roman" w:hAnsi="Times New Roman"/>
          <w:lang w:val="sk-SK"/>
        </w:rPr>
      </w:pPr>
      <w:r w:rsidRPr="00842333">
        <w:rPr>
          <w:rFonts w:ascii="Times New Roman" w:hAnsi="Times New Roman"/>
          <w:lang w:val="sk-SK"/>
        </w:rPr>
        <w:t> </w:t>
      </w:r>
    </w:p>
    <w:p w:rsidR="00C102F4" w:rsidRPr="00842333" w:rsidP="00C102F4">
      <w:pPr>
        <w:bidi w:val="0"/>
        <w:rPr>
          <w:rFonts w:ascii="Times New Roman" w:hAnsi="Times New Roman"/>
          <w:lang w:val="sk-SK"/>
        </w:rPr>
      </w:pPr>
      <w:r w:rsidRPr="00842333">
        <w:rPr>
          <w:rFonts w:ascii="Times New Roman" w:hAnsi="Times New Roman"/>
          <w:b/>
          <w:bCs/>
          <w:lang w:val="sk-SK"/>
        </w:rPr>
        <w:t>2.1. Zhrnutie vplyvov na rozpočet verejnej správy v návrhu</w:t>
      </w:r>
    </w:p>
    <w:p w:rsidR="00C102F4" w:rsidRPr="00842333" w:rsidP="00C102F4">
      <w:pPr>
        <w:bidi w:val="0"/>
        <w:jc w:val="right"/>
        <w:rPr>
          <w:rFonts w:ascii="Times New Roman" w:hAnsi="Times New Roman"/>
          <w:lang w:val="sk-SK"/>
        </w:rPr>
      </w:pPr>
      <w:r w:rsidRPr="00842333">
        <w:rPr>
          <w:rFonts w:ascii="Times New Roman" w:hAnsi="Times New Roman"/>
          <w:sz w:val="20"/>
          <w:szCs w:val="20"/>
          <w:lang w:val="sk-SK"/>
        </w:rPr>
        <w:t>Tabuľka č. 1</w:t>
      </w:r>
    </w:p>
    <w:tbl>
      <w:tblPr>
        <w:tblStyle w:val="TableNormal"/>
        <w:tblW w:w="10135" w:type="dxa"/>
        <w:tblCellMar>
          <w:left w:w="0" w:type="dxa"/>
          <w:right w:w="0" w:type="dxa"/>
        </w:tblCellMar>
        <w:tblLook w:val="04A0"/>
      </w:tblPr>
      <w:tblGrid>
        <w:gridCol w:w="4661"/>
        <w:gridCol w:w="1267"/>
        <w:gridCol w:w="101"/>
        <w:gridCol w:w="1166"/>
        <w:gridCol w:w="203"/>
        <w:gridCol w:w="1064"/>
        <w:gridCol w:w="304"/>
        <w:gridCol w:w="1369"/>
      </w:tblGrid>
      <w:tr>
        <w:tblPrEx>
          <w:tblW w:w="10135" w:type="dxa"/>
          <w:tblCellMar>
            <w:left w:w="0" w:type="dxa"/>
            <w:right w:w="0" w:type="dxa"/>
          </w:tblCellMar>
          <w:tblLook w:val="04A0"/>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102F4" w:rsidRPr="00842333" w:rsidP="00353260">
            <w:pPr>
              <w:bidi w:val="0"/>
              <w:spacing w:line="194" w:lineRule="atLeast"/>
              <w:jc w:val="center"/>
              <w:rPr>
                <w:rFonts w:ascii="Times New Roman" w:hAnsi="Times New Roman"/>
                <w:lang w:val="sk-SK"/>
              </w:rPr>
            </w:pPr>
            <w:r w:rsidRPr="00842333">
              <w:rPr>
                <w:rFonts w:ascii="Times New Roman" w:hAnsi="Times New Roman"/>
                <w:b/>
                <w:bCs/>
                <w:lang w:val="sk-SK"/>
              </w:rPr>
              <w:t>Vplyvy na rozpočet verejnej správy</w:t>
            </w:r>
          </w:p>
        </w:tc>
        <w:tc>
          <w:tcPr>
            <w:tcW w:w="5474" w:type="dxa"/>
            <w:gridSpan w:val="7"/>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102F4" w:rsidRPr="00842333" w:rsidP="00353260">
            <w:pPr>
              <w:bidi w:val="0"/>
              <w:spacing w:line="194" w:lineRule="atLeast"/>
              <w:jc w:val="center"/>
              <w:rPr>
                <w:rFonts w:ascii="Times New Roman" w:hAnsi="Times New Roman"/>
                <w:lang w:val="sk-SK"/>
              </w:rPr>
            </w:pPr>
            <w:r w:rsidRPr="00842333">
              <w:rPr>
                <w:rFonts w:ascii="Times New Roman" w:hAnsi="Times New Roman"/>
                <w:b/>
                <w:bCs/>
                <w:lang w:val="sk-SK"/>
              </w:rPr>
              <w:t>Vplyv na rozpočet verejnej správy (v eurách)</w:t>
            </w:r>
          </w:p>
        </w:tc>
      </w:tr>
      <w:tr>
        <w:tblPrEx>
          <w:tblW w:w="10135"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C102F4" w:rsidRPr="00842333" w:rsidP="00353260">
            <w:pPr>
              <w:bidi w:val="0"/>
              <w:rPr>
                <w:rFonts w:ascii="Times New Roman" w:hAnsi="Times New Roman"/>
                <w:lang w:val="sk-SK"/>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102F4" w:rsidRPr="00842333" w:rsidP="00353260">
            <w:pPr>
              <w:bidi w:val="0"/>
              <w:spacing w:line="70" w:lineRule="atLeast"/>
              <w:jc w:val="center"/>
              <w:rPr>
                <w:rFonts w:ascii="Times New Roman" w:hAnsi="Times New Roman"/>
                <w:lang w:val="sk-SK"/>
              </w:rPr>
            </w:pPr>
            <w:r w:rsidRPr="00842333">
              <w:rPr>
                <w:rFonts w:ascii="Times New Roman" w:hAnsi="Times New Roman"/>
                <w:b/>
                <w:bCs/>
                <w:lang w:val="sk-SK"/>
              </w:rPr>
              <w:t>2015</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102F4" w:rsidRPr="00842333" w:rsidP="00353260">
            <w:pPr>
              <w:bidi w:val="0"/>
              <w:spacing w:line="70" w:lineRule="atLeast"/>
              <w:jc w:val="center"/>
              <w:rPr>
                <w:rFonts w:ascii="Times New Roman" w:hAnsi="Times New Roman"/>
                <w:lang w:val="sk-SK"/>
              </w:rPr>
            </w:pPr>
            <w:r w:rsidRPr="00842333">
              <w:rPr>
                <w:rFonts w:ascii="Times New Roman" w:hAnsi="Times New Roman"/>
                <w:b/>
                <w:bCs/>
                <w:lang w:val="sk-SK"/>
              </w:rPr>
              <w:t>2016</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102F4" w:rsidRPr="00842333" w:rsidP="00353260">
            <w:pPr>
              <w:bidi w:val="0"/>
              <w:spacing w:line="70" w:lineRule="atLeast"/>
              <w:jc w:val="center"/>
              <w:rPr>
                <w:rFonts w:ascii="Times New Roman" w:hAnsi="Times New Roman"/>
                <w:lang w:val="sk-SK"/>
              </w:rPr>
            </w:pPr>
            <w:r w:rsidRPr="00842333">
              <w:rPr>
                <w:rFonts w:ascii="Times New Roman" w:hAnsi="Times New Roman"/>
                <w:b/>
                <w:bCs/>
                <w:lang w:val="sk-SK"/>
              </w:rPr>
              <w:t>2017</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102F4" w:rsidRPr="00842333" w:rsidP="00353260">
            <w:pPr>
              <w:bidi w:val="0"/>
              <w:spacing w:line="70" w:lineRule="atLeast"/>
              <w:jc w:val="center"/>
              <w:rPr>
                <w:rFonts w:ascii="Times New Roman" w:hAnsi="Times New Roman"/>
                <w:lang w:val="sk-SK"/>
              </w:rPr>
            </w:pPr>
            <w:r w:rsidRPr="00842333">
              <w:rPr>
                <w:rFonts w:ascii="Times New Roman" w:hAnsi="Times New Roman"/>
                <w:b/>
                <w:bCs/>
                <w:lang w:val="sk-SK"/>
              </w:rPr>
              <w:t>2018</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b/>
                <w:bCs/>
                <w:lang w:val="sk-SK"/>
              </w:rPr>
              <w:t>Príjmy verejnej správy celkom</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r>
      <w:tr>
        <w:tblPrEx>
          <w:tblW w:w="10135" w:type="dxa"/>
          <w:tblCellMar>
            <w:left w:w="0" w:type="dxa"/>
            <w:right w:w="0" w:type="dxa"/>
          </w:tblCellMar>
          <w:tblLook w:val="04A0"/>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32" w:lineRule="atLeast"/>
              <w:rPr>
                <w:rFonts w:ascii="Times New Roman" w:hAnsi="Times New Roman"/>
                <w:lang w:val="sk-SK"/>
              </w:rPr>
            </w:pPr>
            <w:r w:rsidRPr="00842333">
              <w:rPr>
                <w:rFonts w:ascii="Times New Roman" w:hAnsi="Times New Roman"/>
                <w:lang w:val="sk-SK"/>
              </w:rPr>
              <w:t>v tom: za každý subjekt verejnej správy zvlášť</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32" w:lineRule="atLeast"/>
              <w:jc w:val="right"/>
              <w:rPr>
                <w:rFonts w:ascii="Times New Roman" w:hAnsi="Times New Roman"/>
                <w:lang w:val="sk-SK"/>
              </w:rPr>
            </w:pPr>
            <w:r w:rsidRPr="00842333">
              <w:rPr>
                <w:rFonts w:ascii="Times New Roman" w:hAnsi="Times New Roman"/>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32" w:lineRule="atLeast"/>
              <w:jc w:val="right"/>
              <w:rPr>
                <w:rFonts w:ascii="Times New Roman" w:hAnsi="Times New Roman"/>
                <w:lang w:val="sk-SK"/>
              </w:rPr>
            </w:pPr>
            <w:r w:rsidRPr="00842333">
              <w:rPr>
                <w:rFonts w:ascii="Times New Roman" w:hAnsi="Times New Roman"/>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32" w:lineRule="atLeast"/>
              <w:jc w:val="right"/>
              <w:rPr>
                <w:rFonts w:ascii="Times New Roman" w:hAnsi="Times New Roman"/>
                <w:lang w:val="sk-SK"/>
              </w:rPr>
            </w:pPr>
            <w:r w:rsidRPr="00842333">
              <w:rPr>
                <w:rFonts w:ascii="Times New Roman" w:hAnsi="Times New Roman"/>
                <w:lang w:val="sk-SK"/>
              </w:rPr>
              <w:t>0</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32" w:lineRule="atLeast"/>
              <w:jc w:val="right"/>
              <w:rPr>
                <w:rFonts w:ascii="Times New Roman" w:hAnsi="Times New Roman"/>
                <w:lang w:val="sk-SK"/>
              </w:rPr>
            </w:pPr>
            <w:r w:rsidRPr="00842333">
              <w:rPr>
                <w:rFonts w:ascii="Times New Roman" w:hAnsi="Times New Roman"/>
                <w:lang w:val="sk-SK"/>
              </w:rPr>
              <w:t>0</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b/>
                <w:bCs/>
                <w:i/>
                <w:iCs/>
                <w:lang w:val="sk-SK"/>
              </w:rPr>
              <w:t xml:space="preserve">z toho: </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
                <w:iCs/>
                <w:lang w:val="sk-SK"/>
              </w:rPr>
              <w:t> </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
                <w:iCs/>
                <w:lang w:val="sk-SK"/>
              </w:rPr>
              <w:t> </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
                <w:iCs/>
                <w:lang w:val="sk-SK"/>
              </w:rPr>
              <w:t> </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
                <w:iCs/>
                <w:lang w:val="sk-SK"/>
              </w:rPr>
              <w:t> </w:t>
            </w:r>
          </w:p>
        </w:tc>
      </w:tr>
      <w:tr>
        <w:tblPrEx>
          <w:tblW w:w="10135"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rPr>
                <w:rFonts w:ascii="Times New Roman" w:hAnsi="Times New Roman"/>
                <w:lang w:val="sk-SK"/>
              </w:rPr>
            </w:pPr>
            <w:r w:rsidRPr="00842333">
              <w:rPr>
                <w:rFonts w:ascii="Times New Roman" w:hAnsi="Times New Roman"/>
                <w:b/>
                <w:bCs/>
                <w:i/>
                <w:iCs/>
                <w:lang w:val="sk-SK"/>
              </w:rPr>
              <w:t>- vplyv na ŠR</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r>
      <w:tr>
        <w:tblPrEx>
          <w:tblW w:w="10135"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rPr>
                <w:rFonts w:ascii="Times New Roman" w:hAnsi="Times New Roman"/>
                <w:lang w:val="sk-SK"/>
              </w:rPr>
            </w:pPr>
            <w:r w:rsidRPr="00842333">
              <w:rPr>
                <w:rFonts w:ascii="Times New Roman" w:hAnsi="Times New Roman"/>
                <w:b/>
                <w:bCs/>
                <w:i/>
                <w:iCs/>
                <w:lang w:val="sk-SK"/>
              </w:rPr>
              <w:t>- vplyv na územnú samosprávu</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r>
      <w:tr>
        <w:tblPrEx>
          <w:tblW w:w="10135"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125" w:lineRule="atLeast"/>
              <w:rPr>
                <w:rFonts w:ascii="Times New Roman" w:hAnsi="Times New Roman"/>
                <w:lang w:val="sk-SK"/>
              </w:rPr>
            </w:pPr>
            <w:r w:rsidRPr="00842333">
              <w:rPr>
                <w:rFonts w:ascii="Times New Roman" w:hAnsi="Times New Roman"/>
                <w:b/>
                <w:bCs/>
                <w:lang w:val="sk-SK"/>
              </w:rPr>
              <w:t>Výdavky verejnej správy celkom</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lang w:val="sk-SK"/>
              </w:rPr>
              <w:t>-350 000</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lang w:val="sk-SK"/>
              </w:rPr>
              <w:t>0</w:t>
            </w:r>
          </w:p>
        </w:tc>
        <w:tc>
          <w:tcPr>
            <w:tcW w:w="13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lang w:val="sk-SK"/>
              </w:rPr>
              <w:t>0</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lang w:val="sk-SK"/>
              </w:rPr>
              <w:t>v tom: za každý subjekt verejnej správy / program zvlášť</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b/>
                <w:bCs/>
                <w:i/>
                <w:iCs/>
                <w:lang w:val="sk-SK"/>
              </w:rPr>
              <w:t xml:space="preserve">z toho: </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
                <w:iCs/>
                <w:lang w:val="sk-SK"/>
              </w:rPr>
              <w:t> </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
                <w:iCs/>
                <w:lang w:val="sk-SK"/>
              </w:rPr>
              <w:t> </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
                <w:iCs/>
                <w:lang w:val="sk-SK"/>
              </w:rPr>
              <w:t> </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
                <w:iCs/>
                <w:lang w:val="sk-SK"/>
              </w:rPr>
              <w:t> </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b/>
                <w:bCs/>
                <w:i/>
                <w:iCs/>
                <w:lang w:val="sk-SK"/>
              </w:rPr>
              <w:t>- vplyv na ŠR</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Cs/>
                <w:lang w:val="sk-SK"/>
              </w:rPr>
              <w:t>-350 000</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Cs/>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Cs/>
                <w:lang w:val="sk-SK"/>
              </w:rPr>
              <w:t>0</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iCs/>
                <w:lang w:val="sk-SK"/>
              </w:rPr>
              <w:t>0</w:t>
            </w:r>
          </w:p>
        </w:tc>
      </w:tr>
      <w:tr>
        <w:tblPrEx>
          <w:tblW w:w="10135"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rPr>
                <w:rFonts w:ascii="Times New Roman" w:hAnsi="Times New Roman"/>
                <w:lang w:val="sk-SK"/>
              </w:rPr>
            </w:pPr>
            <w:r w:rsidRPr="00842333">
              <w:rPr>
                <w:rFonts w:ascii="Times New Roman" w:hAnsi="Times New Roman"/>
                <w:b/>
                <w:bCs/>
                <w:i/>
                <w:iCs/>
                <w:lang w:val="sk-SK"/>
              </w:rPr>
              <w:t>- vplyv na územnú samosprávu</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125" w:lineRule="atLeast"/>
              <w:jc w:val="right"/>
              <w:rPr>
                <w:rFonts w:ascii="Times New Roman" w:hAnsi="Times New Roman"/>
                <w:lang w:val="sk-SK"/>
              </w:rPr>
            </w:pPr>
            <w:r w:rsidRPr="00842333">
              <w:rPr>
                <w:rFonts w:ascii="Times New Roman" w:hAnsi="Times New Roman"/>
                <w:b/>
                <w:bCs/>
                <w:iCs/>
                <w:lang w:val="sk-SK"/>
              </w:rPr>
              <w:t>0</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b/>
                <w:bCs/>
                <w:lang w:val="sk-SK"/>
              </w:rPr>
              <w:t xml:space="preserve">Celková zamestnanosť </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b/>
                <w:bCs/>
                <w:i/>
                <w:iCs/>
                <w:lang w:val="sk-SK"/>
              </w:rPr>
              <w:t>- z toho vplyv na ŠR</w:t>
            </w:r>
            <w:r w:rsidRPr="00842333">
              <w:rPr>
                <w:rFonts w:ascii="Times New Roman" w:hAnsi="Times New Roman"/>
                <w:lang w:val="sk-SK"/>
              </w:rPr>
              <w:t xml:space="preserve"> </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b/>
                <w:bCs/>
                <w:lang w:val="sk-SK"/>
              </w:rPr>
              <w:t>Financovanie zabezpečené v rozpočte</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c>
          <w:tcPr>
            <w:tcW w:w="13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b/>
                <w:bCs/>
                <w:lang w:val="sk-SK"/>
              </w:rPr>
              <w:t>0</w:t>
            </w:r>
          </w:p>
        </w:tc>
      </w:tr>
      <w:tr>
        <w:tblPrEx>
          <w:tblW w:w="10135"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rPr>
                <w:rFonts w:ascii="Times New Roman" w:hAnsi="Times New Roman"/>
                <w:lang w:val="sk-SK"/>
              </w:rPr>
            </w:pPr>
            <w:r w:rsidRPr="00842333">
              <w:rPr>
                <w:rFonts w:ascii="Times New Roman" w:hAnsi="Times New Roman"/>
                <w:lang w:val="sk-SK"/>
              </w:rPr>
              <w:t>v tom: za každý subjekt verejnej správy / program zvlášť</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c>
          <w:tcPr>
            <w:tcW w:w="1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842333" w:rsidP="00353260">
            <w:pPr>
              <w:bidi w:val="0"/>
              <w:spacing w:line="70" w:lineRule="atLeast"/>
              <w:jc w:val="right"/>
              <w:rPr>
                <w:rFonts w:ascii="Times New Roman" w:hAnsi="Times New Roman"/>
                <w:lang w:val="sk-SK"/>
              </w:rPr>
            </w:pPr>
            <w:r w:rsidRPr="00842333">
              <w:rPr>
                <w:rFonts w:ascii="Times New Roman" w:hAnsi="Times New Roman"/>
                <w:lang w:val="sk-SK"/>
              </w:rPr>
              <w:t>0</w:t>
            </w:r>
          </w:p>
        </w:tc>
      </w:tr>
      <w:tr>
        <w:tblPrEx>
          <w:tblW w:w="10135" w:type="dxa"/>
          <w:tblCellMar>
            <w:left w:w="0" w:type="dxa"/>
            <w:right w:w="0" w:type="dxa"/>
          </w:tblCellMar>
          <w:tblLook w:val="04A0"/>
        </w:tblPrEx>
        <w:tc>
          <w:tcPr>
            <w:tcW w:w="4661" w:type="dxa"/>
            <w:tcBorders>
              <w:top w:val="none" w:sz="0" w:space="0" w:color="auto"/>
              <w:left w:val="none" w:sz="0" w:space="0" w:color="auto"/>
              <w:bottom w:val="none" w:sz="0" w:space="0" w:color="auto"/>
              <w:right w:val="none" w:sz="0" w:space="0" w:color="auto"/>
            </w:tcBorders>
            <w:textDirection w:val="lrTb"/>
            <w:vAlign w:val="center"/>
          </w:tcPr>
          <w:p w:rsidR="00C102F4" w:rsidRPr="00842333" w:rsidP="00353260">
            <w:pPr>
              <w:bidi w:val="0"/>
              <w:spacing w:line="276" w:lineRule="auto"/>
              <w:rPr>
                <w:rFonts w:ascii="Times New Roman" w:hAnsi="Times New Roman"/>
                <w:sz w:val="2"/>
                <w:lang w:val="sk-SK"/>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C102F4" w:rsidRPr="00842333" w:rsidP="00353260">
            <w:pPr>
              <w:bidi w:val="0"/>
              <w:spacing w:line="276" w:lineRule="auto"/>
              <w:rPr>
                <w:rFonts w:ascii="Times New Roman" w:hAnsi="Times New Roman"/>
                <w:sz w:val="2"/>
                <w:lang w:val="sk-SK"/>
              </w:rPr>
            </w:pPr>
          </w:p>
        </w:tc>
        <w:tc>
          <w:tcPr>
            <w:tcW w:w="1267" w:type="dxa"/>
            <w:gridSpan w:val="2"/>
            <w:tcBorders>
              <w:top w:val="none" w:sz="0" w:space="0" w:color="auto"/>
              <w:left w:val="none" w:sz="0" w:space="0" w:color="auto"/>
              <w:bottom w:val="none" w:sz="0" w:space="0" w:color="auto"/>
              <w:right w:val="none" w:sz="0" w:space="0" w:color="auto"/>
            </w:tcBorders>
            <w:textDirection w:val="lrTb"/>
            <w:vAlign w:val="center"/>
          </w:tcPr>
          <w:p w:rsidR="00C102F4" w:rsidRPr="00842333" w:rsidP="00353260">
            <w:pPr>
              <w:bidi w:val="0"/>
              <w:spacing w:line="276" w:lineRule="auto"/>
              <w:rPr>
                <w:rFonts w:ascii="Times New Roman" w:hAnsi="Times New Roman"/>
                <w:sz w:val="2"/>
                <w:lang w:val="sk-SK"/>
              </w:rPr>
            </w:pPr>
          </w:p>
        </w:tc>
        <w:tc>
          <w:tcPr>
            <w:tcW w:w="1267" w:type="dxa"/>
            <w:gridSpan w:val="2"/>
            <w:tcBorders>
              <w:top w:val="none" w:sz="0" w:space="0" w:color="auto"/>
              <w:left w:val="none" w:sz="0" w:space="0" w:color="auto"/>
              <w:bottom w:val="none" w:sz="0" w:space="0" w:color="auto"/>
              <w:right w:val="none" w:sz="0" w:space="0" w:color="auto"/>
            </w:tcBorders>
            <w:textDirection w:val="lrTb"/>
            <w:vAlign w:val="center"/>
          </w:tcPr>
          <w:p w:rsidR="00C102F4" w:rsidRPr="00842333" w:rsidP="00353260">
            <w:pPr>
              <w:bidi w:val="0"/>
              <w:spacing w:line="276" w:lineRule="auto"/>
              <w:rPr>
                <w:rFonts w:ascii="Times New Roman" w:hAnsi="Times New Roman"/>
                <w:sz w:val="2"/>
                <w:lang w:val="sk-SK"/>
              </w:rPr>
            </w:pPr>
          </w:p>
        </w:tc>
        <w:tc>
          <w:tcPr>
            <w:tcW w:w="1673" w:type="dxa"/>
            <w:gridSpan w:val="2"/>
            <w:tcBorders>
              <w:top w:val="none" w:sz="0" w:space="0" w:color="auto"/>
              <w:left w:val="none" w:sz="0" w:space="0" w:color="auto"/>
              <w:bottom w:val="none" w:sz="0" w:space="0" w:color="auto"/>
              <w:right w:val="none" w:sz="0" w:space="0" w:color="auto"/>
            </w:tcBorders>
            <w:textDirection w:val="lrTb"/>
            <w:vAlign w:val="center"/>
          </w:tcPr>
          <w:p w:rsidR="00C102F4" w:rsidRPr="00842333" w:rsidP="00353260">
            <w:pPr>
              <w:bidi w:val="0"/>
              <w:spacing w:line="276" w:lineRule="auto"/>
              <w:rPr>
                <w:rFonts w:ascii="Times New Roman" w:hAnsi="Times New Roman"/>
                <w:sz w:val="2"/>
                <w:lang w:val="sk-SK"/>
              </w:rPr>
            </w:pPr>
          </w:p>
        </w:tc>
      </w:tr>
    </w:tbl>
    <w:p w:rsidR="00C102F4" w:rsidRPr="00842333" w:rsidP="00C102F4">
      <w:pPr>
        <w:bidi w:val="0"/>
        <w:rPr>
          <w:rFonts w:ascii="Times New Roman" w:hAnsi="Times New Roman"/>
          <w:lang w:val="sk-SK"/>
        </w:rPr>
      </w:pPr>
      <w:r w:rsidRPr="00842333">
        <w:rPr>
          <w:rFonts w:ascii="Times New Roman" w:hAnsi="Times New Roman"/>
          <w:lang w:val="sk-SK"/>
        </w:rPr>
        <w:t> </w:t>
      </w:r>
    </w:p>
    <w:p w:rsidR="00C102F4" w:rsidRPr="00842333" w:rsidP="00C102F4">
      <w:pPr>
        <w:bidi w:val="0"/>
        <w:rPr>
          <w:rFonts w:ascii="Times New Roman" w:hAnsi="Times New Roman"/>
          <w:bCs/>
          <w:lang w:val="sk-SK"/>
        </w:rPr>
      </w:pPr>
      <w:r w:rsidRPr="00842333">
        <w:rPr>
          <w:rFonts w:ascii="Times New Roman" w:hAnsi="Times New Roman"/>
          <w:b/>
          <w:bCs/>
          <w:lang w:val="sk-SK"/>
        </w:rPr>
        <w:t xml:space="preserve">2.2. Financovanie návrhu - </w:t>
      </w:r>
      <w:r w:rsidRPr="00842333">
        <w:rPr>
          <w:rFonts w:ascii="Times New Roman" w:hAnsi="Times New Roman"/>
          <w:bCs/>
          <w:lang w:val="sk-SK"/>
        </w:rPr>
        <w:t>bezpredmetné</w:t>
      </w:r>
    </w:p>
    <w:p w:rsidR="00C102F4" w:rsidRPr="00842333" w:rsidP="00C102F4">
      <w:pPr>
        <w:bidi w:val="0"/>
        <w:rPr>
          <w:rFonts w:ascii="Times New Roman" w:hAnsi="Times New Roman"/>
          <w:b/>
          <w:bCs/>
          <w:lang w:val="sk-SK"/>
        </w:rPr>
      </w:pPr>
    </w:p>
    <w:p w:rsidR="00C102F4" w:rsidRPr="00842333" w:rsidP="00C102F4">
      <w:pPr>
        <w:bidi w:val="0"/>
        <w:rPr>
          <w:rFonts w:ascii="Times New Roman" w:hAnsi="Times New Roman"/>
          <w:lang w:val="sk-SK"/>
        </w:rPr>
      </w:pPr>
      <w:r w:rsidRPr="00842333">
        <w:rPr>
          <w:rFonts w:ascii="Times New Roman" w:hAnsi="Times New Roman"/>
          <w:b/>
          <w:bCs/>
          <w:lang w:val="sk-SK"/>
        </w:rPr>
        <w:t xml:space="preserve">2.3. Popis a charakteristika návrhu - </w:t>
      </w:r>
      <w:r w:rsidRPr="00842333">
        <w:rPr>
          <w:rFonts w:ascii="Times New Roman" w:hAnsi="Times New Roman"/>
          <w:bCs/>
          <w:lang w:val="sk-SK"/>
        </w:rPr>
        <w:t>bezpredmetné</w:t>
      </w:r>
    </w:p>
    <w:p w:rsidR="00C102F4" w:rsidRPr="00842333" w:rsidP="00C102F4">
      <w:pPr>
        <w:bidi w:val="0"/>
        <w:rPr>
          <w:rFonts w:ascii="Times New Roman" w:hAnsi="Times New Roman"/>
          <w:lang w:val="sk-SK"/>
        </w:rPr>
      </w:pPr>
    </w:p>
    <w:p w:rsidR="00C102F4" w:rsidRPr="00842333" w:rsidP="00C102F4">
      <w:pPr>
        <w:bidi w:val="0"/>
        <w:jc w:val="both"/>
        <w:rPr>
          <w:rFonts w:ascii="Times New Roman" w:hAnsi="Times New Roman"/>
          <w:lang w:val="sk-SK"/>
        </w:rPr>
      </w:pPr>
      <w:r w:rsidRPr="00842333">
        <w:rPr>
          <w:rFonts w:ascii="Times New Roman" w:hAnsi="Times New Roman"/>
          <w:b/>
          <w:bCs/>
          <w:lang w:val="sk-SK"/>
        </w:rPr>
        <w:t>2.3.1. Popis návrhu:</w:t>
      </w:r>
    </w:p>
    <w:p w:rsidR="00C102F4" w:rsidRPr="00842333" w:rsidP="00C102F4">
      <w:pPr>
        <w:bidi w:val="0"/>
        <w:ind w:firstLine="708"/>
        <w:jc w:val="both"/>
        <w:rPr>
          <w:rFonts w:ascii="Times New Roman" w:hAnsi="Times New Roman"/>
          <w:szCs w:val="22"/>
          <w:lang w:val="sk-SK"/>
        </w:rPr>
      </w:pPr>
    </w:p>
    <w:p w:rsidR="005F59BE" w:rsidRPr="00842333" w:rsidP="001C7280">
      <w:pPr>
        <w:bidi w:val="0"/>
        <w:ind w:firstLine="708"/>
        <w:jc w:val="both"/>
        <w:rPr>
          <w:rFonts w:ascii="Times New Roman" w:hAnsi="Times New Roman"/>
          <w:lang w:val="sk-SK"/>
        </w:rPr>
      </w:pPr>
      <w:r w:rsidRPr="00842333" w:rsidR="001C7280">
        <w:rPr>
          <w:rFonts w:ascii="Times New Roman" w:hAnsi="Times New Roman"/>
          <w:lang w:val="sk-SK"/>
        </w:rPr>
        <w:t xml:space="preserve">Vzhľadom na každoročne sa znižujúci rozpočet výdavkov pre podprogram 06H01 Ministerstvo hospodárstva SR hľadalo možnosti, ako znížiť výdavky hospodárskej mobilizácie pri súčasnom zabezpečení plnenia všetkých úloh hospodárskej mobilizácie ako aj platných právnych predpisov v tejto </w:t>
      </w:r>
      <w:r w:rsidRPr="00842333" w:rsidR="009A21AA">
        <w:rPr>
          <w:rFonts w:ascii="Times New Roman" w:hAnsi="Times New Roman"/>
          <w:lang w:val="sk-SK"/>
        </w:rPr>
        <w:t>oblasti</w:t>
      </w:r>
      <w:r w:rsidRPr="00842333" w:rsidR="001C7280">
        <w:rPr>
          <w:rFonts w:ascii="Times New Roman" w:hAnsi="Times New Roman"/>
          <w:lang w:val="sk-SK"/>
        </w:rPr>
        <w:t xml:space="preserve">. Ministerstvo hospodárstva SR sa nemôže zbaviť svojej zodpovednosti za majetok štátu a musí zabezpečiť potrebný servis, údržbu a iné činnosti, aby bol </w:t>
      </w:r>
      <w:r w:rsidRPr="00842333">
        <w:rPr>
          <w:rFonts w:ascii="Times New Roman" w:hAnsi="Times New Roman"/>
          <w:lang w:val="sk-SK"/>
        </w:rPr>
        <w:t>majetok štátu, ktorého je správcom, prevádzkyschopný.</w:t>
      </w:r>
    </w:p>
    <w:p w:rsidR="001C7280" w:rsidRPr="00842333" w:rsidP="001C7280">
      <w:pPr>
        <w:bidi w:val="0"/>
        <w:ind w:firstLine="708"/>
        <w:jc w:val="both"/>
        <w:rPr>
          <w:rFonts w:ascii="Times New Roman" w:hAnsi="Times New Roman"/>
          <w:szCs w:val="22"/>
          <w:lang w:val="sk-SK"/>
        </w:rPr>
      </w:pPr>
      <w:r w:rsidRPr="00842333">
        <w:rPr>
          <w:rFonts w:ascii="Times New Roman" w:hAnsi="Times New Roman"/>
          <w:lang w:val="sk-SK"/>
        </w:rPr>
        <w:t>Jednou z možností šetrenia finančných prostriedkov je aj umožnenie prevodu majetku štátu určeného na účely hospodárskej mobilizácie za stanovených podmienok, aby náklady na servis</w:t>
      </w:r>
      <w:r w:rsidRPr="00842333" w:rsidR="005F59BE">
        <w:rPr>
          <w:rFonts w:ascii="Times New Roman" w:hAnsi="Times New Roman"/>
          <w:lang w:val="sk-SK"/>
        </w:rPr>
        <w:t xml:space="preserve"> </w:t>
      </w:r>
      <w:r w:rsidRPr="00842333">
        <w:rPr>
          <w:rFonts w:ascii="Times New Roman" w:hAnsi="Times New Roman"/>
          <w:lang w:val="sk-SK"/>
        </w:rPr>
        <w:t xml:space="preserve">tohto majetku </w:t>
      </w:r>
      <w:r w:rsidRPr="00842333" w:rsidR="005F59BE">
        <w:rPr>
          <w:rFonts w:ascii="Times New Roman" w:hAnsi="Times New Roman"/>
          <w:lang w:val="sk-SK"/>
        </w:rPr>
        <w:t xml:space="preserve">a iné činnosti s ním súvisiace </w:t>
      </w:r>
      <w:r w:rsidRPr="00842333">
        <w:rPr>
          <w:rFonts w:ascii="Times New Roman" w:hAnsi="Times New Roman"/>
          <w:lang w:val="sk-SK"/>
        </w:rPr>
        <w:t>znášal nový vlastník.</w:t>
      </w:r>
    </w:p>
    <w:p w:rsidR="00C102F4" w:rsidRPr="00842333" w:rsidP="00C102F4">
      <w:pPr>
        <w:bidi w:val="0"/>
        <w:ind w:firstLine="708"/>
        <w:jc w:val="both"/>
        <w:rPr>
          <w:rFonts w:ascii="Times New Roman" w:hAnsi="Times New Roman"/>
          <w:szCs w:val="22"/>
          <w:lang w:val="sk-SK"/>
        </w:rPr>
      </w:pPr>
      <w:r w:rsidRPr="00842333">
        <w:rPr>
          <w:rFonts w:ascii="Times New Roman" w:hAnsi="Times New Roman"/>
          <w:szCs w:val="22"/>
          <w:lang w:val="sk-SK"/>
        </w:rPr>
        <w:t xml:space="preserve">Schválením návrhu zákona sa umožní prevod majetku štátu určeného na účely hospodárskej mobilizácie do vlastníctva subjektu hospodárskej mobilizácie, ktorý je v stopercentnom vlastníctve štátu, pričom takto prevedený majetok musí aj naďalej slúžiť na účely hospodárskej mobilizácie. Správca majetku štátu </w:t>
      </w:r>
      <w:r w:rsidRPr="00842333" w:rsidR="001C7280">
        <w:rPr>
          <w:rFonts w:ascii="Times New Roman" w:hAnsi="Times New Roman"/>
          <w:szCs w:val="22"/>
          <w:lang w:val="sk-SK"/>
        </w:rPr>
        <w:t xml:space="preserve">(Ministerstvo hospodárstva SR) </w:t>
      </w:r>
      <w:r w:rsidRPr="00842333">
        <w:rPr>
          <w:rFonts w:ascii="Times New Roman" w:hAnsi="Times New Roman"/>
          <w:szCs w:val="22"/>
          <w:lang w:val="sk-SK"/>
        </w:rPr>
        <w:t>takto ušetrí finančné prostriedky, nakoľko náklady na servis, údržbu, odborné prehliadky a odborné skúšky zariadení, ktoré sú súčasťou tohto majetku, bude znášať nový vlastník.</w:t>
      </w:r>
    </w:p>
    <w:p w:rsidR="001C7280" w:rsidRPr="00842333" w:rsidP="001C7280">
      <w:pPr>
        <w:bidi w:val="0"/>
        <w:ind w:firstLine="709"/>
        <w:jc w:val="both"/>
        <w:rPr>
          <w:rFonts w:ascii="Times New Roman" w:hAnsi="Times New Roman"/>
          <w:lang w:val="sk-SK"/>
        </w:rPr>
      </w:pPr>
      <w:r w:rsidRPr="00842333">
        <w:rPr>
          <w:rFonts w:ascii="Times New Roman" w:hAnsi="Times New Roman"/>
          <w:lang w:val="sk-SK"/>
        </w:rPr>
        <w:t>V rozpočte kapitoly Ministerstva hospodárstva SR na rok 2015 sú schválené iba kapitálové výdavky na podprogram 06H01 Hospodárska mobilizácia MH SR</w:t>
      </w:r>
      <w:r w:rsidRPr="00842333" w:rsidR="005F59BE">
        <w:rPr>
          <w:rFonts w:ascii="Times New Roman" w:hAnsi="Times New Roman"/>
          <w:lang w:val="sk-SK"/>
        </w:rPr>
        <w:t>. V</w:t>
      </w:r>
      <w:r w:rsidRPr="00842333">
        <w:rPr>
          <w:rFonts w:ascii="Times New Roman" w:hAnsi="Times New Roman"/>
          <w:lang w:val="sk-SK"/>
        </w:rPr>
        <w:t> súvislosti s prednostnou potrebou zabezpečenia bežných výdavkov na plnenie špecifických úloh hospodárskej mobilizácie Ministerstvo hospodárstva SR predkladá materiál na rokovanie vlády SR so žiadosťou o zmenu účelu použitia finančných prostriedkov pôvodne určených ako kapitálové výdavky na bežné výdavky podprogramu 06H01 Hospodárska mobilizácia MH SR</w:t>
      </w:r>
      <w:r w:rsidRPr="00842333" w:rsidR="0088067C">
        <w:rPr>
          <w:rFonts w:ascii="Times New Roman" w:hAnsi="Times New Roman"/>
          <w:lang w:val="sk-SK"/>
        </w:rPr>
        <w:t>, v rámci ktorého dôjde k úspore finančných prostriedkov</w:t>
      </w:r>
      <w:r w:rsidRPr="00842333">
        <w:rPr>
          <w:rFonts w:ascii="Times New Roman" w:hAnsi="Times New Roman"/>
          <w:lang w:val="sk-SK"/>
        </w:rPr>
        <w:t>.</w:t>
      </w:r>
    </w:p>
    <w:p w:rsidR="00C102F4" w:rsidRPr="00F165AC" w:rsidP="00C102F4">
      <w:pPr>
        <w:bidi w:val="0"/>
        <w:ind w:firstLine="708"/>
        <w:jc w:val="both"/>
        <w:rPr>
          <w:rFonts w:ascii="Times New Roman" w:hAnsi="Times New Roman"/>
          <w:szCs w:val="22"/>
          <w:lang w:val="sk-SK"/>
        </w:rPr>
      </w:pPr>
    </w:p>
    <w:p w:rsidR="00C102F4" w:rsidRPr="00F165AC" w:rsidP="00C102F4">
      <w:pPr>
        <w:bidi w:val="0"/>
        <w:rPr>
          <w:rFonts w:ascii="Times New Roman" w:hAnsi="Times New Roman"/>
          <w:lang w:val="sk-SK"/>
        </w:rPr>
      </w:pPr>
      <w:r w:rsidRPr="00F165AC">
        <w:rPr>
          <w:rFonts w:ascii="Times New Roman" w:hAnsi="Times New Roman"/>
          <w:b/>
          <w:bCs/>
          <w:lang w:val="sk-SK"/>
        </w:rPr>
        <w:t xml:space="preserve">2.3.2. Charakteristika návrhu podľa bodu 2.3.2. Metodiky: - </w:t>
      </w:r>
      <w:r w:rsidRPr="00F165AC">
        <w:rPr>
          <w:rFonts w:ascii="Times New Roman" w:hAnsi="Times New Roman"/>
          <w:bCs/>
          <w:lang w:val="sk-SK"/>
        </w:rPr>
        <w:t>bezpredmetné</w:t>
      </w:r>
    </w:p>
    <w:p w:rsidR="00C102F4" w:rsidRPr="00F165AC" w:rsidP="00C102F4">
      <w:pPr>
        <w:bidi w:val="0"/>
        <w:rPr>
          <w:rFonts w:ascii="Times New Roman" w:hAnsi="Times New Roman"/>
          <w:lang w:val="sk-SK"/>
        </w:rPr>
      </w:pPr>
    </w:p>
    <w:p w:rsidR="00C102F4" w:rsidRPr="00F165AC" w:rsidP="00C102F4">
      <w:pPr>
        <w:bidi w:val="0"/>
        <w:rPr>
          <w:rFonts w:ascii="Times New Roman" w:hAnsi="Times New Roman"/>
          <w:bCs/>
          <w:lang w:val="sk-SK"/>
        </w:rPr>
      </w:pPr>
      <w:r w:rsidRPr="00F165AC">
        <w:rPr>
          <w:rFonts w:ascii="Times New Roman" w:hAnsi="Times New Roman"/>
          <w:b/>
          <w:bCs/>
          <w:lang w:val="sk-SK"/>
        </w:rPr>
        <w:t xml:space="preserve">2.3.3. Predpoklady vývoja objemu aktivít: - </w:t>
      </w:r>
      <w:r w:rsidRPr="00F165AC">
        <w:rPr>
          <w:rFonts w:ascii="Times New Roman" w:hAnsi="Times New Roman"/>
          <w:bCs/>
          <w:lang w:val="sk-SK"/>
        </w:rPr>
        <w:t>bezpredmetné</w:t>
      </w:r>
    </w:p>
    <w:p w:rsidR="00C102F4" w:rsidRPr="00F165AC" w:rsidP="00C102F4">
      <w:pPr>
        <w:bidi w:val="0"/>
        <w:rPr>
          <w:rFonts w:ascii="Times New Roman" w:hAnsi="Times New Roman"/>
          <w:lang w:val="sk-SK"/>
        </w:rPr>
      </w:pPr>
    </w:p>
    <w:p w:rsidR="00C102F4" w:rsidRPr="00F165AC" w:rsidP="00C102F4">
      <w:pPr>
        <w:bidi w:val="0"/>
        <w:ind w:firstLine="708"/>
        <w:jc w:val="both"/>
        <w:rPr>
          <w:rFonts w:ascii="Times New Roman" w:hAnsi="Times New Roman"/>
          <w:lang w:val="sk-SK"/>
        </w:rPr>
      </w:pPr>
    </w:p>
    <w:p w:rsidR="00C102F4" w:rsidRPr="00F165AC" w:rsidP="00C102F4">
      <w:pPr>
        <w:bidi w:val="0"/>
        <w:ind w:firstLine="708"/>
        <w:jc w:val="both"/>
        <w:rPr>
          <w:rFonts w:ascii="Times New Roman" w:hAnsi="Times New Roman"/>
          <w:lang w:val="sk-SK"/>
        </w:rPr>
        <w:sectPr w:rsidSect="00353260">
          <w:pgSz w:w="12240" w:h="15840"/>
          <w:pgMar w:top="1134" w:right="1183" w:bottom="1418" w:left="1134" w:header="709" w:footer="343" w:gutter="0"/>
          <w:lnNumType w:distance="0"/>
          <w:cols w:space="708"/>
          <w:noEndnote w:val="0"/>
          <w:bidi w:val="0"/>
          <w:docGrid w:linePitch="326"/>
        </w:sectPr>
      </w:pPr>
    </w:p>
    <w:p w:rsidR="00C102F4" w:rsidRPr="00F165AC" w:rsidP="00C102F4">
      <w:pPr>
        <w:keepNext/>
        <w:bidi w:val="0"/>
        <w:rPr>
          <w:rFonts w:ascii="Times New Roman" w:hAnsi="Times New Roman"/>
          <w:lang w:val="sk-SK"/>
        </w:rPr>
      </w:pPr>
      <w:r w:rsidRPr="00F165AC">
        <w:rPr>
          <w:rFonts w:ascii="Times New Roman" w:hAnsi="Times New Roman"/>
          <w:b/>
          <w:bCs/>
          <w:lang w:val="sk-SK"/>
        </w:rPr>
        <w:t>2.3.4. Výpočty vplyvov na verejné financie</w:t>
      </w:r>
    </w:p>
    <w:p w:rsidR="00C102F4" w:rsidRPr="00F165AC" w:rsidP="00C102F4">
      <w:pPr>
        <w:keepNext/>
        <w:bidi w:val="0"/>
        <w:rPr>
          <w:rFonts w:ascii="Times New Roman" w:hAnsi="Times New Roman"/>
          <w:lang w:val="sk-SK"/>
        </w:rPr>
      </w:pPr>
    </w:p>
    <w:p w:rsidR="00C102F4" w:rsidRPr="00842333" w:rsidP="00C102F4">
      <w:pPr>
        <w:bidi w:val="0"/>
        <w:spacing w:after="120"/>
        <w:ind w:firstLine="709"/>
        <w:jc w:val="both"/>
        <w:rPr>
          <w:rFonts w:ascii="Times New Roman" w:hAnsi="Times New Roman"/>
          <w:szCs w:val="22"/>
          <w:lang w:val="sk-SK"/>
        </w:rPr>
      </w:pPr>
      <w:r w:rsidRPr="00F165AC">
        <w:rPr>
          <w:rFonts w:ascii="Times New Roman" w:hAnsi="Times New Roman"/>
          <w:szCs w:val="22"/>
          <w:lang w:val="sk-SK"/>
        </w:rPr>
        <w:t xml:space="preserve">Cieľom návrhu je znížiť objem výdavkov na hospodársku mobilizáciu v oblasti servisu, údržby, odborných prehliadok a odborných skúšok majetku </w:t>
      </w:r>
      <w:r w:rsidRPr="00842333">
        <w:rPr>
          <w:rFonts w:ascii="Times New Roman" w:hAnsi="Times New Roman"/>
          <w:szCs w:val="22"/>
          <w:lang w:val="sk-SK"/>
        </w:rPr>
        <w:t>štátu určeného na účely hospodárskej mobilizácie</w:t>
      </w:r>
      <w:r w:rsidRPr="00842333">
        <w:rPr>
          <w:rFonts w:ascii="Times New Roman" w:hAnsi="Times New Roman"/>
          <w:lang w:val="sk-SK"/>
        </w:rPr>
        <w:t xml:space="preserve"> v integrovaných bezpečnostných systémoch v objektoch osobitnej dôležitosti, ktoré sú subjektmi </w:t>
      </w:r>
      <w:r w:rsidRPr="00842333">
        <w:rPr>
          <w:rFonts w:ascii="Times New Roman" w:hAnsi="Times New Roman"/>
          <w:szCs w:val="22"/>
          <w:lang w:val="sk-SK"/>
        </w:rPr>
        <w:t>hospodárskej mobilizácie.</w:t>
      </w:r>
    </w:p>
    <w:p w:rsidR="00C102F4" w:rsidRPr="00842333" w:rsidP="00C102F4">
      <w:pPr>
        <w:bidi w:val="0"/>
        <w:ind w:firstLine="708"/>
        <w:jc w:val="both"/>
        <w:rPr>
          <w:rFonts w:ascii="Times New Roman" w:hAnsi="Times New Roman"/>
          <w:szCs w:val="22"/>
          <w:lang w:val="sk-SK"/>
        </w:rPr>
      </w:pPr>
      <w:r w:rsidRPr="00842333">
        <w:rPr>
          <w:rFonts w:ascii="Times New Roman" w:hAnsi="Times New Roman"/>
          <w:szCs w:val="22"/>
          <w:lang w:val="sk-SK"/>
        </w:rPr>
        <w:t>V</w:t>
      </w:r>
      <w:r w:rsidRPr="00842333" w:rsidR="001C7280">
        <w:rPr>
          <w:rFonts w:ascii="Times New Roman" w:hAnsi="Times New Roman"/>
          <w:szCs w:val="22"/>
          <w:lang w:val="sk-SK"/>
        </w:rPr>
        <w:t xml:space="preserve"> rozpočtovej </w:t>
      </w:r>
      <w:r w:rsidRPr="00842333">
        <w:rPr>
          <w:rFonts w:ascii="Times New Roman" w:hAnsi="Times New Roman"/>
          <w:szCs w:val="22"/>
          <w:lang w:val="sk-SK"/>
        </w:rPr>
        <w:t xml:space="preserve">kapitole Ministerstva hospodárstva SR sa v roku </w:t>
      </w:r>
      <w:r w:rsidRPr="00842333" w:rsidR="001C7280">
        <w:rPr>
          <w:rFonts w:ascii="Times New Roman" w:hAnsi="Times New Roman"/>
          <w:szCs w:val="22"/>
          <w:lang w:val="sk-SK"/>
        </w:rPr>
        <w:t xml:space="preserve">2015 </w:t>
      </w:r>
      <w:r w:rsidRPr="00842333">
        <w:rPr>
          <w:rFonts w:ascii="Times New Roman" w:hAnsi="Times New Roman"/>
          <w:szCs w:val="22"/>
          <w:lang w:val="sk-SK"/>
        </w:rPr>
        <w:t xml:space="preserve">predpokladá zníženie výdavkov cca o 350 000 Eur. Iné rezorty, ktoré sú subjektmi hospodárskej mobilizácie, nemajú vo svojej správe majetok určený na účely hospodárskej mobilizácie, kde by boli splnené požadované podmienky bezplatného prevodu so správcu majetku štátu na iného vlastníka. Náklady ušetrené v tejto oblasti môžu byť efektívnejšie využité na iné </w:t>
      </w:r>
      <w:r w:rsidRPr="00842333" w:rsidR="001C7280">
        <w:rPr>
          <w:rFonts w:ascii="Times New Roman" w:hAnsi="Times New Roman"/>
          <w:szCs w:val="22"/>
          <w:lang w:val="sk-SK"/>
        </w:rPr>
        <w:t xml:space="preserve">účely </w:t>
      </w:r>
      <w:r w:rsidRPr="00842333" w:rsidR="00EF51C5">
        <w:rPr>
          <w:rFonts w:ascii="Times New Roman" w:hAnsi="Times New Roman"/>
          <w:szCs w:val="22"/>
          <w:lang w:val="sk-SK"/>
        </w:rPr>
        <w:t xml:space="preserve">v oblasti </w:t>
      </w:r>
      <w:r w:rsidRPr="00842333">
        <w:rPr>
          <w:rFonts w:ascii="Times New Roman" w:hAnsi="Times New Roman"/>
          <w:szCs w:val="22"/>
          <w:lang w:val="sk-SK"/>
        </w:rPr>
        <w:t>hospodárskej mobilizácie.</w:t>
      </w:r>
    </w:p>
    <w:p w:rsidR="00C102F4" w:rsidRPr="00F165AC" w:rsidP="00C102F4">
      <w:pPr>
        <w:pStyle w:val="NormalWeb"/>
        <w:bidi w:val="0"/>
        <w:spacing w:before="0" w:beforeAutospacing="0" w:after="0" w:afterAutospacing="0"/>
        <w:jc w:val="right"/>
        <w:rPr>
          <w:rFonts w:ascii="Times New Roman" w:hAnsi="Times New Roman"/>
        </w:rPr>
      </w:pPr>
      <w:r w:rsidRPr="00F165AC">
        <w:rPr>
          <w:rFonts w:ascii="Times New Roman" w:hAnsi="Times New Roman"/>
        </w:rPr>
        <w:t>Tabuľka č. 5</w:t>
      </w:r>
    </w:p>
    <w:tbl>
      <w:tblPr>
        <w:tblStyle w:val="TableNormal"/>
        <w:tblW w:w="14453" w:type="dxa"/>
        <w:tblInd w:w="-72" w:type="dxa"/>
        <w:tblCellMar>
          <w:left w:w="0" w:type="dxa"/>
          <w:right w:w="0" w:type="dxa"/>
        </w:tblCellMar>
        <w:tblLook w:val="04A0"/>
      </w:tblPr>
      <w:tblGrid>
        <w:gridCol w:w="6622"/>
        <w:gridCol w:w="1540"/>
        <w:gridCol w:w="1540"/>
        <w:gridCol w:w="1540"/>
        <w:gridCol w:w="1540"/>
        <w:gridCol w:w="1671"/>
      </w:tblGrid>
      <w:tr>
        <w:tblPrEx>
          <w:tblW w:w="14453" w:type="dxa"/>
          <w:tblInd w:w="-72" w:type="dxa"/>
          <w:tblCellMar>
            <w:left w:w="0" w:type="dxa"/>
            <w:right w:w="0" w:type="dxa"/>
          </w:tblCellMar>
          <w:tblLook w:val="04A0"/>
        </w:tblPrEx>
        <w:trPr>
          <w:trHeight w:val="255"/>
        </w:trPr>
        <w:tc>
          <w:tcPr>
            <w:tcW w:w="662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102F4" w:rsidRPr="00F165AC" w:rsidP="00353260">
            <w:pPr>
              <w:pStyle w:val="NormalWeb"/>
              <w:bidi w:val="0"/>
              <w:spacing w:before="0" w:beforeAutospacing="0" w:after="0" w:afterAutospacing="0" w:line="276" w:lineRule="auto"/>
              <w:jc w:val="center"/>
              <w:rPr>
                <w:rFonts w:ascii="Times New Roman" w:hAnsi="Times New Roman"/>
              </w:rPr>
            </w:pPr>
            <w:r w:rsidRPr="00F165AC">
              <w:rPr>
                <w:rFonts w:ascii="Times New Roman" w:hAnsi="Times New Roman"/>
                <w:b/>
                <w:bCs/>
                <w:color w:val="FFFFFF"/>
                <w:sz w:val="20"/>
                <w:szCs w:val="20"/>
              </w:rPr>
              <w:t>Výdavky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rPr>
            </w:pPr>
            <w:r w:rsidRPr="00F165AC">
              <w:rPr>
                <w:rFonts w:ascii="Times New Roman" w:hAnsi="Times New Roman"/>
                <w:b/>
                <w:bCs/>
                <w:color w:val="FFFFFF"/>
                <w:sz w:val="20"/>
                <w:szCs w:val="20"/>
              </w:rPr>
              <w:t>Vplyv na rozpočet verejnej správy</w:t>
            </w:r>
          </w:p>
        </w:tc>
        <w:tc>
          <w:tcPr>
            <w:tcW w:w="167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102F4" w:rsidRPr="00F165AC" w:rsidP="00353260">
            <w:pPr>
              <w:pStyle w:val="NormalWeb"/>
              <w:bidi w:val="0"/>
              <w:spacing w:before="0" w:beforeAutospacing="0" w:after="0" w:afterAutospacing="0" w:line="276" w:lineRule="auto"/>
              <w:jc w:val="center"/>
              <w:rPr>
                <w:rFonts w:ascii="Times New Roman" w:hAnsi="Times New Roman"/>
                <w:b/>
                <w:bCs/>
                <w:color w:val="FFFFFF"/>
                <w:sz w:val="20"/>
                <w:szCs w:val="20"/>
              </w:rPr>
            </w:pPr>
            <w:r w:rsidRPr="00F165AC">
              <w:rPr>
                <w:rFonts w:ascii="Times New Roman" w:hAnsi="Times New Roman"/>
                <w:b/>
                <w:bCs/>
                <w:color w:val="FFFFFF"/>
                <w:sz w:val="20"/>
                <w:szCs w:val="20"/>
              </w:rPr>
              <w:t>poznámka</w:t>
            </w:r>
          </w:p>
        </w:tc>
      </w:tr>
      <w:tr>
        <w:tblPrEx>
          <w:tblW w:w="14453" w:type="dxa"/>
          <w:tblInd w:w="-72" w:type="dxa"/>
          <w:tblCellMar>
            <w:left w:w="0" w:type="dxa"/>
            <w:right w:w="0" w:type="dxa"/>
          </w:tblCellMar>
          <w:tblLook w:val="04A0"/>
        </w:tblPrEx>
        <w:trPr>
          <w:trHeight w:val="197"/>
        </w:trPr>
        <w:tc>
          <w:tcPr>
            <w:tcW w:w="6622" w:type="dxa"/>
            <w:vMerge/>
            <w:tcBorders>
              <w:top w:val="single" w:sz="4" w:space="0" w:color="000000"/>
              <w:left w:val="single" w:sz="4" w:space="0" w:color="000000"/>
              <w:bottom w:val="single" w:sz="4" w:space="0" w:color="000000"/>
              <w:right w:val="single" w:sz="4" w:space="0" w:color="000000"/>
            </w:tcBorders>
            <w:textDirection w:val="lrTb"/>
            <w:vAlign w:val="center"/>
          </w:tcPr>
          <w:p w:rsidR="00C102F4" w:rsidRPr="00F165AC" w:rsidP="00353260">
            <w:pPr>
              <w:bidi w:val="0"/>
              <w:rPr>
                <w:rFonts w:ascii="Times New Roman" w:hAnsi="Times New Roman"/>
                <w:lang w:val="sk-SK"/>
              </w:rPr>
            </w:pP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rPr>
            </w:pPr>
            <w:r w:rsidRPr="00F165AC">
              <w:rPr>
                <w:rFonts w:ascii="Times New Roman" w:hAnsi="Times New Roman"/>
                <w:b/>
                <w:bCs/>
                <w:color w:val="FFFFFF"/>
                <w:sz w:val="20"/>
                <w:szCs w:val="20"/>
              </w:rPr>
              <w:t>2015</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rPr>
            </w:pPr>
            <w:r w:rsidRPr="00F165AC">
              <w:rPr>
                <w:rFonts w:ascii="Times New Roman" w:hAnsi="Times New Roman"/>
                <w:b/>
                <w:bCs/>
                <w:color w:val="FFFFFF"/>
                <w:sz w:val="20"/>
                <w:szCs w:val="20"/>
              </w:rPr>
              <w:t>2016</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rPr>
            </w:pPr>
            <w:r w:rsidRPr="00F165AC">
              <w:rPr>
                <w:rFonts w:ascii="Times New Roman" w:hAnsi="Times New Roman"/>
                <w:b/>
                <w:bCs/>
                <w:color w:val="FFFFFF"/>
                <w:sz w:val="20"/>
                <w:szCs w:val="20"/>
              </w:rPr>
              <w:t>2017</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b/>
                <w:bCs/>
                <w:color w:val="FFFFFF"/>
                <w:sz w:val="20"/>
                <w:szCs w:val="20"/>
              </w:rPr>
            </w:pPr>
            <w:r w:rsidRPr="00F165AC">
              <w:rPr>
                <w:rFonts w:ascii="Times New Roman" w:hAnsi="Times New Roman"/>
                <w:b/>
                <w:bCs/>
                <w:color w:val="FFFFFF"/>
                <w:sz w:val="20"/>
                <w:szCs w:val="20"/>
              </w:rPr>
              <w:t>2018</w:t>
            </w:r>
          </w:p>
        </w:tc>
        <w:tc>
          <w:tcPr>
            <w:tcW w:w="1671" w:type="dxa"/>
            <w:vMerge/>
            <w:tcBorders>
              <w:top w:val="single" w:sz="4" w:space="0" w:color="000000"/>
              <w:left w:val="single" w:sz="4" w:space="0" w:color="000000"/>
              <w:bottom w:val="single" w:sz="4" w:space="0" w:color="000000"/>
              <w:right w:val="single" w:sz="4" w:space="0" w:color="000000"/>
            </w:tcBorders>
            <w:textDirection w:val="lrTb"/>
            <w:vAlign w:val="center"/>
          </w:tcPr>
          <w:p w:rsidR="00C102F4" w:rsidRPr="00F165AC" w:rsidP="00353260">
            <w:pPr>
              <w:bidi w:val="0"/>
              <w:rPr>
                <w:rFonts w:ascii="Times New Roman" w:hAnsi="Times New Roman"/>
                <w:lang w:val="sk-SK"/>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b/>
                <w:bCs/>
                <w:sz w:val="20"/>
                <w:szCs w:val="20"/>
              </w:rPr>
              <w:t>Bežné výdavky (600)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-350 000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Mzdy, platy, služobné príjmy a ostatné osobné vyrovnania (610)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Poistné a príspevok do poisťovní (620)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Tovary a služby (630)</w:t>
            </w:r>
            <w:r w:rsidRPr="00F165AC">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-350 000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Služby (637)</w:t>
            </w:r>
            <w:r w:rsidRPr="00F165AC">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-350 000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Náhrada nákladov hospodárskej mobilizácie a intervenčných zásob (637 008)</w:t>
            </w:r>
            <w:r w:rsidRPr="00F165AC">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-350 000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Bežné transfery (640)</w:t>
            </w:r>
            <w:r w:rsidRPr="00F165AC">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Splácanie úrokov a ostatné platby súvisiace s úvermi, pôžičkami a NFV (650)</w:t>
            </w:r>
            <w:r w:rsidRPr="00F165AC">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b/>
                <w:bCs/>
                <w:sz w:val="20"/>
                <w:szCs w:val="20"/>
              </w:rPr>
              <w:t>Kapitálové výdavky (700)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Obstarávanie kapitálových aktív (710)</w:t>
            </w:r>
            <w:r w:rsidRPr="00F165AC">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Kapitálové transfery (720)</w:t>
            </w:r>
            <w:r w:rsidRPr="00F165AC">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spacing w:val="-8"/>
              </w:rPr>
            </w:pPr>
            <w:r w:rsidRPr="00F165AC">
              <w:rPr>
                <w:rFonts w:ascii="Times New Roman" w:hAnsi="Times New Roman"/>
                <w:b/>
                <w:bCs/>
                <w:spacing w:val="-8"/>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sz w:val="20"/>
                <w:szCs w:val="20"/>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nil"/>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b/>
                <w:bCs/>
                <w:color w:val="FFFFFF"/>
                <w:sz w:val="20"/>
                <w:szCs w:val="20"/>
              </w:rPr>
              <w:t>Dopad na výdavky verejnej správy celkom</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rPr>
            </w:pP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rPr>
            </w:pP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rPr>
            </w:pP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rPr>
            </w:pPr>
          </w:p>
        </w:tc>
        <w:tc>
          <w:tcPr>
            <w:tcW w:w="1671"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rPr>
            </w:pPr>
          </w:p>
        </w:tc>
      </w:tr>
      <w:tr>
        <w:tblPrEx>
          <w:tblW w:w="14453" w:type="dxa"/>
          <w:tblInd w:w="-72" w:type="dxa"/>
          <w:tblCellMar>
            <w:left w:w="0" w:type="dxa"/>
            <w:right w:w="0" w:type="dxa"/>
          </w:tblCellMar>
          <w:tblLook w:val="04A0"/>
        </w:tblPrEx>
        <w:trPr>
          <w:trHeight w:val="255"/>
        </w:trPr>
        <w:tc>
          <w:tcPr>
            <w:tcW w:w="662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b/>
                <w:bCs/>
                <w:sz w:val="20"/>
                <w:szCs w:val="20"/>
              </w:rPr>
              <w:t>  z toho výdavky na ŠR</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rPr>
            </w:pPr>
          </w:p>
        </w:tc>
      </w:tr>
      <w:tr>
        <w:tblPrEx>
          <w:tblW w:w="14453" w:type="dxa"/>
          <w:tblInd w:w="-72" w:type="dxa"/>
          <w:tblCellMar>
            <w:left w:w="0" w:type="dxa"/>
            <w:right w:w="0" w:type="dxa"/>
          </w:tblCellMar>
          <w:tblLook w:val="04A0"/>
        </w:tblPrEx>
        <w:trPr>
          <w:trHeight w:val="255"/>
        </w:trPr>
        <w:tc>
          <w:tcPr>
            <w:tcW w:w="6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Bežné výdavky</w:t>
            </w:r>
            <w:r w:rsidRPr="00F165AC">
              <w:rPr>
                <w:rFonts w:ascii="Times New Roman" w:hAnsi="Times New Roman"/>
                <w:b/>
                <w:bCs/>
                <w:sz w:val="20"/>
                <w:szCs w:val="20"/>
              </w:rPr>
              <w:t xml:space="preserve"> </w:t>
            </w:r>
            <w:r w:rsidRPr="00F165AC">
              <w:rPr>
                <w:rFonts w:ascii="Times New Roman" w:hAnsi="Times New Roman"/>
                <w:sz w:val="20"/>
                <w:szCs w:val="20"/>
              </w:rPr>
              <w:t>(600)</w:t>
            </w:r>
            <w:r w:rsidRPr="00F165AC">
              <w:rPr>
                <w:rFonts w:ascii="Times New Roman" w:hAnsi="Times New Roman"/>
                <w:b/>
                <w:bCs/>
                <w:sz w:val="20"/>
                <w:szCs w:val="20"/>
              </w:rPr>
              <w:t xml:space="preserve">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rPr>
            </w:pPr>
          </w:p>
        </w:tc>
      </w:tr>
      <w:tr>
        <w:tblPrEx>
          <w:tblW w:w="14453" w:type="dxa"/>
          <w:tblInd w:w="-72" w:type="dxa"/>
          <w:tblCellMar>
            <w:left w:w="0" w:type="dxa"/>
            <w:right w:w="0" w:type="dxa"/>
          </w:tblCellMar>
          <w:tblLook w:val="04A0"/>
        </w:tblPrEx>
        <w:trPr>
          <w:trHeight w:val="255"/>
        </w:trPr>
        <w:tc>
          <w:tcPr>
            <w:tcW w:w="6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b/>
                <w:bCs/>
                <w:sz w:val="20"/>
                <w:szCs w:val="20"/>
              </w:rPr>
              <w:t>    </w:t>
            </w:r>
            <w:r w:rsidRPr="00F165AC">
              <w:rPr>
                <w:rFonts w:ascii="Times New Roman" w:hAnsi="Times New Roman"/>
                <w:sz w:val="20"/>
                <w:szCs w:val="20"/>
              </w:rPr>
              <w:t>Mzdy, platy, služobné príjmy a ostatné osobné vyrovnania (610)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rPr>
            </w:pPr>
          </w:p>
        </w:tc>
      </w:tr>
      <w:tr>
        <w:tblPrEx>
          <w:tblW w:w="14453" w:type="dxa"/>
          <w:tblInd w:w="-72" w:type="dxa"/>
          <w:tblCellMar>
            <w:left w:w="0" w:type="dxa"/>
            <w:right w:w="0" w:type="dxa"/>
          </w:tblCellMar>
          <w:tblLook w:val="04A0"/>
        </w:tblPrEx>
        <w:trPr>
          <w:trHeight w:val="255"/>
        </w:trPr>
        <w:tc>
          <w:tcPr>
            <w:tcW w:w="6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Kapitálové výdavky (700)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rPr>
            </w:pPr>
          </w:p>
        </w:tc>
      </w:tr>
      <w:tr>
        <w:tblPrEx>
          <w:tblW w:w="14453" w:type="dxa"/>
          <w:tblInd w:w="-72" w:type="dxa"/>
          <w:tblCellMar>
            <w:left w:w="0" w:type="dxa"/>
            <w:right w:w="0" w:type="dxa"/>
          </w:tblCellMar>
          <w:tblLook w:val="04A0"/>
        </w:tblPrEx>
        <w:trPr>
          <w:trHeight w:val="255"/>
        </w:trPr>
        <w:tc>
          <w:tcPr>
            <w:tcW w:w="6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rPr>
                <w:rFonts w:ascii="Times New Roman" w:hAnsi="Times New Roman"/>
              </w:rPr>
            </w:pPr>
            <w:r w:rsidRPr="00F165AC">
              <w:rPr>
                <w:rFonts w:ascii="Times New Roman" w:hAnsi="Times New Roman"/>
                <w:sz w:val="20"/>
                <w:szCs w:val="20"/>
              </w:rPr>
              <w:t>    Výdavky z transakcií s finančnými aktívami a finančnými pasívami (800)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C102F4" w:rsidRPr="00F165AC" w:rsidP="00353260">
            <w:pPr>
              <w:pStyle w:val="NormalWeb"/>
              <w:bidi w:val="0"/>
              <w:spacing w:before="0" w:beforeAutospacing="0" w:after="0" w:afterAutospacing="0" w:line="276" w:lineRule="auto"/>
              <w:jc w:val="center"/>
              <w:rPr>
                <w:rFonts w:ascii="Times New Roman" w:hAnsi="Times New Roman"/>
                <w:sz w:val="20"/>
                <w:szCs w:val="20"/>
              </w:rPr>
            </w:pPr>
            <w:r w:rsidRPr="00F165AC">
              <w:rPr>
                <w:rFonts w:ascii="Times New Roman" w:hAnsi="Times New Roman"/>
                <w:sz w:val="20"/>
                <w:szCs w:val="20"/>
              </w:rPr>
              <w:t>0</w:t>
            </w:r>
          </w:p>
        </w:tc>
        <w:tc>
          <w:tcPr>
            <w:tcW w:w="167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C102F4" w:rsidRPr="00F165AC" w:rsidP="00353260">
            <w:pPr>
              <w:pStyle w:val="NormalWeb"/>
              <w:bidi w:val="0"/>
              <w:spacing w:before="0" w:beforeAutospacing="0" w:after="0" w:afterAutospacing="0" w:line="276" w:lineRule="auto"/>
              <w:rPr>
                <w:rFonts w:ascii="Times New Roman" w:hAnsi="Times New Roman"/>
              </w:rPr>
            </w:pPr>
          </w:p>
        </w:tc>
      </w:tr>
      <w:tr>
        <w:tblPrEx>
          <w:tblW w:w="14453" w:type="dxa"/>
          <w:tblInd w:w="-72" w:type="dxa"/>
          <w:tblCellMar>
            <w:left w:w="0" w:type="dxa"/>
            <w:right w:w="0" w:type="dxa"/>
          </w:tblCellMar>
          <w:tblLook w:val="04A0"/>
        </w:tblPrEx>
        <w:tc>
          <w:tcPr>
            <w:tcW w:w="6622" w:type="dxa"/>
            <w:tcBorders>
              <w:top w:val="none" w:sz="0" w:space="0" w:color="auto"/>
              <w:left w:val="none" w:sz="0" w:space="0" w:color="auto"/>
              <w:bottom w:val="none" w:sz="0" w:space="0" w:color="auto"/>
              <w:right w:val="none" w:sz="0" w:space="0" w:color="auto"/>
            </w:tcBorders>
            <w:textDirection w:val="lrTb"/>
            <w:vAlign w:val="center"/>
          </w:tcPr>
          <w:p w:rsidR="00C102F4" w:rsidRPr="00F165AC" w:rsidP="00353260">
            <w:pPr>
              <w:bidi w:val="0"/>
              <w:spacing w:line="276" w:lineRule="auto"/>
              <w:rPr>
                <w:rFonts w:ascii="Times New Roman" w:hAnsi="Times New Roman"/>
                <w:sz w:val="2"/>
                <w:lang w:val="sk-SK"/>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C102F4" w:rsidRPr="00F165AC" w:rsidP="00353260">
            <w:pPr>
              <w:bidi w:val="0"/>
              <w:spacing w:line="276" w:lineRule="auto"/>
              <w:rPr>
                <w:rFonts w:ascii="Times New Roman" w:hAnsi="Times New Roman"/>
                <w:sz w:val="2"/>
                <w:lang w:val="sk-SK"/>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C102F4" w:rsidRPr="00F165AC" w:rsidP="00353260">
            <w:pPr>
              <w:bidi w:val="0"/>
              <w:spacing w:line="276" w:lineRule="auto"/>
              <w:rPr>
                <w:rFonts w:ascii="Times New Roman" w:hAnsi="Times New Roman"/>
                <w:sz w:val="2"/>
                <w:lang w:val="sk-SK"/>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C102F4" w:rsidRPr="00F165AC" w:rsidP="00353260">
            <w:pPr>
              <w:bidi w:val="0"/>
              <w:spacing w:line="276" w:lineRule="auto"/>
              <w:rPr>
                <w:rFonts w:ascii="Times New Roman" w:hAnsi="Times New Roman"/>
                <w:sz w:val="2"/>
                <w:lang w:val="sk-SK"/>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C102F4" w:rsidRPr="00F165AC" w:rsidP="00353260">
            <w:pPr>
              <w:bidi w:val="0"/>
              <w:spacing w:line="276" w:lineRule="auto"/>
              <w:rPr>
                <w:rFonts w:ascii="Times New Roman" w:hAnsi="Times New Roman"/>
                <w:sz w:val="2"/>
                <w:lang w:val="sk-SK"/>
              </w:rPr>
            </w:pPr>
          </w:p>
        </w:tc>
        <w:tc>
          <w:tcPr>
            <w:tcW w:w="1671" w:type="dxa"/>
            <w:tcBorders>
              <w:top w:val="none" w:sz="0" w:space="0" w:color="auto"/>
              <w:left w:val="none" w:sz="0" w:space="0" w:color="auto"/>
              <w:bottom w:val="none" w:sz="0" w:space="0" w:color="auto"/>
              <w:right w:val="none" w:sz="0" w:space="0" w:color="auto"/>
            </w:tcBorders>
            <w:textDirection w:val="lrTb"/>
            <w:vAlign w:val="center"/>
          </w:tcPr>
          <w:p w:rsidR="00C102F4" w:rsidRPr="00F165AC" w:rsidP="00353260">
            <w:pPr>
              <w:bidi w:val="0"/>
              <w:spacing w:line="276" w:lineRule="auto"/>
              <w:rPr>
                <w:rFonts w:ascii="Times New Roman" w:hAnsi="Times New Roman"/>
                <w:sz w:val="2"/>
                <w:lang w:val="sk-SK"/>
              </w:rPr>
            </w:pPr>
          </w:p>
        </w:tc>
      </w:tr>
    </w:tbl>
    <w:p w:rsidR="00696B6E" w:rsidP="00C102F4">
      <w:pPr>
        <w:pStyle w:val="NormalWeb"/>
        <w:bidi w:val="0"/>
        <w:spacing w:before="0" w:beforeAutospacing="0" w:after="0" w:afterAutospacing="0"/>
        <w:jc w:val="both"/>
        <w:rPr>
          <w:rFonts w:ascii="Times New Roman" w:hAnsi="Times New Roman"/>
        </w:rPr>
      </w:pPr>
      <w:r w:rsidRPr="00F165AC" w:rsidR="00C102F4">
        <w:rPr>
          <w:rFonts w:ascii="Times New Roman" w:hAnsi="Times New Roman"/>
          <w:sz w:val="20"/>
          <w:szCs w:val="20"/>
        </w:rPr>
        <w:t>2 –  výdavky rozpísať až do položiek platnej ekonomickej klasifikácie</w:t>
      </w:r>
    </w:p>
    <w:sectPr w:rsidSect="00C102F4">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102F4"/>
    <w:rsid w:val="00024CDE"/>
    <w:rsid w:val="001410C5"/>
    <w:rsid w:val="001C7280"/>
    <w:rsid w:val="001E7C97"/>
    <w:rsid w:val="00353260"/>
    <w:rsid w:val="004415E2"/>
    <w:rsid w:val="004B1600"/>
    <w:rsid w:val="005B5925"/>
    <w:rsid w:val="005F59BE"/>
    <w:rsid w:val="00696B6E"/>
    <w:rsid w:val="007170F7"/>
    <w:rsid w:val="007A3D5C"/>
    <w:rsid w:val="007F0EF1"/>
    <w:rsid w:val="007F69C7"/>
    <w:rsid w:val="00842333"/>
    <w:rsid w:val="0088067C"/>
    <w:rsid w:val="009A21AA"/>
    <w:rsid w:val="00A23F5C"/>
    <w:rsid w:val="00C102F4"/>
    <w:rsid w:val="00D5131E"/>
    <w:rsid w:val="00EC770E"/>
    <w:rsid w:val="00ED0CBF"/>
    <w:rsid w:val="00EF51C5"/>
    <w:rsid w:val="00F1592D"/>
    <w:rsid w:val="00F165A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F4"/>
    <w:pPr>
      <w:framePr w:wrap="auto"/>
      <w:widowControl/>
      <w:autoSpaceDE/>
      <w:autoSpaceDN/>
      <w:adjustRightInd/>
      <w:ind w:left="0" w:right="0"/>
      <w:jc w:val="left"/>
      <w:textAlignment w:val="auto"/>
    </w:pPr>
    <w:rPr>
      <w:rFonts w:cs="Times New Roman"/>
      <w:sz w:val="24"/>
      <w:szCs w:val="24"/>
      <w:rtl w:val="0"/>
      <w:cs w:val="0"/>
      <w:lang w:val="hu-HU"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rsid w:val="00C102F4"/>
    <w:pPr>
      <w:spacing w:before="100" w:beforeAutospacing="1" w:after="100" w:afterAutospacing="1"/>
      <w:jc w:val="left"/>
    </w:pPr>
    <w:rPr>
      <w:lang w:val="sk-SK"/>
    </w:rPr>
  </w:style>
  <w:style w:type="paragraph" w:styleId="BalloonText">
    <w:name w:val="Balloon Text"/>
    <w:basedOn w:val="Normal"/>
    <w:link w:val="BalloonTextChar"/>
    <w:uiPriority w:val="99"/>
    <w:semiHidden/>
    <w:unhideWhenUsed/>
    <w:rsid w:val="00EC770E"/>
    <w:pPr>
      <w:jc w:val="left"/>
    </w:pPr>
    <w:rPr>
      <w:rFonts w:ascii="Tahoma" w:hAnsi="Tahoma" w:cs="Tahoma"/>
      <w:sz w:val="16"/>
      <w:szCs w:val="16"/>
    </w:rPr>
  </w:style>
  <w:style w:type="character" w:customStyle="1" w:styleId="BalloonTextChar">
    <w:name w:val="Balloon Text Char"/>
    <w:link w:val="BalloonText"/>
    <w:uiPriority w:val="99"/>
    <w:semiHidden/>
    <w:locked/>
    <w:rsid w:val="00EC770E"/>
    <w:rPr>
      <w:rFonts w:ascii="Tahoma" w:hAnsi="Tahoma" w:cs="Tahoma"/>
      <w:sz w:val="16"/>
      <w:lang w:val="hu-HU"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922</Words>
  <Characters>5262</Characters>
  <Application>Microsoft Office Word</Application>
  <DocSecurity>0</DocSecurity>
  <Lines>0</Lines>
  <Paragraphs>0</Paragraphs>
  <ScaleCrop>false</ScaleCrop>
  <Company>Hewlett-Packard Company</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Starackova Jana</dc:creator>
  <cp:lastModifiedBy>Gašparíková, Jarmila</cp:lastModifiedBy>
  <cp:revision>2</cp:revision>
  <cp:lastPrinted>2015-01-22T08:53:00Z</cp:lastPrinted>
  <dcterms:created xsi:type="dcterms:W3CDTF">2015-03-24T12:20:00Z</dcterms:created>
  <dcterms:modified xsi:type="dcterms:W3CDTF">2015-03-24T12:20:00Z</dcterms:modified>
</cp:coreProperties>
</file>