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15945" w:rsidRPr="00DF2B3D" w:rsidP="00314DB7">
      <w:pPr>
        <w:pStyle w:val="Title"/>
        <w:bidi w:val="0"/>
        <w:spacing w:line="360" w:lineRule="auto"/>
        <w:jc w:val="both"/>
        <w:rPr>
          <w:rFonts w:ascii="Times New Roman" w:hAnsi="Times New Roman"/>
        </w:rPr>
      </w:pPr>
      <w:r w:rsidR="00E2107D">
        <w:rPr>
          <w:rFonts w:ascii="Times New Roman" w:hAnsi="Times New Roman"/>
        </w:rPr>
        <w:t xml:space="preserve">B. </w:t>
      </w:r>
      <w:r w:rsidRPr="00DF2B3D">
        <w:rPr>
          <w:rFonts w:ascii="Times New Roman" w:hAnsi="Times New Roman"/>
        </w:rPr>
        <w:t>Osobitná časť</w:t>
      </w:r>
    </w:p>
    <w:p w:rsidR="00815945" w:rsidRPr="00DF2B3D" w:rsidP="00314DB7">
      <w:pPr>
        <w:pStyle w:val="Title"/>
        <w:bidi w:val="0"/>
        <w:spacing w:line="360" w:lineRule="auto"/>
        <w:jc w:val="both"/>
        <w:rPr>
          <w:rFonts w:ascii="Times New Roman" w:hAnsi="Times New Roman"/>
        </w:rPr>
      </w:pPr>
    </w:p>
    <w:p w:rsidR="00815945" w:rsidP="00314DB7">
      <w:pPr>
        <w:pStyle w:val="Title"/>
        <w:bidi w:val="0"/>
        <w:spacing w:line="360" w:lineRule="auto"/>
        <w:jc w:val="both"/>
        <w:rPr>
          <w:rFonts w:ascii="Times New Roman" w:hAnsi="Times New Roman"/>
        </w:rPr>
      </w:pPr>
      <w:r w:rsidRPr="00DF2B3D">
        <w:rPr>
          <w:rFonts w:ascii="Times New Roman" w:hAnsi="Times New Roman"/>
        </w:rPr>
        <w:t>K čl. I</w:t>
      </w:r>
    </w:p>
    <w:p w:rsidR="00847493" w:rsidP="00847493">
      <w:pPr>
        <w:bidi w:val="0"/>
        <w:spacing w:line="360" w:lineRule="auto"/>
        <w:ind w:firstLine="426"/>
        <w:jc w:val="both"/>
        <w:rPr>
          <w:rFonts w:ascii="Times New Roman" w:hAnsi="Times New Roman"/>
        </w:rPr>
      </w:pPr>
    </w:p>
    <w:p w:rsidR="006C2A11" w:rsidRPr="00DF2B3D" w:rsidP="006C2A11">
      <w:pPr>
        <w:pStyle w:val="Title"/>
        <w:bidi w:val="0"/>
        <w:spacing w:line="360" w:lineRule="auto"/>
        <w:jc w:val="both"/>
        <w:rPr>
          <w:rFonts w:ascii="Times New Roman" w:hAnsi="Times New Roman"/>
        </w:rPr>
      </w:pPr>
      <w:r w:rsidRPr="00DF2B3D">
        <w:rPr>
          <w:rFonts w:ascii="Times New Roman" w:hAnsi="Times New Roman"/>
        </w:rPr>
        <w:t xml:space="preserve">K bodu </w:t>
      </w:r>
      <w:r w:rsidR="00BD0263">
        <w:rPr>
          <w:rFonts w:ascii="Times New Roman" w:hAnsi="Times New Roman"/>
        </w:rPr>
        <w:t>1</w:t>
      </w:r>
    </w:p>
    <w:p w:rsidR="00815945" w:rsidP="009F4F05">
      <w:pPr>
        <w:pStyle w:val="Title"/>
        <w:bidi w:val="0"/>
        <w:spacing w:line="360" w:lineRule="auto"/>
        <w:ind w:firstLine="426"/>
        <w:jc w:val="both"/>
        <w:rPr>
          <w:rFonts w:ascii="Times New Roman" w:hAnsi="Times New Roman"/>
          <w:b w:val="0"/>
        </w:rPr>
      </w:pPr>
      <w:r w:rsidRPr="009F4F05" w:rsidR="009F4F05">
        <w:rPr>
          <w:rFonts w:ascii="Times New Roman" w:hAnsi="Times New Roman"/>
          <w:b w:val="0"/>
        </w:rPr>
        <w:t>Látka AH-7921 je štrukturálne atypické syntetické opioidné analgetikum, ktoré internetoví dodávatelia, užívateľské internetové stránky a média bežne nazývajú „doxylam“. Možno si ho ľahko pomýliť s „doxylamínom“, antihistaminickým liekom so sedatívno-hypnotickými vlastnosťami, čo by mohlo viesť k neúmyselnému predávkovaniu.</w:t>
      </w:r>
    </w:p>
    <w:p w:rsidR="009F4F05" w:rsidP="009F4F05">
      <w:pPr>
        <w:pStyle w:val="Title"/>
        <w:bidi w:val="0"/>
        <w:spacing w:line="360" w:lineRule="auto"/>
        <w:ind w:firstLine="426"/>
        <w:jc w:val="both"/>
        <w:rPr>
          <w:rFonts w:ascii="Times New Roman" w:hAnsi="Times New Roman"/>
          <w:b w:val="0"/>
        </w:rPr>
      </w:pPr>
      <w:r w:rsidRPr="009F4F05">
        <w:rPr>
          <w:rFonts w:ascii="Times New Roman" w:hAnsi="Times New Roman"/>
          <w:b w:val="0"/>
        </w:rPr>
        <w:t>Je ťažké určiť konkrétne fyzické účinky látky AH-7921, pretože neexistujú žiadne zverejnené štúdie hodnotiace jeho akútnu a chronickú toxicitu, účinky na psychické zdravie, správanie a návykový potenciál, ako aj preto, že sú k dispozícii len obmedzené informácie a údaje. Zo správ od užívateľov vyplýva, že účinky látky AH-7921 sa zrejme podobajú účinkom klasických opioidov – vyvoláva pocity miernej eufórie, svrbenie a uvoľnenie; zdá sa, že typickým nežiaducim účinkom je nevoľnosť. Okrem experimentovania s látkou AH-7921 na sebe a jej „rekreačného užívania“ niektorí užívatelia tvrdia, že túto novú drogu používajú na zmiernenie bolesti, iní na zmiernenie abstinenčných príznakov, pretože prestali užívať iné opioidy. To môže naznačovať potenciál látky AH-7921 rozšíriť sa medzi užívateľov, ktorí opioidy užívajú injekčne.</w:t>
      </w:r>
    </w:p>
    <w:p w:rsidR="009F4F05" w:rsidP="009F4F05">
      <w:pPr>
        <w:pStyle w:val="Title"/>
        <w:bidi w:val="0"/>
        <w:spacing w:line="360" w:lineRule="auto"/>
        <w:ind w:firstLine="426"/>
        <w:jc w:val="both"/>
        <w:rPr>
          <w:rFonts w:ascii="Times New Roman" w:hAnsi="Times New Roman"/>
          <w:b w:val="0"/>
        </w:rPr>
      </w:pPr>
      <w:r w:rsidRPr="009F4F05">
        <w:rPr>
          <w:rFonts w:ascii="Times New Roman" w:hAnsi="Times New Roman"/>
          <w:b w:val="0"/>
        </w:rPr>
        <w:t>Pokiaľ ide o užívanie látky AH-7921, nie sú k dispozícii žiadne údaje o prevalencii, ale z dostupných informácií vyplýva, že táto látka nie je užívaná vo väčšej miere, a že keď sa užíva, toto užívanie je v domácom prostredí.</w:t>
      </w:r>
    </w:p>
    <w:p w:rsidR="009F4F05" w:rsidP="009F4F05">
      <w:pPr>
        <w:pStyle w:val="Title"/>
        <w:bidi w:val="0"/>
        <w:spacing w:line="360" w:lineRule="auto"/>
        <w:ind w:firstLine="426"/>
        <w:jc w:val="both"/>
        <w:rPr>
          <w:rFonts w:ascii="Times New Roman" w:hAnsi="Times New Roman"/>
          <w:b w:val="0"/>
        </w:rPr>
      </w:pPr>
      <w:r w:rsidRPr="009F4F05">
        <w:rPr>
          <w:rFonts w:ascii="Times New Roman" w:hAnsi="Times New Roman"/>
          <w:b w:val="0"/>
        </w:rPr>
        <w:t xml:space="preserve">V období od decembra 2012 do septembra 2013 bolo zaznamenaných 15 smrteľných prípadov v troch členských štátoch, pričom vo vzorkách odobraných </w:t>
      </w:r>
      <w:r w:rsidRPr="009F4F05">
        <w:rPr>
          <w:rFonts w:ascii="Times New Roman" w:hAnsi="Times New Roman"/>
          <w:b w:val="0"/>
          <w:i/>
          <w:iCs/>
        </w:rPr>
        <w:t xml:space="preserve">post mortem </w:t>
      </w:r>
      <w:r w:rsidRPr="009F4F05">
        <w:rPr>
          <w:rFonts w:ascii="Times New Roman" w:hAnsi="Times New Roman"/>
          <w:b w:val="0"/>
        </w:rPr>
        <w:t>bola zistená prítomnosť látky AH-7921 samostatne alebo v kombinácii s inými látkami. Hoci nie je možné s istotou určiť, akú úlohu zohrala látka AH-7921 vo všetkých týchto smrteľných prípadoch, v niektorých z nich bola výslovne uvedená medzi príčinami smrti. Jeden členský štát uviedol 6 prípadov intoxikácie bez smrteľných následkov spojených s látkou AH-7921. Ak by sa táto nová psychoaktívna látka stala dostupnejšou a viac užívanou, mohli by byť dôsledky pre zdravie jednotlivcov a verejnosti značné. Nie sú k dispozícii žiadne informácie o sociálnych rizikách spojených s látkou AH-7921.</w:t>
      </w:r>
    </w:p>
    <w:p w:rsidR="009F4F05" w:rsidP="009F4F05">
      <w:pPr>
        <w:pStyle w:val="Title"/>
        <w:bidi w:val="0"/>
        <w:spacing w:line="360" w:lineRule="auto"/>
        <w:ind w:firstLine="426"/>
        <w:jc w:val="both"/>
        <w:rPr>
          <w:rFonts w:ascii="Times New Roman" w:hAnsi="Times New Roman"/>
          <w:b w:val="0"/>
        </w:rPr>
      </w:pPr>
      <w:r w:rsidRPr="009F4F05">
        <w:rPr>
          <w:rFonts w:ascii="Times New Roman" w:hAnsi="Times New Roman"/>
          <w:b w:val="0"/>
        </w:rPr>
        <w:t>Zo správy o hodnotení rizika vyplýva, že dostupné vedecké dôkazy o látke AH-7921 sú obmedzené a že na určenie zdravotných a sociálnych rizík, ktoré predstavuje, by bol potrebný ďalší výskum. Dostupné dôkazy a informácie však poskytujú dostatočný dôvod na podrobenie látky AH-7921 kontrolným opatreniam v celej Únii. Látka AH-7921 by mala byť v dôsledku zdravotných rizík, ktoré predstavuje, ako nasvedčuje jej prítomnosť v niekoľkých oznámených prípadoch úmrtia, v dôsledku skutočnosti, že užívatelia ju môžu užiť bez svojho vedomia, ako aj v dôsledku toho, že nemá žiadnu lekársku hodnotu či využitie, podrobená kontrolným opatreniam v celej Únii.</w:t>
      </w:r>
    </w:p>
    <w:p w:rsidR="009F4F05" w:rsidRPr="009F4F05" w:rsidP="009F4F05">
      <w:pPr>
        <w:pStyle w:val="Title"/>
        <w:bidi w:val="0"/>
        <w:spacing w:line="360" w:lineRule="auto"/>
        <w:ind w:firstLine="426"/>
        <w:jc w:val="both"/>
        <w:rPr>
          <w:rFonts w:ascii="Times New Roman" w:hAnsi="Times New Roman"/>
          <w:b w:val="0"/>
        </w:rPr>
      </w:pPr>
      <w:r w:rsidRPr="009F4F05">
        <w:rPr>
          <w:rFonts w:ascii="Times New Roman" w:hAnsi="Times New Roman"/>
          <w:b w:val="0"/>
        </w:rPr>
        <w:t>Vzhľadom na to, že jeden členský štát kontroluje látku AH-7921 podľa vnútroštátnych právnych predpisov v súlade so záväzkami Dohovoru Organizácie Spojených národov z roku 1971 o psychotropných látkach a päť členských štátov používa na jej kontrolu iné legislatívne opatrenia, by podrobenie tejto látky kontrolným opatreniam v celej Únii pomohlo predísť vzniku prekážok pri cezhraničnom presadzovaní práva a justičnej spolupráci a prispelo by k ochrane pred rizikami, ktoré jej dostupnosť a užívanie môžu predstavovať.</w:t>
      </w:r>
    </w:p>
    <w:p w:rsidR="009F4F05" w:rsidP="00A965F8">
      <w:pPr>
        <w:pStyle w:val="Title"/>
        <w:bidi w:val="0"/>
        <w:spacing w:line="360" w:lineRule="auto"/>
        <w:jc w:val="both"/>
        <w:rPr>
          <w:rFonts w:ascii="Times New Roman" w:hAnsi="Times New Roman"/>
        </w:rPr>
      </w:pPr>
    </w:p>
    <w:p w:rsidR="00A965F8" w:rsidRPr="00DF2B3D" w:rsidP="00314DB7">
      <w:pPr>
        <w:pStyle w:val="Title"/>
        <w:bidi w:val="0"/>
        <w:spacing w:line="360" w:lineRule="auto"/>
        <w:jc w:val="both"/>
        <w:rPr>
          <w:rFonts w:ascii="Times New Roman" w:hAnsi="Times New Roman"/>
        </w:rPr>
      </w:pPr>
      <w:r w:rsidRPr="00DF2B3D" w:rsidR="00915874">
        <w:rPr>
          <w:rFonts w:ascii="Times New Roman" w:hAnsi="Times New Roman"/>
        </w:rPr>
        <w:t xml:space="preserve">K bodu </w:t>
      </w:r>
      <w:r w:rsidR="00BD0263">
        <w:rPr>
          <w:rFonts w:ascii="Times New Roman" w:hAnsi="Times New Roman"/>
        </w:rPr>
        <w:t>2</w:t>
      </w:r>
    </w:p>
    <w:p w:rsidR="004627C5" w:rsidP="004627C5">
      <w:pPr>
        <w:pStyle w:val="Default"/>
        <w:bidi w:val="0"/>
        <w:spacing w:line="360" w:lineRule="auto"/>
        <w:ind w:firstLine="426"/>
        <w:jc w:val="both"/>
      </w:pPr>
      <w:r w:rsidRPr="004627C5" w:rsidR="00BC2C95">
        <w:rPr>
          <w:rFonts w:ascii="Times New Roman" w:hAnsi="Times New Roman" w:cs="Times New Roman"/>
        </w:rPr>
        <w:t xml:space="preserve">Látka 25I-NBOMe je silný syntetický derivát látky 2,5-dimetoxy-4-jódofenetylamín (2C-I), klasického serotonergického halucinogénu, ktorý bol podrobený hodnoteniu rizika a kontrolným opatreniam a bol predmetom trestných sankcií na úrovni Únie od roku 2003 podľa rozhodnutia Rady 2003/847/SVV </w:t>
      </w:r>
      <w:r w:rsidRPr="004627C5">
        <w:rPr>
          <w:rFonts w:ascii="Times New Roman" w:hAnsi="Times New Roman" w:cs="Times New Roman"/>
        </w:rPr>
        <w:t>z 27. novembra 2003 o kontrolných opatreniach a trestných sankciách s ohľadom na nové syntetické dro</w:t>
      </w:r>
      <w:r>
        <w:rPr>
          <w:rFonts w:ascii="Times New Roman" w:hAnsi="Times New Roman" w:cs="Times New Roman"/>
        </w:rPr>
        <w:t>gy 2C-I, 2C-T-2, 2C-T-7 a TMA-2</w:t>
      </w:r>
      <w:r w:rsidRPr="004627C5" w:rsidR="00BC2C9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4627C5" w:rsidP="004627C5">
      <w:pPr>
        <w:pStyle w:val="Default"/>
        <w:bidi w:val="0"/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4627C5">
        <w:rPr>
          <w:rFonts w:ascii="Times New Roman" w:hAnsi="Times New Roman" w:cs="Times New Roman"/>
        </w:rPr>
        <w:t xml:space="preserve"> Je ťažké určiť konkrétne fyzické účinky látky 25I-NBOMe, pretože neexistujú žiadne zverejnené štúdie hodnotiace jej akútnu a chronickú toxicitu, účinky na psychické zdravie a správanie, ako aj návykový potenciál, a pretože sú k dispozícii len obmedzené informácie a údaje. Klinické pozorovania osôb, ktoré túto látku užili, naznačujú, že má halucinogénne účinky a potenciál vyvolať silný nepokoj, zmätok, intenzívne zvukové a vizuálne halucinácie, agresivitu, násilné incidenty a sebapoškodzovanie.</w:t>
      </w:r>
    </w:p>
    <w:p w:rsidR="004627C5" w:rsidP="004627C5">
      <w:pPr>
        <w:pStyle w:val="Default"/>
        <w:bidi w:val="0"/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4627C5">
        <w:rPr>
          <w:rFonts w:ascii="Times New Roman" w:hAnsi="Times New Roman" w:cs="Times New Roman"/>
        </w:rPr>
        <w:t>V súvislosti s látkou 25I-NBOMe sa zaznamenali štyri úmrtia v troch členských štátoch. Ťažká toxicita súvisiaca s jej použitím bola zaznamenaná v štyroch členských štátoch, ktoré oznámili 32 prípadov intoxikácií bez smrteľných následkov. Ak by sa táto nová psychoaktívna látka stala dostupnejšou a viac užívanou, mohli by byť dôsledky pre zdravie jednotlivcov a verejnosti značné. Pokiaľ ide o sociálne riziká spojené s látkou 25I-NBOMe, nie sú k dispozícii žiadne informácie.</w:t>
      </w:r>
    </w:p>
    <w:p w:rsidR="004627C5" w:rsidP="004627C5">
      <w:pPr>
        <w:pStyle w:val="Default"/>
        <w:bidi w:val="0"/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4627C5">
        <w:rPr>
          <w:rFonts w:ascii="Times New Roman" w:hAnsi="Times New Roman" w:cs="Times New Roman"/>
        </w:rPr>
        <w:t>Výskyt látky 25I-NBOMe nahlásilo</w:t>
      </w:r>
      <w:r>
        <w:rPr>
          <w:rFonts w:ascii="Times New Roman" w:hAnsi="Times New Roman" w:cs="Times New Roman"/>
        </w:rPr>
        <w:t xml:space="preserve"> Európskemu monitorovaciemu  centru pre drogy a drogovú závislosť (</w:t>
      </w:r>
      <w:r w:rsidRPr="004627C5">
        <w:rPr>
          <w:rFonts w:ascii="Times New Roman" w:hAnsi="Times New Roman" w:cs="Times New Roman"/>
        </w:rPr>
        <w:t>EMCDDA</w:t>
      </w:r>
      <w:r>
        <w:rPr>
          <w:rFonts w:ascii="Times New Roman" w:hAnsi="Times New Roman" w:cs="Times New Roman"/>
        </w:rPr>
        <w:t>)</w:t>
      </w:r>
      <w:r w:rsidRPr="004627C5">
        <w:rPr>
          <w:rFonts w:ascii="Times New Roman" w:hAnsi="Times New Roman" w:cs="Times New Roman"/>
        </w:rPr>
        <w:t xml:space="preserve"> a Európskemu policajnému úradu (Europol) 22 členských štátov a Nórsko. Čo sa týka užívania 25I-NBOMe, nie sú k dispozícii žiadne údaje o prevalencii, ale z obmedzených dostupných informácií vyplýva, že látka môže byť užívaná v rôznom prostredí, a to napríklad doma, v baroch, nočných kluboch a na hudobných festivaloch.</w:t>
      </w:r>
    </w:p>
    <w:p w:rsidR="004627C5" w:rsidP="004627C5">
      <w:pPr>
        <w:pStyle w:val="Default"/>
        <w:bidi w:val="0"/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9A6899" w:rsidR="009A6899">
        <w:rPr>
          <w:rFonts w:ascii="Times New Roman" w:hAnsi="Times New Roman" w:cs="Times New Roman"/>
        </w:rPr>
        <w:t xml:space="preserve">Látka 25I-NBOMe je uvádzaná na trh otvorene a predávaná na internete ako „chemikália určená na výskum“ a informácie z jej záchytu, odobraných vzoriek, užívateľských internetových stránok a od internetových predajcov naznačujú, že sa predáva ako samostatná droga a takisto ako „legálna“ náhrada </w:t>
      </w:r>
      <w:r w:rsidR="009A6899">
        <w:rPr>
          <w:rFonts w:ascii="Times New Roman" w:hAnsi="Times New Roman" w:cs="Times New Roman"/>
        </w:rPr>
        <w:t>lysergidu (</w:t>
      </w:r>
      <w:r w:rsidRPr="009A6899" w:rsidR="009A6899">
        <w:rPr>
          <w:rFonts w:ascii="Times New Roman" w:hAnsi="Times New Roman" w:cs="Times New Roman"/>
        </w:rPr>
        <w:t>LSD</w:t>
      </w:r>
      <w:r w:rsidR="009A6899">
        <w:rPr>
          <w:rFonts w:ascii="Times New Roman" w:hAnsi="Times New Roman" w:cs="Times New Roman"/>
        </w:rPr>
        <w:t>)</w:t>
      </w:r>
      <w:r w:rsidRPr="009A6899" w:rsidR="009A6899">
        <w:rPr>
          <w:rFonts w:ascii="Times New Roman" w:hAnsi="Times New Roman" w:cs="Times New Roman"/>
        </w:rPr>
        <w:t xml:space="preserve">. </w:t>
      </w:r>
      <w:r w:rsidR="009A6899">
        <w:rPr>
          <w:rFonts w:ascii="Times New Roman" w:hAnsi="Times New Roman" w:cs="Times New Roman"/>
        </w:rPr>
        <w:t>Európske monitorovacie  centrum pre drogy a drogovú závislosť (</w:t>
      </w:r>
      <w:r w:rsidRPr="009A6899" w:rsidR="009A6899">
        <w:rPr>
          <w:rFonts w:ascii="Times New Roman" w:hAnsi="Times New Roman" w:cs="Times New Roman"/>
        </w:rPr>
        <w:t>EMCDDA</w:t>
      </w:r>
      <w:r w:rsidR="009A6899">
        <w:rPr>
          <w:rFonts w:ascii="Times New Roman" w:hAnsi="Times New Roman" w:cs="Times New Roman"/>
        </w:rPr>
        <w:t>)</w:t>
      </w:r>
      <w:r w:rsidRPr="009A6899" w:rsidR="009A6899">
        <w:rPr>
          <w:rFonts w:ascii="Times New Roman" w:hAnsi="Times New Roman" w:cs="Times New Roman"/>
        </w:rPr>
        <w:t xml:space="preserve"> identifikovalo viac ako pätnásť internetových predajcov, ktorí túto látku predávajú a zrejme majú sídlo v Únii a v Číne.</w:t>
      </w:r>
    </w:p>
    <w:p w:rsidR="009A6899" w:rsidP="004627C5">
      <w:pPr>
        <w:pStyle w:val="Default"/>
        <w:bidi w:val="0"/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9A6899">
        <w:rPr>
          <w:rFonts w:ascii="Times New Roman" w:hAnsi="Times New Roman" w:cs="Times New Roman"/>
        </w:rPr>
        <w:t>Zo správy o hodnotení rizika vyplýva, že dostupné vedecké dôkazy o látke 25I-NBOMe sú obmedzené a že na určenie zdravotných a sociálnych rizík, ktoré predstavuje, by bol potrebný ďalší výskum. Dostupné dôkazy a informácie však poskytujú dostatočný dôvod na podrobenie látky 25I-NBOMe kontrolným opatreniam v celej Únii. Látka 25I-NBOMe by mala byť v dôsledku zdravotných rizík, ktoré predstavuje, ako nasvedčuje jej prítomnosť v niekoľkých oznámených prípadoch úmrtia, v dôsledku skutočnosti, že užívatelia ju môžu užiť bez svojho vedomia, ako aj v dôsledku toho, že nemá žiadnu lekársku hodnotu či využitie, podrobená kontrolným opatreniam v celej Únii.</w:t>
      </w:r>
    </w:p>
    <w:p w:rsidR="009A6899" w:rsidP="004627C5">
      <w:pPr>
        <w:pStyle w:val="Default"/>
        <w:bidi w:val="0"/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9A6899">
        <w:rPr>
          <w:rFonts w:ascii="Times New Roman" w:hAnsi="Times New Roman" w:cs="Times New Roman"/>
        </w:rPr>
        <w:t>Vzhľadom na to, že šesť členských štátov kontroluje látku 25I-NBOMe podľa vnútroštátnych právnych predpisov v súlade so záväzkami Dohovoru Organizácie Spojených národov o psychotropných látkach z roku 1971 a sedem členských štátov používa na jej kontrolu iné legislatívne opatrenia, by podrobenie tejto látky kontrolným opatreniam v celej Únii pomohlo predísť vzniku prekážok pri cezhraničnom presadzovaní práva a justičnej spolupráci a prispelo by k ochrane pred rizikami, ktoré jej dostupnosť a užívanie môžu predstavovať.</w:t>
      </w:r>
    </w:p>
    <w:p w:rsidR="0086614D" w:rsidP="0086614D">
      <w:pPr>
        <w:pStyle w:val="Title"/>
        <w:bidi w:val="0"/>
        <w:spacing w:line="360" w:lineRule="auto"/>
        <w:jc w:val="both"/>
        <w:rPr>
          <w:rFonts w:ascii="Times New Roman" w:hAnsi="Times New Roman"/>
        </w:rPr>
      </w:pPr>
    </w:p>
    <w:p w:rsidR="0086614D" w:rsidP="0086614D">
      <w:pPr>
        <w:pStyle w:val="Title"/>
        <w:bidi w:val="0"/>
        <w:spacing w:line="360" w:lineRule="auto"/>
        <w:jc w:val="both"/>
        <w:rPr>
          <w:rFonts w:ascii="Times New Roman" w:hAnsi="Times New Roman"/>
        </w:rPr>
      </w:pPr>
      <w:r w:rsidRPr="00DF2B3D">
        <w:rPr>
          <w:rFonts w:ascii="Times New Roman" w:hAnsi="Times New Roman"/>
        </w:rPr>
        <w:t xml:space="preserve">K bodu </w:t>
      </w:r>
      <w:r w:rsidR="00BD0263">
        <w:rPr>
          <w:rFonts w:ascii="Times New Roman" w:hAnsi="Times New Roman"/>
        </w:rPr>
        <w:t>3</w:t>
      </w:r>
    </w:p>
    <w:p w:rsidR="0086614D" w:rsidP="0086614D">
      <w:pPr>
        <w:pStyle w:val="Title"/>
        <w:bidi w:val="0"/>
        <w:spacing w:line="360" w:lineRule="auto"/>
        <w:ind w:firstLine="426"/>
        <w:jc w:val="both"/>
        <w:rPr>
          <w:rFonts w:ascii="Times New Roman" w:hAnsi="Times New Roman"/>
          <w:b w:val="0"/>
        </w:rPr>
      </w:pPr>
      <w:r w:rsidRPr="009F4F05">
        <w:rPr>
          <w:rFonts w:ascii="Times New Roman" w:hAnsi="Times New Roman"/>
          <w:b w:val="0"/>
        </w:rPr>
        <w:t>Metoxetamín je arylcyklohexylamínová látka, ktorá je chemicky podobná ketamínu a medzinárodne kontrolovanej látke fencyklidín (PCP). Rovnako ako ketamín a PCP má aj metoxetamín disociačné vlastnosti.</w:t>
      </w:r>
    </w:p>
    <w:p w:rsidR="0086614D" w:rsidRPr="009F4F05" w:rsidP="0086614D">
      <w:pPr>
        <w:pStyle w:val="Title"/>
        <w:bidi w:val="0"/>
        <w:spacing w:line="360" w:lineRule="auto"/>
        <w:ind w:firstLine="426"/>
        <w:jc w:val="both"/>
        <w:rPr>
          <w:rFonts w:ascii="Times New Roman" w:hAnsi="Times New Roman"/>
          <w:b w:val="0"/>
        </w:rPr>
      </w:pPr>
      <w:r w:rsidRPr="009F4F05">
        <w:rPr>
          <w:rFonts w:ascii="Times New Roman" w:hAnsi="Times New Roman"/>
          <w:b w:val="0"/>
        </w:rPr>
        <w:t>Neexistujú žiadne štúdie hodnotiace chronickú a akútnu toxicitu spojenú s metoxetamínom, jeho účinky na psychické zdravie a správanie a návykový potenciál. Subjektívne skúsenosti uvedené na užívateľských internetových stránkach naznačujú nežiaduce účinky podobné intoxikácii ketamínom. Ide o nevoľnosť a silné zvracanie, dýchacie ťažkosti, záchvaty, dezorientáciu, pocity úzkosti, katatóniu, agresivitu, halucinácie, paranoju a psychózu. Okrem toho môžu akútne intoxikácie metoxetamínom zahŕňať stimulačné účinky (nepokoj, tachykardiu a hypertenziu) a vplyv na mozgovú činnosť, ktoré sa v prípade akútnej intoxikácie ketamínom neočakávajú.</w:t>
      </w:r>
    </w:p>
    <w:p w:rsidR="0086614D" w:rsidP="0086614D">
      <w:pPr>
        <w:pStyle w:val="Title"/>
        <w:bidi w:val="0"/>
        <w:spacing w:line="360" w:lineRule="auto"/>
        <w:ind w:firstLine="426"/>
        <w:jc w:val="both"/>
        <w:rPr>
          <w:rFonts w:ascii="Times New Roman" w:hAnsi="Times New Roman"/>
          <w:b w:val="0"/>
        </w:rPr>
      </w:pPr>
      <w:r w:rsidRPr="009F4F05">
        <w:rPr>
          <w:rFonts w:ascii="Times New Roman" w:hAnsi="Times New Roman"/>
          <w:b w:val="0"/>
        </w:rPr>
        <w:t xml:space="preserve">V súvislosti s metoxetamínom nahlásilo šesť členských štátov dvadsať úmrtí, pričom táto látka bola zistená vo vzorkách odobraných </w:t>
      </w:r>
      <w:r w:rsidRPr="009F4F05">
        <w:rPr>
          <w:rFonts w:ascii="Times New Roman" w:hAnsi="Times New Roman"/>
          <w:b w:val="0"/>
          <w:i/>
          <w:iCs/>
        </w:rPr>
        <w:t>post mortem</w:t>
      </w:r>
      <w:r w:rsidRPr="009F4F05">
        <w:rPr>
          <w:rFonts w:ascii="Times New Roman" w:hAnsi="Times New Roman"/>
          <w:b w:val="0"/>
        </w:rPr>
        <w:t>. Používaný samostatne, alebo v kombinácii s inými látkami sa metoxetamín zistil aj v prípade dvadsiatich intoxikácií bez smrteľných následkov, ktoré nahlásilo päť členských štátov. Ak by sa táto nová psychoaktívna látka stala dostupnejšou a viac užívanou, mohli by byť dôsledky pre zdravie jednotlivcov a verejnosti značné.</w:t>
      </w:r>
    </w:p>
    <w:p w:rsidR="0086614D" w:rsidP="0086614D">
      <w:pPr>
        <w:pStyle w:val="Title"/>
        <w:bidi w:val="0"/>
        <w:spacing w:line="360" w:lineRule="auto"/>
        <w:ind w:firstLine="426"/>
        <w:jc w:val="both"/>
        <w:rPr>
          <w:rFonts w:ascii="Times New Roman" w:hAnsi="Times New Roman"/>
          <w:b w:val="0"/>
        </w:rPr>
      </w:pPr>
      <w:r w:rsidRPr="009F4F05">
        <w:rPr>
          <w:rFonts w:ascii="Times New Roman" w:hAnsi="Times New Roman"/>
          <w:b w:val="0"/>
        </w:rPr>
        <w:t>Od novembra 2010 nahlásilo nález metoxetamínu 23 členských štátov, Turecko a Nórsko. Informácie naznačujú, že metoxetamín sa predáva a užíva ako samostatná látka, ale aj ako „legálna“ náhrada ketamínu prostredníctvom internetových predajcov, v tzv. „head shopoch“ a prostredníctvom dílerov na ulici.</w:t>
      </w:r>
    </w:p>
    <w:p w:rsidR="0086614D" w:rsidP="0086614D">
      <w:pPr>
        <w:pStyle w:val="Title"/>
        <w:bidi w:val="0"/>
        <w:spacing w:line="360" w:lineRule="auto"/>
        <w:ind w:firstLine="426"/>
        <w:jc w:val="both"/>
        <w:rPr>
          <w:rFonts w:ascii="Times New Roman" w:hAnsi="Times New Roman"/>
          <w:b w:val="0"/>
        </w:rPr>
      </w:pPr>
      <w:r w:rsidRPr="009F4F05">
        <w:rPr>
          <w:rFonts w:ascii="Times New Roman" w:hAnsi="Times New Roman"/>
          <w:b w:val="0"/>
        </w:rPr>
        <w:t>V rámci Únie bola táto látka vo forme prášku zachytená v objeme niekoľkých kilogramov, ale neexistujú žiadne informácie o možnom zapojení organizovanej trestnej činnosti. Výroba metoxetamínu nevyžaduje zložité vybavenie.</w:t>
      </w:r>
    </w:p>
    <w:p w:rsidR="0086614D" w:rsidP="0086614D">
      <w:pPr>
        <w:pStyle w:val="Title"/>
        <w:bidi w:val="0"/>
        <w:spacing w:line="360" w:lineRule="auto"/>
        <w:ind w:firstLine="426"/>
        <w:jc w:val="both"/>
        <w:rPr>
          <w:rFonts w:ascii="Times New Roman" w:hAnsi="Times New Roman"/>
          <w:b w:val="0"/>
        </w:rPr>
      </w:pPr>
      <w:r w:rsidRPr="009F4F05">
        <w:rPr>
          <w:rFonts w:ascii="Times New Roman" w:hAnsi="Times New Roman"/>
          <w:b w:val="0"/>
        </w:rPr>
        <w:t>Údaje o prevalencii sú obmedzené na nereprezentatívne štúdie v dvoch členských štátoch. Tieto štúdie naznačujú, že prevalencia užívania metoxetamínu je nižšia než ketamínu. Z dostupných informácií vyplýva, že je zrejme konzumovaná v širokom spektre rôznych prostredí, okrem iného doma, v baroch, nočných kluboch a na hudobných festivaloch.</w:t>
      </w:r>
    </w:p>
    <w:p w:rsidR="0086614D" w:rsidP="0086614D">
      <w:pPr>
        <w:pStyle w:val="Title"/>
        <w:bidi w:val="0"/>
        <w:spacing w:line="360" w:lineRule="auto"/>
        <w:ind w:firstLine="426"/>
        <w:jc w:val="both"/>
        <w:rPr>
          <w:rFonts w:ascii="Times New Roman" w:hAnsi="Times New Roman"/>
          <w:b w:val="0"/>
        </w:rPr>
      </w:pPr>
      <w:r w:rsidRPr="004C31DE">
        <w:rPr>
          <w:rFonts w:ascii="Times New Roman" w:hAnsi="Times New Roman"/>
          <w:b w:val="0"/>
        </w:rPr>
        <w:t>Zo správy o hodnotení rizík vyplýva, že na určenie zdravotných a spoločenských rizík, ktoré predstavuje metoxetamín, by bol potrebný ďalší výskum. Dostupné dôkazy a informácie však poskytujú dostatočné dôvody na podrobenie metoxetamínu kontrolným opatreniam v celej Únii. Metoxamín by mal byť v dôsledku zdravotných rizík, ktoré predstavuje, ako nasvedčuje jeho prítomnosť v niekoľkých oznámených prípadoch úmrtia, v dôsledku skutočnosti, že užívatelia ho môžu užiť bez svojho vedomia, ako aj v dôsledku toho, že nemá žiadnu lekársku hodnotu či využitie, podrobený kontrolným opatreniam v celej Únii.</w:t>
      </w:r>
    </w:p>
    <w:p w:rsidR="0086614D" w:rsidP="0086614D">
      <w:pPr>
        <w:pStyle w:val="Title"/>
        <w:bidi w:val="0"/>
        <w:spacing w:line="360" w:lineRule="auto"/>
        <w:ind w:firstLine="426"/>
        <w:jc w:val="both"/>
        <w:rPr>
          <w:rFonts w:ascii="Times New Roman" w:hAnsi="Times New Roman"/>
          <w:b w:val="0"/>
        </w:rPr>
      </w:pPr>
      <w:r w:rsidRPr="004C31DE">
        <w:rPr>
          <w:rFonts w:ascii="Times New Roman" w:hAnsi="Times New Roman"/>
          <w:b w:val="0"/>
        </w:rPr>
        <w:t>Vzhľadom na to, že deväť členských štátov kontroluje látku metoxetamín podľa vnútroštátnych právnych predpisov v súlade so záväzkami Dohovoru Organizácie Spojených národov o psychotropných látkach z roku 1971 a deväť členských štátov používa na jej kontrolu iné legislatívne opatrenia, by podrobenie tejto látky kontrolným opatreniam v celej Únii pomohlo predísť vzniku prekážok pri cezhraničnom presadzovaní práva a justičnej spolupráci a prispelo by k ochrane pred rizikami, ktoré môžu jej dostupnosť a užívanie predstavovať.</w:t>
      </w:r>
    </w:p>
    <w:p w:rsidR="0086614D" w:rsidP="0086614D">
      <w:pPr>
        <w:pStyle w:val="Title"/>
        <w:bidi w:val="0"/>
        <w:spacing w:line="360" w:lineRule="auto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V Slovenskej republike je </w:t>
      </w:r>
      <w:r w:rsidRPr="004C31DE">
        <w:rPr>
          <w:rFonts w:ascii="Times New Roman" w:hAnsi="Times New Roman"/>
          <w:b w:val="0"/>
        </w:rPr>
        <w:t>metoxetamín</w:t>
      </w:r>
      <w:r>
        <w:rPr>
          <w:rFonts w:ascii="Times New Roman" w:hAnsi="Times New Roman"/>
          <w:b w:val="0"/>
        </w:rPr>
        <w:t xml:space="preserve"> zaradený od 1. októbra 2013 medzi rizikové látky, ktoré sú uvedené v prílohe vyhlášky Ministerstva zdravotníctva Slovenskej republiky č. 298/2013 Z. z. , </w:t>
      </w:r>
      <w:r w:rsidRPr="004C31DE">
        <w:rPr>
          <w:rFonts w:ascii="Times New Roman" w:hAnsi="Times New Roman"/>
          <w:b w:val="0"/>
        </w:rPr>
        <w:t>ktorou sa vydáva zoznam rizikových látok</w:t>
      </w:r>
      <w:r>
        <w:rPr>
          <w:rFonts w:ascii="Times New Roman" w:hAnsi="Times New Roman"/>
          <w:b w:val="0"/>
        </w:rPr>
        <w:t xml:space="preserve">. Odo dňa nadobudnutia účinnosti tohto zákona bude  </w:t>
      </w:r>
      <w:r w:rsidRPr="004C31DE">
        <w:rPr>
          <w:rFonts w:ascii="Times New Roman" w:hAnsi="Times New Roman"/>
          <w:b w:val="0"/>
        </w:rPr>
        <w:t>metoxetamín</w:t>
      </w:r>
      <w:r>
        <w:rPr>
          <w:rFonts w:ascii="Times New Roman" w:hAnsi="Times New Roman"/>
          <w:b w:val="0"/>
        </w:rPr>
        <w:t xml:space="preserve"> vyradený zo zoznamu rizikových látok v súlade s § 16a odsekom 2 zákona č. 139/1998 Z. z. </w:t>
      </w:r>
    </w:p>
    <w:p w:rsidR="0086614D" w:rsidRPr="004C31DE" w:rsidP="0086614D">
      <w:pPr>
        <w:pStyle w:val="Title"/>
        <w:bidi w:val="0"/>
        <w:spacing w:line="360" w:lineRule="auto"/>
        <w:ind w:firstLine="426"/>
        <w:jc w:val="both"/>
        <w:rPr>
          <w:rFonts w:ascii="Times New Roman" w:hAnsi="Times New Roman"/>
          <w:b w:val="0"/>
        </w:rPr>
      </w:pPr>
    </w:p>
    <w:p w:rsidR="009A6899" w:rsidRPr="009A6899" w:rsidP="004627C5">
      <w:pPr>
        <w:pStyle w:val="Default"/>
        <w:bidi w:val="0"/>
        <w:spacing w:line="360" w:lineRule="auto"/>
        <w:ind w:firstLine="426"/>
        <w:jc w:val="both"/>
        <w:rPr>
          <w:rFonts w:ascii="Times New Roman" w:hAnsi="Times New Roman" w:cs="Times New Roman"/>
        </w:rPr>
      </w:pPr>
    </w:p>
    <w:p w:rsidR="00883080" w:rsidRPr="00DF2B3D" w:rsidP="00314DB7">
      <w:pPr>
        <w:pStyle w:val="Title"/>
        <w:bidi w:val="0"/>
        <w:spacing w:line="360" w:lineRule="auto"/>
        <w:jc w:val="both"/>
        <w:rPr>
          <w:rFonts w:ascii="Times New Roman" w:hAnsi="Times New Roman"/>
        </w:rPr>
      </w:pPr>
      <w:r w:rsidRPr="00DF2B3D">
        <w:rPr>
          <w:rFonts w:ascii="Times New Roman" w:hAnsi="Times New Roman"/>
        </w:rPr>
        <w:t>K čl. II</w:t>
      </w:r>
    </w:p>
    <w:p w:rsidR="0042511E" w:rsidRPr="0042511E" w:rsidP="0042511E">
      <w:pPr>
        <w:pStyle w:val="Default"/>
        <w:bidi w:val="0"/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42511E" w:rsidR="00883080">
        <w:rPr>
          <w:rFonts w:ascii="Times New Roman" w:hAnsi="Times New Roman" w:cs="Times New Roman"/>
        </w:rPr>
        <w:t>Dátum účinnosti sa navrhuje s prihliadnutím na predpokladanú dĺžku legislatívneho procesu</w:t>
      </w:r>
      <w:r w:rsidRPr="0042511E" w:rsidR="00707D95">
        <w:rPr>
          <w:rFonts w:ascii="Times New Roman" w:hAnsi="Times New Roman" w:cs="Times New Roman"/>
        </w:rPr>
        <w:t xml:space="preserve"> a </w:t>
      </w:r>
      <w:r w:rsidRPr="0042511E" w:rsidR="00F514D9">
        <w:rPr>
          <w:rFonts w:ascii="Times New Roman" w:hAnsi="Times New Roman" w:cs="Times New Roman"/>
        </w:rPr>
        <w:t xml:space="preserve">lehotu implementácie </w:t>
      </w:r>
      <w:r w:rsidR="00A74AE5">
        <w:rPr>
          <w:rFonts w:ascii="Times New Roman" w:hAnsi="Times New Roman" w:cs="Times New Roman"/>
        </w:rPr>
        <w:t xml:space="preserve">vykonávacieho </w:t>
      </w:r>
      <w:r w:rsidRPr="0042511E" w:rsidR="00F514D9">
        <w:rPr>
          <w:rFonts w:ascii="Times New Roman" w:hAnsi="Times New Roman" w:cs="Times New Roman"/>
        </w:rPr>
        <w:t xml:space="preserve">rozhodnutia Rady z </w:t>
      </w:r>
      <w:r w:rsidRPr="0042511E">
        <w:rPr>
          <w:rFonts w:ascii="Times New Roman" w:hAnsi="Times New Roman" w:cs="Times New Roman"/>
        </w:rPr>
        <w:t>25</w:t>
      </w:r>
      <w:r w:rsidRPr="0042511E" w:rsidR="00F514D9">
        <w:rPr>
          <w:rFonts w:ascii="Times New Roman" w:hAnsi="Times New Roman" w:cs="Times New Roman"/>
        </w:rPr>
        <w:t xml:space="preserve">. </w:t>
      </w:r>
      <w:r w:rsidRPr="0042511E">
        <w:rPr>
          <w:rFonts w:ascii="Times New Roman" w:hAnsi="Times New Roman" w:cs="Times New Roman"/>
        </w:rPr>
        <w:t>septembra</w:t>
      </w:r>
      <w:r w:rsidRPr="0042511E" w:rsidR="00F514D9">
        <w:rPr>
          <w:rFonts w:ascii="Times New Roman" w:hAnsi="Times New Roman" w:cs="Times New Roman"/>
        </w:rPr>
        <w:t xml:space="preserve"> 201</w:t>
      </w:r>
      <w:r w:rsidRPr="0042511E">
        <w:rPr>
          <w:rFonts w:ascii="Times New Roman" w:hAnsi="Times New Roman" w:cs="Times New Roman"/>
        </w:rPr>
        <w:t>4</w:t>
      </w:r>
      <w:r w:rsidRPr="0042511E" w:rsidR="00F514D9">
        <w:rPr>
          <w:rFonts w:ascii="Times New Roman" w:hAnsi="Times New Roman" w:cs="Times New Roman"/>
        </w:rPr>
        <w:t xml:space="preserve"> </w:t>
      </w:r>
      <w:r w:rsidRPr="0042511E">
        <w:rPr>
          <w:rFonts w:ascii="Times New Roman" w:hAnsi="Times New Roman" w:cs="Times New Roman"/>
          <w:bCs/>
        </w:rPr>
        <w:t>o podrobení látok 4-jód-2,5-dimetoxy-N-(2-metoxybenzyl)fenetylamín (25I-NBOMe), 3,4-dichlór-N- [[1-(dimetylamino)cyklohexyl]metyl]benzamid (AH-7921), 3,4-metyléndioxypyrovalerón (MDPV) a 2-(3-metoxyfenyl)-2-(etylamino)cyklohexanón (metoxetamín) kontrolným opatreniam</w:t>
      </w:r>
      <w:r w:rsidR="00A74AE5">
        <w:rPr>
          <w:rFonts w:ascii="Times New Roman" w:hAnsi="Times New Roman" w:cs="Times New Roman"/>
          <w:bCs/>
        </w:rPr>
        <w:t xml:space="preserve"> (</w:t>
      </w:r>
      <w:r w:rsidRPr="0042511E" w:rsidR="00A74AE5">
        <w:rPr>
          <w:rFonts w:ascii="Times New Roman" w:hAnsi="Times New Roman" w:cs="Times New Roman"/>
        </w:rPr>
        <w:t>2014/688/EÚ</w:t>
      </w:r>
      <w:r w:rsidR="00A74AE5">
        <w:rPr>
          <w:rFonts w:ascii="Times New Roman" w:hAnsi="Times New Roman" w:cs="Times New Roman"/>
        </w:rPr>
        <w:t>)</w:t>
      </w:r>
      <w:r w:rsidRPr="0042511E">
        <w:rPr>
          <w:rFonts w:ascii="Times New Roman" w:hAnsi="Times New Roman" w:cs="Times New Roman"/>
        </w:rPr>
        <w:t xml:space="preserve">. </w:t>
      </w:r>
    </w:p>
    <w:p w:rsidR="00883080" w:rsidRPr="00815945" w:rsidP="00314DB7">
      <w:pPr>
        <w:bidi w:val="0"/>
        <w:spacing w:line="360" w:lineRule="auto"/>
        <w:ind w:firstLine="426"/>
        <w:jc w:val="both"/>
        <w:rPr>
          <w:rFonts w:ascii="Times New Roman" w:hAnsi="Times New Roman"/>
        </w:rPr>
      </w:pPr>
    </w:p>
    <w:p w:rsidR="00883080" w:rsidP="00314DB7">
      <w:pPr>
        <w:bidi w:val="0"/>
        <w:spacing w:line="360" w:lineRule="auto"/>
        <w:jc w:val="center"/>
        <w:rPr>
          <w:rFonts w:ascii="Times New Roman" w:hAnsi="Times New Roman"/>
        </w:rPr>
      </w:pPr>
    </w:p>
    <w:p w:rsidR="00E2107D" w:rsidRPr="00CB3690" w:rsidP="00E2107D">
      <w:pPr>
        <w:bidi w:val="0"/>
        <w:jc w:val="both"/>
        <w:rPr>
          <w:rStyle w:val="PlaceholderText"/>
          <w:color w:val="000000"/>
        </w:rPr>
      </w:pPr>
      <w:r w:rsidRPr="00CB3690">
        <w:rPr>
          <w:rStyle w:val="PlaceholderText"/>
          <w:color w:val="000000"/>
        </w:rPr>
        <w:t xml:space="preserve">Bratislava </w:t>
      </w:r>
      <w:r>
        <w:rPr>
          <w:rStyle w:val="PlaceholderText"/>
          <w:color w:val="000000"/>
        </w:rPr>
        <w:t>4</w:t>
      </w:r>
      <w:r w:rsidRPr="00CB3690">
        <w:rPr>
          <w:rStyle w:val="PlaceholderText"/>
          <w:color w:val="000000"/>
        </w:rPr>
        <w:t xml:space="preserve">. </w:t>
      </w:r>
      <w:r>
        <w:rPr>
          <w:rStyle w:val="PlaceholderText"/>
          <w:color w:val="000000"/>
        </w:rPr>
        <w:t>marc</w:t>
      </w:r>
      <w:r w:rsidRPr="00CB3690">
        <w:rPr>
          <w:rStyle w:val="PlaceholderText"/>
          <w:color w:val="000000"/>
        </w:rPr>
        <w:t>a 201</w:t>
      </w:r>
      <w:r>
        <w:rPr>
          <w:rStyle w:val="PlaceholderText"/>
          <w:color w:val="000000"/>
        </w:rPr>
        <w:t>5</w:t>
      </w:r>
    </w:p>
    <w:p w:rsidR="00E2107D" w:rsidRPr="00CB3690" w:rsidP="00E2107D">
      <w:pPr>
        <w:bidi w:val="0"/>
        <w:spacing w:after="280" w:afterAutospacing="1"/>
        <w:rPr>
          <w:rStyle w:val="PlaceholderText"/>
          <w:color w:val="000000"/>
        </w:rPr>
      </w:pPr>
    </w:p>
    <w:p w:rsidR="00E2107D" w:rsidP="00E2107D">
      <w:pPr>
        <w:bidi w:val="0"/>
        <w:spacing w:after="280" w:afterAutospacing="1"/>
        <w:rPr>
          <w:rStyle w:val="PlaceholderText"/>
          <w:color w:val="000000"/>
        </w:rPr>
      </w:pPr>
    </w:p>
    <w:p w:rsidR="00E2107D" w:rsidRPr="00CB3690" w:rsidP="00E2107D">
      <w:pPr>
        <w:bidi w:val="0"/>
        <w:spacing w:after="280" w:afterAutospacing="1"/>
        <w:rPr>
          <w:rStyle w:val="PlaceholderText"/>
          <w:color w:val="000000"/>
        </w:rPr>
      </w:pPr>
    </w:p>
    <w:p w:rsidR="00E2107D" w:rsidRPr="00CB3690" w:rsidP="00E2107D">
      <w:pPr>
        <w:bidi w:val="0"/>
        <w:spacing w:after="280" w:afterAutospacing="1"/>
        <w:rPr>
          <w:rStyle w:val="PlaceholderText"/>
          <w:color w:val="000000"/>
        </w:rPr>
      </w:pPr>
    </w:p>
    <w:p w:rsidR="00E2107D" w:rsidRPr="00CB3690" w:rsidP="00E2107D">
      <w:pPr>
        <w:bidi w:val="0"/>
        <w:jc w:val="center"/>
        <w:rPr>
          <w:rFonts w:ascii="Times New Roman" w:hAnsi="Times New Roman"/>
          <w:b/>
        </w:rPr>
      </w:pPr>
      <w:r w:rsidRPr="00CB3690">
        <w:rPr>
          <w:rFonts w:ascii="Times New Roman" w:hAnsi="Times New Roman"/>
          <w:b/>
        </w:rPr>
        <w:t>Robert Fico</w:t>
      </w:r>
    </w:p>
    <w:p w:rsidR="00E2107D" w:rsidRPr="00CB3690" w:rsidP="00E2107D">
      <w:pPr>
        <w:bidi w:val="0"/>
        <w:jc w:val="center"/>
        <w:rPr>
          <w:rFonts w:ascii="Times New Roman" w:hAnsi="Times New Roman"/>
        </w:rPr>
      </w:pPr>
      <w:r w:rsidRPr="00CB3690">
        <w:rPr>
          <w:rFonts w:ascii="Times New Roman" w:hAnsi="Times New Roman"/>
        </w:rPr>
        <w:t>predseda vlády</w:t>
      </w:r>
    </w:p>
    <w:p w:rsidR="00E2107D" w:rsidRPr="00CB3690" w:rsidP="00E2107D">
      <w:pPr>
        <w:bidi w:val="0"/>
        <w:jc w:val="center"/>
        <w:rPr>
          <w:rFonts w:ascii="Times New Roman" w:hAnsi="Times New Roman"/>
        </w:rPr>
      </w:pPr>
      <w:r w:rsidRPr="00CB3690">
        <w:rPr>
          <w:rFonts w:ascii="Times New Roman" w:hAnsi="Times New Roman"/>
        </w:rPr>
        <w:t>Slovenskej republiky</w:t>
      </w:r>
    </w:p>
    <w:p w:rsidR="00E2107D" w:rsidRPr="00CB3690" w:rsidP="00E2107D">
      <w:pPr>
        <w:bidi w:val="0"/>
        <w:ind w:firstLine="3958"/>
        <w:jc w:val="center"/>
        <w:rPr>
          <w:rFonts w:ascii="Times New Roman" w:hAnsi="Times New Roman"/>
          <w:b/>
        </w:rPr>
      </w:pPr>
    </w:p>
    <w:p w:rsidR="00E2107D" w:rsidRPr="00CB3690" w:rsidP="00E2107D">
      <w:pPr>
        <w:bidi w:val="0"/>
        <w:ind w:firstLine="3958"/>
        <w:jc w:val="center"/>
        <w:rPr>
          <w:rFonts w:ascii="Times New Roman" w:hAnsi="Times New Roman"/>
          <w:b/>
        </w:rPr>
      </w:pPr>
    </w:p>
    <w:p w:rsidR="00E2107D" w:rsidP="00E2107D">
      <w:pPr>
        <w:bidi w:val="0"/>
        <w:ind w:firstLine="3958"/>
        <w:jc w:val="center"/>
        <w:rPr>
          <w:rFonts w:ascii="Times New Roman" w:hAnsi="Times New Roman"/>
          <w:b/>
        </w:rPr>
      </w:pPr>
    </w:p>
    <w:p w:rsidR="00E2107D" w:rsidRPr="00CB3690" w:rsidP="00E2107D">
      <w:pPr>
        <w:bidi w:val="0"/>
        <w:ind w:firstLine="3958"/>
        <w:jc w:val="center"/>
        <w:rPr>
          <w:rFonts w:ascii="Times New Roman" w:hAnsi="Times New Roman"/>
          <w:b/>
        </w:rPr>
      </w:pPr>
    </w:p>
    <w:p w:rsidR="00E2107D" w:rsidRPr="00CB3690" w:rsidP="00E2107D">
      <w:pPr>
        <w:bidi w:val="0"/>
        <w:ind w:firstLine="3958"/>
        <w:jc w:val="center"/>
        <w:rPr>
          <w:rFonts w:ascii="Times New Roman" w:hAnsi="Times New Roman"/>
          <w:b/>
        </w:rPr>
      </w:pPr>
    </w:p>
    <w:p w:rsidR="00E2107D" w:rsidRPr="00CB3690" w:rsidP="00E2107D">
      <w:pPr>
        <w:bidi w:val="0"/>
        <w:ind w:firstLine="3958"/>
        <w:jc w:val="center"/>
        <w:rPr>
          <w:rFonts w:ascii="Times New Roman" w:hAnsi="Times New Roman"/>
          <w:b/>
        </w:rPr>
      </w:pPr>
    </w:p>
    <w:p w:rsidR="00E2107D" w:rsidRPr="00CB3690" w:rsidP="00E2107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Viliam Čislák</w:t>
      </w:r>
    </w:p>
    <w:p w:rsidR="00E2107D" w:rsidRPr="00CB3690" w:rsidP="00E2107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minister</w:t>
      </w:r>
      <w:r w:rsidRPr="00CB3690">
        <w:rPr>
          <w:rFonts w:ascii="Times New Roman" w:hAnsi="Times New Roman"/>
        </w:rPr>
        <w:t xml:space="preserve"> zdravotníctva</w:t>
      </w:r>
    </w:p>
    <w:p w:rsidR="00E2107D" w:rsidRPr="00CB3690" w:rsidP="00E2107D">
      <w:pPr>
        <w:bidi w:val="0"/>
        <w:jc w:val="center"/>
        <w:rPr>
          <w:rFonts w:ascii="Times New Roman" w:hAnsi="Times New Roman"/>
        </w:rPr>
      </w:pPr>
      <w:r w:rsidRPr="00CB3690">
        <w:rPr>
          <w:rFonts w:ascii="Times New Roman" w:hAnsi="Times New Roman"/>
        </w:rPr>
        <w:t>Slovenskej republiky</w:t>
      </w:r>
    </w:p>
    <w:p w:rsidR="002833EF" w:rsidP="00314DB7">
      <w:pPr>
        <w:pStyle w:val="Title"/>
        <w:bidi w:val="0"/>
        <w:spacing w:line="360" w:lineRule="auto"/>
        <w:jc w:val="both"/>
        <w:rPr>
          <w:rFonts w:ascii="Times New Roman" w:hAnsi="Times New Roman"/>
        </w:rPr>
      </w:pPr>
    </w:p>
    <w:sectPr w:rsidSect="00DC088F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F05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C4259E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9F4F0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75366"/>
    <w:multiLevelType w:val="hybridMultilevel"/>
    <w:tmpl w:val="D58E47B2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2A4C6F1E"/>
    <w:multiLevelType w:val="hybridMultilevel"/>
    <w:tmpl w:val="2398CC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7825FA7"/>
    <w:multiLevelType w:val="hybridMultilevel"/>
    <w:tmpl w:val="179628D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CB81774"/>
    <w:multiLevelType w:val="hybridMultilevel"/>
    <w:tmpl w:val="724400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oNotTrackMoves/>
  <w:defaultTabStop w:val="708"/>
  <w:hyphenationZone w:val="425"/>
  <w:characterSpacingControl w:val="doNotCompress"/>
  <w:compat/>
  <w:rsids>
    <w:rsidRoot w:val="00B46B1E"/>
    <w:rsid w:val="00000D93"/>
    <w:rsid w:val="00012FBF"/>
    <w:rsid w:val="000411D8"/>
    <w:rsid w:val="00052DBF"/>
    <w:rsid w:val="00054810"/>
    <w:rsid w:val="00055F58"/>
    <w:rsid w:val="000747B2"/>
    <w:rsid w:val="000915F7"/>
    <w:rsid w:val="000B1862"/>
    <w:rsid w:val="000E54B0"/>
    <w:rsid w:val="000F2291"/>
    <w:rsid w:val="000F5E97"/>
    <w:rsid w:val="00105376"/>
    <w:rsid w:val="001D3271"/>
    <w:rsid w:val="00204EA5"/>
    <w:rsid w:val="00207039"/>
    <w:rsid w:val="002205D6"/>
    <w:rsid w:val="00223622"/>
    <w:rsid w:val="00253D23"/>
    <w:rsid w:val="0025647F"/>
    <w:rsid w:val="00277905"/>
    <w:rsid w:val="00282987"/>
    <w:rsid w:val="002833EF"/>
    <w:rsid w:val="00294935"/>
    <w:rsid w:val="00296B92"/>
    <w:rsid w:val="002A0ED4"/>
    <w:rsid w:val="00314DB7"/>
    <w:rsid w:val="00323195"/>
    <w:rsid w:val="00331378"/>
    <w:rsid w:val="00342780"/>
    <w:rsid w:val="003477E4"/>
    <w:rsid w:val="003726FE"/>
    <w:rsid w:val="0039302B"/>
    <w:rsid w:val="003A5EBC"/>
    <w:rsid w:val="003E6473"/>
    <w:rsid w:val="0042511E"/>
    <w:rsid w:val="004549F1"/>
    <w:rsid w:val="004627C5"/>
    <w:rsid w:val="00463AAD"/>
    <w:rsid w:val="00490198"/>
    <w:rsid w:val="004A224C"/>
    <w:rsid w:val="004A2C5E"/>
    <w:rsid w:val="004A4972"/>
    <w:rsid w:val="004C31DE"/>
    <w:rsid w:val="004E0B14"/>
    <w:rsid w:val="004F00C6"/>
    <w:rsid w:val="004F5D7A"/>
    <w:rsid w:val="004F75E4"/>
    <w:rsid w:val="0053521C"/>
    <w:rsid w:val="0056092E"/>
    <w:rsid w:val="00575359"/>
    <w:rsid w:val="00576EE8"/>
    <w:rsid w:val="005A75BB"/>
    <w:rsid w:val="005F1674"/>
    <w:rsid w:val="006037A8"/>
    <w:rsid w:val="00611D44"/>
    <w:rsid w:val="006136A2"/>
    <w:rsid w:val="006248E6"/>
    <w:rsid w:val="00652E68"/>
    <w:rsid w:val="0065563B"/>
    <w:rsid w:val="0066148D"/>
    <w:rsid w:val="006617DB"/>
    <w:rsid w:val="00665A01"/>
    <w:rsid w:val="006879A9"/>
    <w:rsid w:val="0069634C"/>
    <w:rsid w:val="006C2A11"/>
    <w:rsid w:val="006C65D2"/>
    <w:rsid w:val="00707D95"/>
    <w:rsid w:val="00710693"/>
    <w:rsid w:val="00724809"/>
    <w:rsid w:val="007A2EC6"/>
    <w:rsid w:val="007B3A8F"/>
    <w:rsid w:val="007C28BA"/>
    <w:rsid w:val="007C31E0"/>
    <w:rsid w:val="007C4238"/>
    <w:rsid w:val="007D2714"/>
    <w:rsid w:val="008027AA"/>
    <w:rsid w:val="00815945"/>
    <w:rsid w:val="00831C2E"/>
    <w:rsid w:val="00847493"/>
    <w:rsid w:val="0086614D"/>
    <w:rsid w:val="00883080"/>
    <w:rsid w:val="008E1F6C"/>
    <w:rsid w:val="00915874"/>
    <w:rsid w:val="00917500"/>
    <w:rsid w:val="009569E7"/>
    <w:rsid w:val="00970175"/>
    <w:rsid w:val="0099611A"/>
    <w:rsid w:val="009A6899"/>
    <w:rsid w:val="009B0DE6"/>
    <w:rsid w:val="009C2054"/>
    <w:rsid w:val="009C3C76"/>
    <w:rsid w:val="009F4F05"/>
    <w:rsid w:val="00A14D3E"/>
    <w:rsid w:val="00A23AD3"/>
    <w:rsid w:val="00A74AE5"/>
    <w:rsid w:val="00A810AD"/>
    <w:rsid w:val="00A85A56"/>
    <w:rsid w:val="00A965F8"/>
    <w:rsid w:val="00AC03D4"/>
    <w:rsid w:val="00AC2187"/>
    <w:rsid w:val="00AC60D3"/>
    <w:rsid w:val="00AD6663"/>
    <w:rsid w:val="00AE0D3A"/>
    <w:rsid w:val="00B46B1E"/>
    <w:rsid w:val="00B54ABD"/>
    <w:rsid w:val="00B55509"/>
    <w:rsid w:val="00B85A70"/>
    <w:rsid w:val="00BC2C95"/>
    <w:rsid w:val="00BD0263"/>
    <w:rsid w:val="00BD545A"/>
    <w:rsid w:val="00BD710E"/>
    <w:rsid w:val="00BE1075"/>
    <w:rsid w:val="00BF4C19"/>
    <w:rsid w:val="00C30A50"/>
    <w:rsid w:val="00C4259E"/>
    <w:rsid w:val="00C626F5"/>
    <w:rsid w:val="00C636CC"/>
    <w:rsid w:val="00C95F69"/>
    <w:rsid w:val="00CA4D7E"/>
    <w:rsid w:val="00CB3690"/>
    <w:rsid w:val="00CD6BFA"/>
    <w:rsid w:val="00CF1712"/>
    <w:rsid w:val="00D143B4"/>
    <w:rsid w:val="00D2712C"/>
    <w:rsid w:val="00D303A1"/>
    <w:rsid w:val="00D837CF"/>
    <w:rsid w:val="00DA0AA1"/>
    <w:rsid w:val="00DA6173"/>
    <w:rsid w:val="00DB0935"/>
    <w:rsid w:val="00DB0E27"/>
    <w:rsid w:val="00DB34F7"/>
    <w:rsid w:val="00DB3813"/>
    <w:rsid w:val="00DC088F"/>
    <w:rsid w:val="00DC45C8"/>
    <w:rsid w:val="00DF2B3D"/>
    <w:rsid w:val="00E17477"/>
    <w:rsid w:val="00E2107D"/>
    <w:rsid w:val="00E22C6A"/>
    <w:rsid w:val="00E402F8"/>
    <w:rsid w:val="00E5142A"/>
    <w:rsid w:val="00E5204B"/>
    <w:rsid w:val="00E624D1"/>
    <w:rsid w:val="00E67D0A"/>
    <w:rsid w:val="00E86789"/>
    <w:rsid w:val="00E93B01"/>
    <w:rsid w:val="00EA454C"/>
    <w:rsid w:val="00EF195E"/>
    <w:rsid w:val="00EF43F4"/>
    <w:rsid w:val="00F514D9"/>
    <w:rsid w:val="00F63008"/>
    <w:rsid w:val="00F71DB7"/>
    <w:rsid w:val="00F82E57"/>
    <w:rsid w:val="00FA5223"/>
    <w:rsid w:val="00FC2AB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B1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B46B1E"/>
    <w:pPr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46B1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TitleChar"/>
    <w:uiPriority w:val="10"/>
    <w:qFormat/>
    <w:rsid w:val="00B46B1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locked/>
    <w:rsid w:val="00B46B1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Subtitle">
    <w:name w:val="Subtitle"/>
    <w:basedOn w:val="Normal"/>
    <w:link w:val="SubtitleChar"/>
    <w:uiPriority w:val="11"/>
    <w:qFormat/>
    <w:rsid w:val="00B46B1E"/>
    <w:pPr>
      <w:spacing w:line="360" w:lineRule="auto"/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B46B1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46B1E"/>
    <w:pPr>
      <w:ind w:left="720"/>
      <w:contextualSpacing/>
      <w:jc w:val="left"/>
    </w:pPr>
  </w:style>
  <w:style w:type="paragraph" w:customStyle="1" w:styleId="Odsekzoznamu1">
    <w:name w:val="Odsek zoznamu1"/>
    <w:basedOn w:val="Normal"/>
    <w:rsid w:val="002833EF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6BFA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D6B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CD6BFA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eaderChar"/>
    <w:uiPriority w:val="99"/>
    <w:unhideWhenUsed/>
    <w:rsid w:val="00DC088F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C088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DC088F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C088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724809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809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24809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809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2480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809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4809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04EA5"/>
    <w:pPr>
      <w:spacing w:after="120" w:line="480" w:lineRule="auto"/>
      <w:ind w:left="283"/>
      <w:jc w:val="left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04EA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Default">
    <w:name w:val="Default"/>
    <w:rsid w:val="00BC2C9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E2107D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B3307-FFF7-47F5-8C5E-3F200059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1663</Words>
  <Characters>9481</Characters>
  <Application>Microsoft Office Word</Application>
  <DocSecurity>0</DocSecurity>
  <Lines>0</Lines>
  <Paragraphs>0</Paragraphs>
  <ScaleCrop>false</ScaleCrop>
  <Company>MZ SR</Company>
  <LinksUpToDate>false</LinksUpToDate>
  <CharactersWithSpaces>11122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Martincová</dc:creator>
  <cp:lastModifiedBy>Gašparíková, Jarmila</cp:lastModifiedBy>
  <cp:revision>2</cp:revision>
  <cp:lastPrinted>2015-03-16T12:56:00Z</cp:lastPrinted>
  <dcterms:created xsi:type="dcterms:W3CDTF">2015-03-20T10:30:00Z</dcterms:created>
  <dcterms:modified xsi:type="dcterms:W3CDTF">2015-03-20T10:30:00Z</dcterms:modified>
</cp:coreProperties>
</file>