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5945" w:rsidRPr="00DF2B3D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="00E2107D">
        <w:rPr>
          <w:rFonts w:ascii="Times New Roman" w:hAnsi="Times New Roman"/>
        </w:rPr>
        <w:t xml:space="preserve">B. </w:t>
      </w:r>
      <w:r w:rsidRPr="00DF2B3D">
        <w:rPr>
          <w:rFonts w:ascii="Times New Roman" w:hAnsi="Times New Roman"/>
        </w:rPr>
        <w:t>Osobitná časť</w:t>
      </w:r>
    </w:p>
    <w:p w:rsidR="00815945" w:rsidRPr="00DF2B3D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815945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DF2B3D">
        <w:rPr>
          <w:rFonts w:ascii="Times New Roman" w:hAnsi="Times New Roman"/>
        </w:rPr>
        <w:t>K čl. I</w:t>
      </w:r>
    </w:p>
    <w:p w:rsidR="00847493" w:rsidP="00847493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6C2A11" w:rsidRPr="00DF2B3D" w:rsidP="006C2A11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DF2B3D">
        <w:rPr>
          <w:rFonts w:ascii="Times New Roman" w:hAnsi="Times New Roman"/>
        </w:rPr>
        <w:t xml:space="preserve">K bodu </w:t>
      </w:r>
      <w:r w:rsidR="00BD0263">
        <w:rPr>
          <w:rFonts w:ascii="Times New Roman" w:hAnsi="Times New Roman"/>
        </w:rPr>
        <w:t>1</w:t>
      </w:r>
    </w:p>
    <w:p w:rsidR="0081594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 w:rsidR="009F4F05">
        <w:rPr>
          <w:rFonts w:ascii="Times New Roman" w:hAnsi="Times New Roman"/>
          <w:b w:val="0"/>
        </w:rPr>
        <w:t>Látka AH-7921 je štrukturálne atypické syntetické opioidné analgetikum, ktoré internetoví dodávatelia, užívateľské internetové stránky a média bežne nazývajú „doxylam“. Možno si ho ľahko pomýliť s „doxylamínom“, antihistaminickým liekom so sedatívno-hypnotickými vlastnosťami, čo by mohlo viesť k neúmyselnému predávkovaniu.</w:t>
      </w:r>
    </w:p>
    <w:p w:rsidR="009F4F0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Je ťažké určiť konkrétne fyzické účinky látky AH-7921, pretože neexistujú žiadne zverejnené štúdie hodnotiace jeho akútnu a chronickú toxicitu, účinky na psychické zdravie, správanie a návykový potenciál, ako aj preto, že sú k dispozícii len obmedzené informácie a údaje. Zo správ od užívateľov vyplýva, že účinky látky AH-7921 sa zrejme podobajú účinkom klasických opioidov – vyvoláva pocity miernej eufórie, svrbenie a uvoľnenie; zdá sa, že typickým nežiaducim účinkom je nevoľnosť. Okrem experimentovania s látkou AH-7921 na sebe a jej „rekreačného užívania“ niektorí užívatelia tvrdia, že túto novú drogu používajú na zmiernenie bolesti, iní na zmiernenie abstinenčných príznakov, pretože prestali užívať iné opioidy. To môže naznačovať potenciál látky AH-7921 rozšíriť sa medzi užívateľov, ktorí opioidy užívajú injekčne.</w:t>
      </w:r>
    </w:p>
    <w:p w:rsidR="009F4F0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Pokiaľ ide o užívanie látky AH-7921, nie sú k dispozícii žiadne údaje o prevalencii, ale z dostupných informácií vyplýva, že táto látka nie je užívaná vo väčšej miere, a že keď sa užíva, toto užívanie je v domácom prostredí.</w:t>
      </w:r>
    </w:p>
    <w:p w:rsidR="009F4F0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 xml:space="preserve">V období od decembra 2012 do septembra 2013 bolo zaznamenaných 15 smrteľných prípadov v troch členských štátoch, pričom vo vzorkách odobraných </w:t>
      </w:r>
      <w:r w:rsidRPr="009F4F05">
        <w:rPr>
          <w:rFonts w:ascii="Times New Roman" w:hAnsi="Times New Roman"/>
          <w:b w:val="0"/>
          <w:i/>
          <w:iCs/>
        </w:rPr>
        <w:t xml:space="preserve">post mortem </w:t>
      </w:r>
      <w:r w:rsidRPr="009F4F05">
        <w:rPr>
          <w:rFonts w:ascii="Times New Roman" w:hAnsi="Times New Roman"/>
          <w:b w:val="0"/>
        </w:rPr>
        <w:t>bola zistená prítomnosť látky AH-7921 samostatne alebo v kombinácii s inými látkami. Hoci nie je možné s istotou určiť, akú úlohu zohrala látka AH-7921 vo všetkých týchto smrteľných prípadoch, v niektorých z nich bola výslovne uvedená medzi príčinami smrti. Jeden členský štát uviedol 6 prípadov intoxikácie bez smrteľných následkov spojených s látkou AH-7921. Ak by sa táto nová psychoaktívna látka stala dostupnejšou a viac užívanou, mohli by byť dôsledky pre zdravie jednotlivcov a verejnosti značné. Nie sú k dispozícii žiadne informácie o sociálnych rizikách spojených s látkou AH-7921.</w:t>
      </w:r>
    </w:p>
    <w:p w:rsidR="009F4F0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Zo správy o hodnotení rizika vyplýva, že dostupné vedecké dôkazy o látke AH-7921 sú obmedzené a že na určenie zdravotných a sociálnych rizík, ktoré predstavuje, by bol potrebný ďalší výskum. Dostupné dôkazy a informácie však poskytujú dostatočný dôvod na podrobenie látky AH-7921 kontrolným opatreniam v celej Únii. Látka AH-7921 by mala byť v dôsledku zdravotných rizík, ktoré predstavuje, ako nasvedčuje jej prítomnosť v niekoľkých oznámených prípadoch úmrtia, v dôsledku skutočnosti, že užívatelia ju môžu užiť bez svojho vedomia, ako aj v dôsledku toho, že nemá žiadnu lekársku hodnotu či využitie, podrobená kontrolným opatreniam v celej Únii.</w:t>
      </w:r>
    </w:p>
    <w:p w:rsidR="009F4F05" w:rsidRPr="009F4F05" w:rsidP="009F4F05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Vzhľadom na to, že jeden členský štát kontroluje látku AH-7921 podľa vnútroštátnych právnych predpisov v súlade so záväzkami Dohovoru Organizácie Spojených národov z roku 1971 o psychotropných látkach a päť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jej dostupnosť a užívanie môžu predstavovať.</w:t>
      </w:r>
    </w:p>
    <w:p w:rsidR="009F4F05" w:rsidP="00A965F8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A965F8" w:rsidRPr="00DF2B3D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DF2B3D" w:rsidR="00915874">
        <w:rPr>
          <w:rFonts w:ascii="Times New Roman" w:hAnsi="Times New Roman"/>
        </w:rPr>
        <w:t xml:space="preserve">K bodu </w:t>
      </w:r>
      <w:r w:rsidR="00BD0263">
        <w:rPr>
          <w:rFonts w:ascii="Times New Roman" w:hAnsi="Times New Roman"/>
        </w:rPr>
        <w:t>2</w:t>
      </w:r>
    </w:p>
    <w:p w:rsidR="004627C5" w:rsidP="004627C5">
      <w:pPr>
        <w:pStyle w:val="Default"/>
        <w:bidi w:val="0"/>
        <w:spacing w:line="360" w:lineRule="auto"/>
        <w:ind w:firstLine="426"/>
        <w:jc w:val="both"/>
      </w:pPr>
      <w:r w:rsidRPr="004627C5" w:rsidR="00BC2C95">
        <w:rPr>
          <w:rFonts w:ascii="Times New Roman" w:hAnsi="Times New Roman" w:cs="Times New Roman"/>
        </w:rPr>
        <w:t xml:space="preserve">Látka 25I-NBOMe je silný syntetický derivát látky 2,5-dimetoxy-4-jódofenetylamín (2C-I), klasického serotonergického halucinogénu, ktorý bol podrobený hodnoteniu rizika a kontrolným opatreniam a bol predmetom trestných sankcií na úrovni Únie od roku 2003 podľa rozhodnutia Rady 2003/847/SVV </w:t>
      </w:r>
      <w:r w:rsidRPr="004627C5">
        <w:rPr>
          <w:rFonts w:ascii="Times New Roman" w:hAnsi="Times New Roman" w:cs="Times New Roman"/>
        </w:rPr>
        <w:t>z 27. novembra 2003 o kontrolných opatreniach a trestných sankciách s ohľadom na nové syntetické dro</w:t>
      </w:r>
      <w:r>
        <w:rPr>
          <w:rFonts w:ascii="Times New Roman" w:hAnsi="Times New Roman" w:cs="Times New Roman"/>
        </w:rPr>
        <w:t>gy 2C-I, 2C-T-2, 2C-T-7 a TMA-2</w:t>
      </w:r>
      <w:r w:rsidRPr="004627C5" w:rsidR="00BC2C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27C5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 xml:space="preserve"> Je ťažké určiť konkrétne fyzické účinky látky 25I-NBOMe, pretože neexistujú žiadne zverejnené štúdie hodnotiace jej akútnu a chronickú toxicitu, účinky na psychické zdravie a správanie, ako aj návykový potenciál, a pretože sú k dispozícii len obmedzené informácie a údaje. Klinické pozorovania osôb, ktoré túto látku užili, naznačujú, že má halucinogénne účinky a potenciál vyvolať silný nepokoj, zmätok, intenzívne zvukové a vizuálne halucinácie, agresivitu, násilné incidenty a sebapoškodzovanie.</w:t>
      </w:r>
    </w:p>
    <w:p w:rsidR="004627C5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>V súvislosti s látkou 25I-NBOMe sa zaznamenali štyri úmrtia v troch členských štátoch. Ťažká toxicita súvisiaca s jej použitím bola zaznamenaná v štyroch členských štátoch, ktoré oznámili 32 prípadov intoxikácií bez smrteľných následkov. Ak by sa táto nová psychoaktívna látka stala dostupnejšou a viac užívanou, mohli by byť dôsledky pre zdravie jednotlivcov a verejnosti značné. Pokiaľ ide o sociálne riziká spojené s látkou 25I-NBOMe, nie sú k dispozícii žiadne informácie.</w:t>
      </w:r>
    </w:p>
    <w:p w:rsidR="004627C5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627C5">
        <w:rPr>
          <w:rFonts w:ascii="Times New Roman" w:hAnsi="Times New Roman" w:cs="Times New Roman"/>
        </w:rPr>
        <w:t>Výskyt látky 25I-NBOMe nahlásilo</w:t>
      </w:r>
      <w:r>
        <w:rPr>
          <w:rFonts w:ascii="Times New Roman" w:hAnsi="Times New Roman" w:cs="Times New Roman"/>
        </w:rPr>
        <w:t xml:space="preserve"> Európskemu monitorovaciemu  centru pre drogy a drogovú závislosť (</w:t>
      </w:r>
      <w:r w:rsidRPr="004627C5">
        <w:rPr>
          <w:rFonts w:ascii="Times New Roman" w:hAnsi="Times New Roman" w:cs="Times New Roman"/>
        </w:rPr>
        <w:t>EMCDDA</w:t>
      </w:r>
      <w:r>
        <w:rPr>
          <w:rFonts w:ascii="Times New Roman" w:hAnsi="Times New Roman" w:cs="Times New Roman"/>
        </w:rPr>
        <w:t>)</w:t>
      </w:r>
      <w:r w:rsidRPr="004627C5">
        <w:rPr>
          <w:rFonts w:ascii="Times New Roman" w:hAnsi="Times New Roman" w:cs="Times New Roman"/>
        </w:rPr>
        <w:t xml:space="preserve"> a Európskemu policajnému úradu (Europol) 22 členských štátov a Nórsko. Čo sa týka užívania 25I-NBOMe, nie sú k dispozícii žiadne údaje o prevalencii, ale z obmedzených dostupných informácií vyplýva, že látka môže byť užívaná v rôznom prostredí, a to napríklad doma, v baroch, nočných kluboch a na hudobných festivaloch.</w:t>
      </w:r>
    </w:p>
    <w:p w:rsidR="004627C5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 w:rsidR="009A6899">
        <w:rPr>
          <w:rFonts w:ascii="Times New Roman" w:hAnsi="Times New Roman" w:cs="Times New Roman"/>
        </w:rPr>
        <w:t xml:space="preserve">Látka 25I-NBOMe je uvádzaná na trh otvorene a predávaná na internete ako „chemikália určená na výskum“ a informácie z jej záchytu, odobraných vzoriek, užívateľských internetových stránok a od internetových predajcov naznačujú, že sa predáva ako samostatná droga a takisto ako „legálna“ náhrada </w:t>
      </w:r>
      <w:r w:rsidR="009A6899">
        <w:rPr>
          <w:rFonts w:ascii="Times New Roman" w:hAnsi="Times New Roman" w:cs="Times New Roman"/>
        </w:rPr>
        <w:t>lysergidu (</w:t>
      </w:r>
      <w:r w:rsidRPr="009A6899" w:rsidR="009A6899">
        <w:rPr>
          <w:rFonts w:ascii="Times New Roman" w:hAnsi="Times New Roman" w:cs="Times New Roman"/>
        </w:rPr>
        <w:t>LSD</w:t>
      </w:r>
      <w:r w:rsidR="009A6899">
        <w:rPr>
          <w:rFonts w:ascii="Times New Roman" w:hAnsi="Times New Roman" w:cs="Times New Roman"/>
        </w:rPr>
        <w:t>)</w:t>
      </w:r>
      <w:r w:rsidRPr="009A6899" w:rsidR="009A6899">
        <w:rPr>
          <w:rFonts w:ascii="Times New Roman" w:hAnsi="Times New Roman" w:cs="Times New Roman"/>
        </w:rPr>
        <w:t xml:space="preserve">. </w:t>
      </w:r>
      <w:r w:rsidR="009A6899">
        <w:rPr>
          <w:rFonts w:ascii="Times New Roman" w:hAnsi="Times New Roman" w:cs="Times New Roman"/>
        </w:rPr>
        <w:t>Európske monitorovacie  centrum pre drogy a drogovú závislosť (</w:t>
      </w:r>
      <w:r w:rsidRPr="009A6899" w:rsidR="009A6899">
        <w:rPr>
          <w:rFonts w:ascii="Times New Roman" w:hAnsi="Times New Roman" w:cs="Times New Roman"/>
        </w:rPr>
        <w:t>EMCDDA</w:t>
      </w:r>
      <w:r w:rsidR="009A6899">
        <w:rPr>
          <w:rFonts w:ascii="Times New Roman" w:hAnsi="Times New Roman" w:cs="Times New Roman"/>
        </w:rPr>
        <w:t>)</w:t>
      </w:r>
      <w:r w:rsidRPr="009A6899" w:rsidR="009A6899">
        <w:rPr>
          <w:rFonts w:ascii="Times New Roman" w:hAnsi="Times New Roman" w:cs="Times New Roman"/>
        </w:rPr>
        <w:t xml:space="preserve"> identifikovalo viac ako pätnásť internetových predajcov, ktorí túto látku predávajú a zrejme majú sídlo v Únii a v Číne.</w:t>
      </w:r>
    </w:p>
    <w:p w:rsidR="009A6899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>
        <w:rPr>
          <w:rFonts w:ascii="Times New Roman" w:hAnsi="Times New Roman" w:cs="Times New Roman"/>
        </w:rPr>
        <w:t>Zo správy o hodnotení rizika vyplýva, že dostupné vedecké dôkazy o látke 25I-NBOMe sú obmedzené a že na určenie zdravotných a sociálnych rizík, ktoré predstavuje, by bol potrebný ďalší výskum. Dostupné dôkazy a informácie však poskytujú dostatočný dôvod na podrobenie látky 25I-NBOMe kontrolným opatreniam v celej Únii. Látka 25I-NBOMe by mala byť v dôsledku zdravotných rizík, ktoré predstavuje, ako nasvedčuje jej prítomnosť v niekoľkých oznámených prípadoch úmrtia, v dôsledku skutočnosti, že užívatelia ju môžu užiť bez svojho vedomia, ako aj v dôsledku toho, že nemá žiadnu lekársku hodnotu či využitie, podrobená kontrolným opatreniam v celej Únii.</w:t>
      </w:r>
    </w:p>
    <w:p w:rsidR="009A6899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A6899">
        <w:rPr>
          <w:rFonts w:ascii="Times New Roman" w:hAnsi="Times New Roman" w:cs="Times New Roman"/>
        </w:rPr>
        <w:t>Vzhľadom na to, že šesť členských štátov kontroluje látku 25I-NBOMe podľa vnútroštátnych právnych predpisov v súlade so záväzkami Dohovoru Organizácie Spojených národov o psychotropných látkach z roku 1971 a sedem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jej dostupnosť a užívanie môžu predstavovať.</w:t>
      </w:r>
    </w:p>
    <w:p w:rsidR="0086614D" w:rsidP="0086614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86614D" w:rsidP="0086614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DF2B3D">
        <w:rPr>
          <w:rFonts w:ascii="Times New Roman" w:hAnsi="Times New Roman"/>
        </w:rPr>
        <w:t xml:space="preserve">K bodu </w:t>
      </w:r>
      <w:r w:rsidR="00BD0263">
        <w:rPr>
          <w:rFonts w:ascii="Times New Roman" w:hAnsi="Times New Roman"/>
        </w:rPr>
        <w:t>3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Metoxetamín je arylcyklohexylamínová látka, ktorá je chemicky podobná ketamínu a medzinárodne kontrolovanej látke fencyklidín (PCP). Rovnako ako ketamín a PCP má aj metoxetamín disociačné vlastnosti.</w:t>
      </w:r>
    </w:p>
    <w:p w:rsidR="0086614D" w:rsidRPr="009F4F05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Neexistujú žiadne štúdie hodnotiace chronickú a akútnu toxicitu spojenú s metoxetamínom, jeho účinky na psychické zdravie a správanie a návykový potenciál. Subjektívne skúsenosti uvedené na užívateľských internetových stránkach naznačujú nežiaduce účinky podobné intoxikácii ketamínom. Ide o nevoľnosť a silné zvracanie, dýchacie ťažkosti, záchvaty, dezorientáciu, pocity úzkosti, katatóniu, agresivitu, halucinácie, paranoju a psychózu. Okrem toho môžu akútne intoxikácie metoxetamínom zahŕňať stimulačné účinky (nepokoj, tachykardiu a hypertenziu) a vplyv na mozgovú činnosť, ktoré sa v prípade akútnej intoxikácie ketamínom neočakávajú.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 xml:space="preserve">V súvislosti s metoxetamínom nahlásilo šesť členských štátov dvadsať úmrtí, pričom táto látka bola zistená vo vzorkách odobraných </w:t>
      </w:r>
      <w:r w:rsidRPr="009F4F05">
        <w:rPr>
          <w:rFonts w:ascii="Times New Roman" w:hAnsi="Times New Roman"/>
          <w:b w:val="0"/>
          <w:i/>
          <w:iCs/>
        </w:rPr>
        <w:t>post mortem</w:t>
      </w:r>
      <w:r w:rsidRPr="009F4F05">
        <w:rPr>
          <w:rFonts w:ascii="Times New Roman" w:hAnsi="Times New Roman"/>
          <w:b w:val="0"/>
        </w:rPr>
        <w:t>. Používaný samostatne, alebo v kombinácii s inými látkami sa metoxetamín zistil aj v prípade dvadsiatich intoxikácií bez smrteľných následkov, ktoré nahlásilo päť členských štátov. Ak by sa táto nová psychoaktívna látka stala dostupnejšou a viac užívanou, mohli by byť dôsledky pre zdravie jednotlivcov a verejnosti značné.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Od novembra 2010 nahlásilo nález metoxetamínu 23 členských štátov, Turecko a Nórsko. Informácie naznačujú, že metoxetamín sa predáva a užíva ako samostatná látka, ale aj ako „legálna“ náhrada ketamínu prostredníctvom internetových predajcov, v tzv. „head shopoch“ a prostredníctvom dílerov na ulici.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V rámci Únie bola táto látka vo forme prášku zachytená v objeme niekoľkých kilogramov, ale neexistujú žiadne informácie o možnom zapojení organizovanej trestnej činnosti. Výroba metoxetamínu nevyžaduje zložité vybavenie.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9F4F05">
        <w:rPr>
          <w:rFonts w:ascii="Times New Roman" w:hAnsi="Times New Roman"/>
          <w:b w:val="0"/>
        </w:rPr>
        <w:t>Údaje o prevalencii sú obmedzené na nereprezentatívne štúdie v dvoch členských štátoch. Tieto štúdie naznačujú, že prevalencia užívania metoxetamínu je nižšia než ketamínu. Z dostupných informácií vyplýva, že je zrejme konzumovaná v širokom spektre rôznych prostredí, okrem iného doma, v baroch, nočných kluboch a na hudobných festivaloch.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4C31DE">
        <w:rPr>
          <w:rFonts w:ascii="Times New Roman" w:hAnsi="Times New Roman"/>
          <w:b w:val="0"/>
        </w:rPr>
        <w:t>Zo správy o hodnotení rizík vyplýva, že na určenie zdravotných a spoločenských rizík, ktoré predstavuje metoxetamín, by bol potrebný ďalší výskum. Dostupné dôkazy a informácie však poskytujú dostatočné dôvody na podrobenie metoxetamínu kontrolným opatreniam v celej Únii. Metoxamín by mal byť v dôsledku zdravotných rizík, ktoré predstavuje, ako nasvedčuje jeho prítomnosť v niekoľkých oznámených prípadoch úmrtia, v dôsledku skutočnosti, že užívatelia ho môžu užiť bez svojho vedomia, ako aj v dôsledku toho, že nemá žiadnu lekársku hodnotu či využitie, podrobený kontrolným opatreniam v celej Únii.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 w:rsidRPr="004C31DE">
        <w:rPr>
          <w:rFonts w:ascii="Times New Roman" w:hAnsi="Times New Roman"/>
          <w:b w:val="0"/>
        </w:rPr>
        <w:t>Vzhľadom na to, že deväť členských štátov kontroluje látku metoxetamín podľa vnútroštátnych právnych predpisov v súlade so záväzkami Dohovoru Organizácie Spojených národov o psychotropných látkach z roku 1971 a deväť členských štátov používa na jej kontrolu iné legislatívne opatrenia, by podrobenie tejto látky kontrolným opatreniam v celej Únii pomohlo predísť vzniku prekážok pri cezhraničnom presadzovaní práva a justičnej spolupráci a prispelo by k ochrane pred rizikami, ktoré môžu jej dostupnosť a užívanie predstavovať.</w:t>
      </w:r>
    </w:p>
    <w:p w:rsidR="0086614D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 Slovenskej republike je </w:t>
      </w:r>
      <w:r w:rsidRPr="004C31DE">
        <w:rPr>
          <w:rFonts w:ascii="Times New Roman" w:hAnsi="Times New Roman"/>
          <w:b w:val="0"/>
        </w:rPr>
        <w:t>metoxetamín</w:t>
      </w:r>
      <w:r>
        <w:rPr>
          <w:rFonts w:ascii="Times New Roman" w:hAnsi="Times New Roman"/>
          <w:b w:val="0"/>
        </w:rPr>
        <w:t xml:space="preserve"> zaradený od 1. októbra 2013 medzi rizikové látky, ktoré sú uvedené v prílohe vyhlášky Ministerstva zdravotníctva Slovenskej republiky č. 298/2013 Z. z. , </w:t>
      </w:r>
      <w:r w:rsidRPr="004C31DE">
        <w:rPr>
          <w:rFonts w:ascii="Times New Roman" w:hAnsi="Times New Roman"/>
          <w:b w:val="0"/>
        </w:rPr>
        <w:t>ktorou sa vydáva zoznam rizikových látok</w:t>
      </w:r>
      <w:r>
        <w:rPr>
          <w:rFonts w:ascii="Times New Roman" w:hAnsi="Times New Roman"/>
          <w:b w:val="0"/>
        </w:rPr>
        <w:t xml:space="preserve">. Odo dňa nadobudnutia účinnosti tohto zákona bude  </w:t>
      </w:r>
      <w:r w:rsidRPr="004C31DE">
        <w:rPr>
          <w:rFonts w:ascii="Times New Roman" w:hAnsi="Times New Roman"/>
          <w:b w:val="0"/>
        </w:rPr>
        <w:t>metoxetamín</w:t>
      </w:r>
      <w:r>
        <w:rPr>
          <w:rFonts w:ascii="Times New Roman" w:hAnsi="Times New Roman"/>
          <w:b w:val="0"/>
        </w:rPr>
        <w:t xml:space="preserve"> vyradený zo zoznamu rizikových látok v súlade s § 16a odsekom 2 zákona č. 139/1998 Z. z. </w:t>
      </w:r>
    </w:p>
    <w:p w:rsidR="0086614D" w:rsidRPr="004C31DE" w:rsidP="0086614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</w:p>
    <w:p w:rsidR="009A6899" w:rsidRPr="009A6899" w:rsidP="004627C5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883080" w:rsidRPr="00DF2B3D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DF2B3D">
        <w:rPr>
          <w:rFonts w:ascii="Times New Roman" w:hAnsi="Times New Roman"/>
        </w:rPr>
        <w:t>K čl. II</w:t>
      </w:r>
    </w:p>
    <w:p w:rsidR="0042511E" w:rsidRPr="0042511E" w:rsidP="0042511E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2511E" w:rsidR="00883080">
        <w:rPr>
          <w:rFonts w:ascii="Times New Roman" w:hAnsi="Times New Roman" w:cs="Times New Roman"/>
        </w:rPr>
        <w:t>Dátum účinnosti sa navrhuje s prihliadnutím na predpokladanú dĺžku legislatívneho procesu</w:t>
      </w:r>
      <w:r w:rsidRPr="0042511E" w:rsidR="00707D95">
        <w:rPr>
          <w:rFonts w:ascii="Times New Roman" w:hAnsi="Times New Roman" w:cs="Times New Roman"/>
        </w:rPr>
        <w:t xml:space="preserve"> a </w:t>
      </w:r>
      <w:r w:rsidRPr="0042511E" w:rsidR="00F514D9">
        <w:rPr>
          <w:rFonts w:ascii="Times New Roman" w:hAnsi="Times New Roman" w:cs="Times New Roman"/>
        </w:rPr>
        <w:t xml:space="preserve">lehotu implementácie </w:t>
      </w:r>
      <w:r w:rsidR="00A74AE5">
        <w:rPr>
          <w:rFonts w:ascii="Times New Roman" w:hAnsi="Times New Roman" w:cs="Times New Roman"/>
        </w:rPr>
        <w:t xml:space="preserve">vykonávacieho </w:t>
      </w:r>
      <w:r w:rsidRPr="0042511E" w:rsidR="00F514D9">
        <w:rPr>
          <w:rFonts w:ascii="Times New Roman" w:hAnsi="Times New Roman" w:cs="Times New Roman"/>
        </w:rPr>
        <w:t xml:space="preserve">rozhodnutia Rady z </w:t>
      </w:r>
      <w:r w:rsidRPr="0042511E">
        <w:rPr>
          <w:rFonts w:ascii="Times New Roman" w:hAnsi="Times New Roman" w:cs="Times New Roman"/>
        </w:rPr>
        <w:t>25</w:t>
      </w:r>
      <w:r w:rsidRPr="0042511E" w:rsidR="00F514D9">
        <w:rPr>
          <w:rFonts w:ascii="Times New Roman" w:hAnsi="Times New Roman" w:cs="Times New Roman"/>
        </w:rPr>
        <w:t xml:space="preserve">. </w:t>
      </w:r>
      <w:r w:rsidRPr="0042511E">
        <w:rPr>
          <w:rFonts w:ascii="Times New Roman" w:hAnsi="Times New Roman" w:cs="Times New Roman"/>
        </w:rPr>
        <w:t>septembra</w:t>
      </w:r>
      <w:r w:rsidRPr="0042511E" w:rsidR="00F514D9">
        <w:rPr>
          <w:rFonts w:ascii="Times New Roman" w:hAnsi="Times New Roman" w:cs="Times New Roman"/>
        </w:rPr>
        <w:t xml:space="preserve"> 201</w:t>
      </w:r>
      <w:r w:rsidRPr="0042511E">
        <w:rPr>
          <w:rFonts w:ascii="Times New Roman" w:hAnsi="Times New Roman" w:cs="Times New Roman"/>
        </w:rPr>
        <w:t>4</w:t>
      </w:r>
      <w:r w:rsidRPr="0042511E" w:rsidR="00F514D9">
        <w:rPr>
          <w:rFonts w:ascii="Times New Roman" w:hAnsi="Times New Roman" w:cs="Times New Roman"/>
        </w:rPr>
        <w:t xml:space="preserve"> </w:t>
      </w:r>
      <w:r w:rsidRPr="0042511E">
        <w:rPr>
          <w:rFonts w:ascii="Times New Roman" w:hAnsi="Times New Roman" w:cs="Times New Roman"/>
          <w:bCs/>
        </w:rPr>
        <w:t>o podrobení látok 4-jód-2,5-dimetoxy-N-(2-metoxybenzyl)fenetylamín (25I-NBOMe), 3,4-dichlór-N- [[1-(dimetylamino)cyklohexyl]metyl]benzamid (AH-7921), 3,4-metyléndioxypyrovalerón (MDPV) a 2-(3-metoxyfenyl)-2-(etylamino)cyklohexanón (metoxetamín) kontrolným opatreniam</w:t>
      </w:r>
      <w:r w:rsidR="00A74AE5">
        <w:rPr>
          <w:rFonts w:ascii="Times New Roman" w:hAnsi="Times New Roman" w:cs="Times New Roman"/>
          <w:bCs/>
        </w:rPr>
        <w:t xml:space="preserve"> (</w:t>
      </w:r>
      <w:r w:rsidRPr="0042511E" w:rsidR="00A74AE5">
        <w:rPr>
          <w:rFonts w:ascii="Times New Roman" w:hAnsi="Times New Roman" w:cs="Times New Roman"/>
        </w:rPr>
        <w:t>2014/688/EÚ</w:t>
      </w:r>
      <w:r w:rsidR="00A74AE5">
        <w:rPr>
          <w:rFonts w:ascii="Times New Roman" w:hAnsi="Times New Roman" w:cs="Times New Roman"/>
        </w:rPr>
        <w:t>)</w:t>
      </w:r>
      <w:r w:rsidRPr="0042511E">
        <w:rPr>
          <w:rFonts w:ascii="Times New Roman" w:hAnsi="Times New Roman" w:cs="Times New Roman"/>
        </w:rPr>
        <w:t xml:space="preserve">. </w:t>
      </w:r>
    </w:p>
    <w:p w:rsidR="00883080" w:rsidRPr="00815945" w:rsidP="00314DB7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883080" w:rsidP="00314DB7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E2107D" w:rsidRPr="00CB3690" w:rsidP="00E2107D">
      <w:pPr>
        <w:bidi w:val="0"/>
        <w:jc w:val="both"/>
        <w:rPr>
          <w:rStyle w:val="PlaceholderText"/>
          <w:color w:val="000000"/>
        </w:rPr>
      </w:pPr>
      <w:r w:rsidRPr="00CB3690">
        <w:rPr>
          <w:rStyle w:val="PlaceholderText"/>
          <w:color w:val="000000"/>
        </w:rPr>
        <w:t xml:space="preserve">Bratislava </w:t>
      </w:r>
      <w:r>
        <w:rPr>
          <w:rStyle w:val="PlaceholderText"/>
          <w:color w:val="000000"/>
        </w:rPr>
        <w:t>4</w:t>
      </w:r>
      <w:r w:rsidRPr="00CB3690">
        <w:rPr>
          <w:rStyle w:val="PlaceholderText"/>
          <w:color w:val="000000"/>
        </w:rPr>
        <w:t xml:space="preserve">. </w:t>
      </w:r>
      <w:r>
        <w:rPr>
          <w:rStyle w:val="PlaceholderText"/>
          <w:color w:val="000000"/>
        </w:rPr>
        <w:t>marc</w:t>
      </w:r>
      <w:r w:rsidRPr="00CB3690">
        <w:rPr>
          <w:rStyle w:val="PlaceholderText"/>
          <w:color w:val="000000"/>
        </w:rPr>
        <w:t>a 201</w:t>
      </w:r>
      <w:r>
        <w:rPr>
          <w:rStyle w:val="PlaceholderText"/>
          <w:color w:val="000000"/>
        </w:rPr>
        <w:t>5</w:t>
      </w:r>
    </w:p>
    <w:p w:rsidR="00E2107D" w:rsidRPr="00CB3690" w:rsidP="00E2107D">
      <w:pPr>
        <w:bidi w:val="0"/>
        <w:spacing w:after="280" w:afterAutospacing="1"/>
        <w:rPr>
          <w:rStyle w:val="PlaceholderText"/>
          <w:color w:val="000000"/>
        </w:rPr>
      </w:pPr>
    </w:p>
    <w:p w:rsidR="00E2107D" w:rsidP="00E2107D">
      <w:pPr>
        <w:bidi w:val="0"/>
        <w:spacing w:after="280" w:afterAutospacing="1"/>
        <w:rPr>
          <w:rStyle w:val="PlaceholderText"/>
          <w:color w:val="000000"/>
        </w:rPr>
      </w:pPr>
    </w:p>
    <w:p w:rsidR="00E2107D" w:rsidRPr="00CB3690" w:rsidP="00E2107D">
      <w:pPr>
        <w:bidi w:val="0"/>
        <w:spacing w:after="280" w:afterAutospacing="1"/>
        <w:rPr>
          <w:rStyle w:val="PlaceholderText"/>
          <w:color w:val="000000"/>
        </w:rPr>
      </w:pPr>
    </w:p>
    <w:p w:rsidR="00E2107D" w:rsidRPr="00CB3690" w:rsidP="00E2107D">
      <w:pPr>
        <w:bidi w:val="0"/>
        <w:spacing w:after="280" w:afterAutospacing="1"/>
        <w:rPr>
          <w:rStyle w:val="PlaceholderText"/>
          <w:color w:val="000000"/>
        </w:rPr>
      </w:pPr>
    </w:p>
    <w:p w:rsidR="00E2107D" w:rsidRPr="00CB3690" w:rsidP="00E2107D">
      <w:pPr>
        <w:bidi w:val="0"/>
        <w:jc w:val="center"/>
        <w:rPr>
          <w:rFonts w:ascii="Times New Roman" w:hAnsi="Times New Roman"/>
          <w:b/>
        </w:rPr>
      </w:pPr>
      <w:r w:rsidRPr="00CB3690">
        <w:rPr>
          <w:rFonts w:ascii="Times New Roman" w:hAnsi="Times New Roman"/>
          <w:b/>
        </w:rPr>
        <w:t>Robert Fico</w:t>
      </w:r>
    </w:p>
    <w:p w:rsidR="00E2107D" w:rsidRPr="00CB3690" w:rsidP="00E2107D">
      <w:pPr>
        <w:bidi w:val="0"/>
        <w:jc w:val="center"/>
        <w:rPr>
          <w:rFonts w:ascii="Times New Roman" w:hAnsi="Times New Roman"/>
        </w:rPr>
      </w:pPr>
      <w:r w:rsidRPr="00CB3690">
        <w:rPr>
          <w:rFonts w:ascii="Times New Roman" w:hAnsi="Times New Roman"/>
        </w:rPr>
        <w:t>predseda vlády</w:t>
      </w:r>
    </w:p>
    <w:p w:rsidR="00E2107D" w:rsidRPr="00CB3690" w:rsidP="00E2107D">
      <w:pPr>
        <w:bidi w:val="0"/>
        <w:jc w:val="center"/>
        <w:rPr>
          <w:rFonts w:ascii="Times New Roman" w:hAnsi="Times New Roman"/>
        </w:rPr>
      </w:pPr>
      <w:r w:rsidRPr="00CB3690">
        <w:rPr>
          <w:rFonts w:ascii="Times New Roman" w:hAnsi="Times New Roman"/>
        </w:rPr>
        <w:t>Slovenskej republiky</w:t>
      </w:r>
    </w:p>
    <w:p w:rsidR="00E2107D" w:rsidRPr="00CB3690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RPr="00CB3690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RPr="00CB3690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RPr="00CB3690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RPr="00CB3690" w:rsidP="00E2107D">
      <w:pPr>
        <w:bidi w:val="0"/>
        <w:ind w:firstLine="3958"/>
        <w:jc w:val="center"/>
        <w:rPr>
          <w:rFonts w:ascii="Times New Roman" w:hAnsi="Times New Roman"/>
          <w:b/>
        </w:rPr>
      </w:pPr>
    </w:p>
    <w:p w:rsidR="00E2107D" w:rsidRPr="00CB3690" w:rsidP="00E2107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Viliam Čislák</w:t>
      </w:r>
    </w:p>
    <w:p w:rsidR="00E2107D" w:rsidRPr="00CB3690" w:rsidP="00E2107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  <w:r w:rsidRPr="00CB3690">
        <w:rPr>
          <w:rFonts w:ascii="Times New Roman" w:hAnsi="Times New Roman"/>
        </w:rPr>
        <w:t xml:space="preserve"> zdravotníctva</w:t>
      </w:r>
    </w:p>
    <w:p w:rsidR="00E2107D" w:rsidRPr="00CB3690" w:rsidP="00E2107D">
      <w:pPr>
        <w:bidi w:val="0"/>
        <w:jc w:val="center"/>
        <w:rPr>
          <w:rFonts w:ascii="Times New Roman" w:hAnsi="Times New Roman"/>
        </w:rPr>
      </w:pPr>
      <w:r w:rsidRPr="00CB3690">
        <w:rPr>
          <w:rFonts w:ascii="Times New Roman" w:hAnsi="Times New Roman"/>
        </w:rPr>
        <w:t>Slovenskej republiky</w:t>
      </w:r>
    </w:p>
    <w:p w:rsidR="002833EF" w:rsidP="00314DB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sectPr w:rsidSect="00DC088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0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4259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9F4F0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366"/>
    <w:multiLevelType w:val="hybridMultilevel"/>
    <w:tmpl w:val="D58E47B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2A4C6F1E"/>
    <w:multiLevelType w:val="hybridMultilevel"/>
    <w:tmpl w:val="2398C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7825FA7"/>
    <w:multiLevelType w:val="hybridMultilevel"/>
    <w:tmpl w:val="179628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B81774"/>
    <w:multiLevelType w:val="hybridMultilevel"/>
    <w:tmpl w:val="72440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B46B1E"/>
    <w:rsid w:val="00000D93"/>
    <w:rsid w:val="00012FBF"/>
    <w:rsid w:val="000411D8"/>
    <w:rsid w:val="00052DBF"/>
    <w:rsid w:val="00054810"/>
    <w:rsid w:val="00055F58"/>
    <w:rsid w:val="000747B2"/>
    <w:rsid w:val="000915F7"/>
    <w:rsid w:val="000B1862"/>
    <w:rsid w:val="000E54B0"/>
    <w:rsid w:val="000F2291"/>
    <w:rsid w:val="000F5E97"/>
    <w:rsid w:val="00105376"/>
    <w:rsid w:val="001D3271"/>
    <w:rsid w:val="00204EA5"/>
    <w:rsid w:val="00207039"/>
    <w:rsid w:val="002205D6"/>
    <w:rsid w:val="00223622"/>
    <w:rsid w:val="00253D23"/>
    <w:rsid w:val="0025647F"/>
    <w:rsid w:val="00277905"/>
    <w:rsid w:val="00282987"/>
    <w:rsid w:val="002833EF"/>
    <w:rsid w:val="00294935"/>
    <w:rsid w:val="00296B92"/>
    <w:rsid w:val="002A0ED4"/>
    <w:rsid w:val="00314DB7"/>
    <w:rsid w:val="00323195"/>
    <w:rsid w:val="00331378"/>
    <w:rsid w:val="00342780"/>
    <w:rsid w:val="003477E4"/>
    <w:rsid w:val="003726FE"/>
    <w:rsid w:val="0039302B"/>
    <w:rsid w:val="003A5EBC"/>
    <w:rsid w:val="003E6473"/>
    <w:rsid w:val="0042511E"/>
    <w:rsid w:val="004549F1"/>
    <w:rsid w:val="004627C5"/>
    <w:rsid w:val="00463AAD"/>
    <w:rsid w:val="00490198"/>
    <w:rsid w:val="004A224C"/>
    <w:rsid w:val="004A2C5E"/>
    <w:rsid w:val="004A4972"/>
    <w:rsid w:val="004C31DE"/>
    <w:rsid w:val="004E0B14"/>
    <w:rsid w:val="004F00C6"/>
    <w:rsid w:val="004F5D7A"/>
    <w:rsid w:val="004F75E4"/>
    <w:rsid w:val="0053521C"/>
    <w:rsid w:val="0056092E"/>
    <w:rsid w:val="00575359"/>
    <w:rsid w:val="00576EE8"/>
    <w:rsid w:val="005A75BB"/>
    <w:rsid w:val="005F1674"/>
    <w:rsid w:val="006037A8"/>
    <w:rsid w:val="00611D44"/>
    <w:rsid w:val="006136A2"/>
    <w:rsid w:val="006248E6"/>
    <w:rsid w:val="00652E68"/>
    <w:rsid w:val="0065563B"/>
    <w:rsid w:val="0066148D"/>
    <w:rsid w:val="006617DB"/>
    <w:rsid w:val="00665A01"/>
    <w:rsid w:val="006879A9"/>
    <w:rsid w:val="0069634C"/>
    <w:rsid w:val="006C2A11"/>
    <w:rsid w:val="006C65D2"/>
    <w:rsid w:val="00707D95"/>
    <w:rsid w:val="00710693"/>
    <w:rsid w:val="00724809"/>
    <w:rsid w:val="007A2EC6"/>
    <w:rsid w:val="007B3A8F"/>
    <w:rsid w:val="007C28BA"/>
    <w:rsid w:val="007C31E0"/>
    <w:rsid w:val="007C4238"/>
    <w:rsid w:val="007D2714"/>
    <w:rsid w:val="008027AA"/>
    <w:rsid w:val="00815945"/>
    <w:rsid w:val="00831C2E"/>
    <w:rsid w:val="00847493"/>
    <w:rsid w:val="0086614D"/>
    <w:rsid w:val="00883080"/>
    <w:rsid w:val="008E1F6C"/>
    <w:rsid w:val="00915874"/>
    <w:rsid w:val="00917500"/>
    <w:rsid w:val="009569E7"/>
    <w:rsid w:val="00970175"/>
    <w:rsid w:val="0099611A"/>
    <w:rsid w:val="009A6899"/>
    <w:rsid w:val="009B0DE6"/>
    <w:rsid w:val="009C2054"/>
    <w:rsid w:val="009C3C76"/>
    <w:rsid w:val="009F4F05"/>
    <w:rsid w:val="00A14D3E"/>
    <w:rsid w:val="00A23AD3"/>
    <w:rsid w:val="00A74AE5"/>
    <w:rsid w:val="00A810AD"/>
    <w:rsid w:val="00A85A56"/>
    <w:rsid w:val="00A965F8"/>
    <w:rsid w:val="00AC03D4"/>
    <w:rsid w:val="00AC2187"/>
    <w:rsid w:val="00AC60D3"/>
    <w:rsid w:val="00AD6663"/>
    <w:rsid w:val="00AE0D3A"/>
    <w:rsid w:val="00B46B1E"/>
    <w:rsid w:val="00B54ABD"/>
    <w:rsid w:val="00B55509"/>
    <w:rsid w:val="00B85A70"/>
    <w:rsid w:val="00BC2C95"/>
    <w:rsid w:val="00BD0263"/>
    <w:rsid w:val="00BD545A"/>
    <w:rsid w:val="00BD710E"/>
    <w:rsid w:val="00BE1075"/>
    <w:rsid w:val="00BF4C19"/>
    <w:rsid w:val="00C30A50"/>
    <w:rsid w:val="00C4259E"/>
    <w:rsid w:val="00C626F5"/>
    <w:rsid w:val="00C636CC"/>
    <w:rsid w:val="00C95F69"/>
    <w:rsid w:val="00CA4D7E"/>
    <w:rsid w:val="00CB3690"/>
    <w:rsid w:val="00CD6BFA"/>
    <w:rsid w:val="00CF1712"/>
    <w:rsid w:val="00D143B4"/>
    <w:rsid w:val="00D2712C"/>
    <w:rsid w:val="00D303A1"/>
    <w:rsid w:val="00D837CF"/>
    <w:rsid w:val="00DA0AA1"/>
    <w:rsid w:val="00DA6173"/>
    <w:rsid w:val="00DB0935"/>
    <w:rsid w:val="00DB0E27"/>
    <w:rsid w:val="00DB34F7"/>
    <w:rsid w:val="00DB3813"/>
    <w:rsid w:val="00DC088F"/>
    <w:rsid w:val="00DC45C8"/>
    <w:rsid w:val="00DF2B3D"/>
    <w:rsid w:val="00E17477"/>
    <w:rsid w:val="00E2107D"/>
    <w:rsid w:val="00E22C6A"/>
    <w:rsid w:val="00E402F8"/>
    <w:rsid w:val="00E5142A"/>
    <w:rsid w:val="00E5204B"/>
    <w:rsid w:val="00E624D1"/>
    <w:rsid w:val="00E67D0A"/>
    <w:rsid w:val="00E86789"/>
    <w:rsid w:val="00E93B01"/>
    <w:rsid w:val="00EA454C"/>
    <w:rsid w:val="00EF195E"/>
    <w:rsid w:val="00EF43F4"/>
    <w:rsid w:val="00F514D9"/>
    <w:rsid w:val="00F63008"/>
    <w:rsid w:val="00F71DB7"/>
    <w:rsid w:val="00F82E57"/>
    <w:rsid w:val="00FA5223"/>
    <w:rsid w:val="00FC2A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46B1E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B46B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6B1E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2833E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BFA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D6B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D6BF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2480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0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80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0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8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0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80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4EA5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EA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BC2C9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2107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307-FFF7-47F5-8C5E-3F200059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1663</Words>
  <Characters>9481</Characters>
  <Application>Microsoft Office Word</Application>
  <DocSecurity>0</DocSecurity>
  <Lines>0</Lines>
  <Paragraphs>0</Paragraphs>
  <ScaleCrop>false</ScaleCrop>
  <Company>MZ SR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Gašparíková, Jarmila</cp:lastModifiedBy>
  <cp:revision>2</cp:revision>
  <cp:lastPrinted>2015-03-16T12:56:00Z</cp:lastPrinted>
  <dcterms:created xsi:type="dcterms:W3CDTF">2015-03-20T10:30:00Z</dcterms:created>
  <dcterms:modified xsi:type="dcterms:W3CDTF">2015-03-20T10:30:00Z</dcterms:modified>
</cp:coreProperties>
</file>