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11924" w:rsidRPr="001D2C68" w:rsidP="001D2C68">
      <w:pPr>
        <w:pStyle w:val="NormalWeb"/>
        <w:bidi w:val="0"/>
        <w:spacing w:before="120" w:beforeAutospacing="0" w:after="0" w:afterAutospacing="0" w:line="276" w:lineRule="auto"/>
        <w:ind w:left="72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1D2C68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FD601D" w:rsidRPr="001D2C68" w:rsidP="001D2C68">
      <w:pPr>
        <w:pStyle w:val="ListParagraph"/>
        <w:numPr>
          <w:numId w:val="5"/>
        </w:numPr>
        <w:bidi w:val="0"/>
        <w:spacing w:before="120" w:after="0"/>
        <w:contextualSpacing/>
        <w:jc w:val="both"/>
        <w:rPr>
          <w:rFonts w:ascii="Book Antiqua" w:hAnsi="Book Antiqua"/>
          <w:b/>
        </w:rPr>
      </w:pPr>
      <w:r w:rsidRPr="001D2C68">
        <w:rPr>
          <w:rFonts w:ascii="Book Antiqua" w:hAnsi="Book Antiqua"/>
          <w:b/>
        </w:rPr>
        <w:t>Všeobecná časť</w:t>
      </w:r>
    </w:p>
    <w:p w:rsidR="001D2C68" w:rsidP="001D2C68">
      <w:pPr>
        <w:widowControl w:val="0"/>
        <w:autoSpaceDE w:val="0"/>
        <w:autoSpaceDN w:val="0"/>
        <w:bidi w:val="0"/>
        <w:adjustRightInd w:val="0"/>
        <w:spacing w:before="120" w:after="0"/>
        <w:ind w:firstLine="708"/>
        <w:jc w:val="both"/>
        <w:rPr>
          <w:rFonts w:ascii="Book Antiqua" w:hAnsi="Book Antiqua"/>
        </w:rPr>
      </w:pPr>
      <w:r w:rsidRPr="001D2C68" w:rsidR="00FD601D">
        <w:rPr>
          <w:rFonts w:ascii="Book Antiqua" w:hAnsi="Book Antiqua"/>
        </w:rPr>
        <w:t xml:space="preserve">Návrh zákona, </w:t>
      </w:r>
      <w:r w:rsidRPr="001D2C68" w:rsidR="00F11924">
        <w:rPr>
          <w:rFonts w:ascii="Book Antiqua" w:hAnsi="Book Antiqua"/>
          <w:bCs/>
        </w:rPr>
        <w:t xml:space="preserve">ktorým sa dopĺňa zákon č. 245/2008 Z. z. o výchove a vzdelávaní (školský zákon) a o zmene a doplnení niektorých zákonov v znení neskorších predpisov a ktorým sa mení a dopĺňa zákon č. 596/2003 Z. z. o štátnej správe v školstve a školskej samospráve a o zmene a doplnení niektorých zákonov v znení neskorších predpisov (ďalej len „návrh zákona“) </w:t>
      </w:r>
      <w:r w:rsidRPr="001D2C68" w:rsidR="00FD601D">
        <w:rPr>
          <w:rFonts w:ascii="Book Antiqua" w:hAnsi="Book Antiqua"/>
        </w:rPr>
        <w:t xml:space="preserve">predkladá </w:t>
      </w:r>
      <w:r w:rsidRPr="001D2C68" w:rsidR="00F11924">
        <w:rPr>
          <w:rFonts w:ascii="Book Antiqua" w:hAnsi="Book Antiqua"/>
        </w:rPr>
        <w:t xml:space="preserve">do legislatívneho procesu </w:t>
      </w:r>
      <w:r w:rsidRPr="001D2C68" w:rsidR="00FD601D">
        <w:rPr>
          <w:rFonts w:ascii="Book Antiqua" w:hAnsi="Book Antiqua"/>
        </w:rPr>
        <w:t>poslankyňa Národnej rady Slove</w:t>
      </w:r>
      <w:r>
        <w:rPr>
          <w:rFonts w:ascii="Book Antiqua" w:hAnsi="Book Antiqua"/>
        </w:rPr>
        <w:t>nskej republiky za hnutie OBYČAJNÍ ĽUDIA a nezávislé osobnosti Eva Horváthová.</w:t>
      </w:r>
    </w:p>
    <w:p w:rsidR="001D2C68" w:rsidRPr="007819B4" w:rsidP="001D2C68">
      <w:pPr>
        <w:widowControl w:val="0"/>
        <w:autoSpaceDE w:val="0"/>
        <w:autoSpaceDN w:val="0"/>
        <w:bidi w:val="0"/>
        <w:adjustRightInd w:val="0"/>
        <w:spacing w:before="120" w:after="0"/>
        <w:ind w:firstLine="708"/>
        <w:jc w:val="both"/>
        <w:rPr>
          <w:rFonts w:ascii="Book Antiqua" w:hAnsi="Book Antiqua"/>
        </w:rPr>
      </w:pPr>
      <w:r w:rsidRPr="007819B4" w:rsidR="00EC52F4">
        <w:rPr>
          <w:rFonts w:ascii="Book Antiqua" w:hAnsi="Book Antiqua"/>
        </w:rPr>
        <w:t xml:space="preserve">Cieľom návrhu zákona je </w:t>
      </w:r>
      <w:r w:rsidRPr="007819B4" w:rsidR="00EC52F4">
        <w:rPr>
          <w:rFonts w:ascii="Book Antiqua" w:hAnsi="Book Antiqua"/>
          <w:b/>
        </w:rPr>
        <w:t>zvýšiť kvalitu stravovania detí a</w:t>
      </w:r>
      <w:r w:rsidRPr="007819B4" w:rsidR="00F72960">
        <w:rPr>
          <w:rFonts w:ascii="Book Antiqua" w:hAnsi="Book Antiqua"/>
          <w:b/>
        </w:rPr>
        <w:t> </w:t>
      </w:r>
      <w:r w:rsidRPr="007819B4" w:rsidR="00EC52F4">
        <w:rPr>
          <w:rFonts w:ascii="Book Antiqua" w:hAnsi="Book Antiqua"/>
          <w:b/>
        </w:rPr>
        <w:t>žiakov</w:t>
      </w:r>
      <w:r w:rsidRPr="007819B4" w:rsidR="00F72960">
        <w:rPr>
          <w:rFonts w:ascii="Book Antiqua" w:hAnsi="Book Antiqua"/>
          <w:b/>
        </w:rPr>
        <w:t xml:space="preserve"> v školách a školských zariadeniach</w:t>
      </w:r>
      <w:r w:rsidRPr="007819B4" w:rsidR="00EC52F4">
        <w:rPr>
          <w:rFonts w:ascii="Book Antiqua" w:hAnsi="Book Antiqua"/>
          <w:b/>
        </w:rPr>
        <w:t xml:space="preserve"> a následne zlepšiť zdravotný stav obyvateľov Slovenskej republiky</w:t>
      </w:r>
      <w:r w:rsidRPr="007819B4" w:rsidR="00EC52F4">
        <w:rPr>
          <w:rFonts w:ascii="Book Antiqua" w:hAnsi="Book Antiqua"/>
        </w:rPr>
        <w:t xml:space="preserve">. </w:t>
      </w:r>
      <w:r w:rsidRPr="007819B4">
        <w:rPr>
          <w:rFonts w:ascii="Book Antiqua" w:hAnsi="Book Antiqua"/>
        </w:rPr>
        <w:t xml:space="preserve">Zdravotný stav obyvateľstva je totiž alarmujúci, ako sa to uvádza aj v odpočte plnenia programov a projektov Úradu verejného zdravotníctva Slovenskej republiky </w:t>
      </w:r>
      <w:r w:rsidRPr="007819B4" w:rsidR="004E5973">
        <w:rPr>
          <w:rFonts w:ascii="Book Antiqua" w:hAnsi="Book Antiqua"/>
        </w:rPr>
        <w:t xml:space="preserve"> (ďalej len „ÚVZ SR“)</w:t>
      </w:r>
      <w:r w:rsidRPr="007819B4" w:rsidR="004E5973">
        <w:rPr>
          <w:rFonts w:ascii="Book Antiqua" w:hAnsi="Book Antiqua"/>
          <w:i/>
        </w:rPr>
        <w:t xml:space="preserve"> </w:t>
      </w:r>
      <w:r w:rsidRPr="007819B4">
        <w:rPr>
          <w:rFonts w:ascii="Book Antiqua" w:hAnsi="Book Antiqua"/>
        </w:rPr>
        <w:t>za rok 2014.</w:t>
      </w:r>
    </w:p>
    <w:p w:rsidR="001D2C68" w:rsidP="001D2C68">
      <w:pPr>
        <w:widowControl w:val="0"/>
        <w:autoSpaceDE w:val="0"/>
        <w:autoSpaceDN w:val="0"/>
        <w:bidi w:val="0"/>
        <w:adjustRightInd w:val="0"/>
        <w:spacing w:before="120" w:after="0"/>
        <w:ind w:firstLine="708"/>
        <w:jc w:val="both"/>
        <w:rPr>
          <w:rFonts w:ascii="Book Antiqua" w:hAnsi="Book Antiqua"/>
        </w:rPr>
      </w:pPr>
      <w:r w:rsidRPr="007819B4">
        <w:rPr>
          <w:rFonts w:ascii="Book Antiqua" w:hAnsi="Book Antiqua"/>
        </w:rPr>
        <w:t>Podľa tohto odpočtu: „</w:t>
      </w:r>
      <w:r w:rsidRPr="007819B4">
        <w:rPr>
          <w:rFonts w:ascii="Book Antiqua" w:hAnsi="Book Antiqua"/>
          <w:i/>
          <w:lang w:eastAsia="sk-SK"/>
        </w:rPr>
        <w:t>na základe výsledkov celoštátneho antropometrického prieskumu z roku 2001 sa podiel detí v súbore  dospievajúcich (15-18 ročných), ktoré dosahujú problémovú hmotnosť (nadhmotnosť  + obezitu) zvýšil oproti percentilovému stanoveniu na 14,96%, čo je viac ako o 5%, podobne ako u detí staršieho a mladšieho školského veku, kde toto navýšenie predstavovalo 8% a 4,1% a podiel detí s problémovou hmotnosťou podľa štandardov bol u detí staršieho školského veku nie 9,91% ale až 13,97%. Podiel obéznych chlapcov sa pohyboval od 11% po 8,5% a so stúpajúcim vekom klesal, kým u</w:t>
      </w:r>
      <w:r w:rsidRPr="007819B4" w:rsidR="004E5973">
        <w:rPr>
          <w:rFonts w:ascii="Book Antiqua" w:hAnsi="Book Antiqua"/>
          <w:i/>
          <w:lang w:eastAsia="sk-SK"/>
        </w:rPr>
        <w:t> </w:t>
      </w:r>
      <w:r w:rsidRPr="007819B4">
        <w:rPr>
          <w:rFonts w:ascii="Book Antiqua" w:hAnsi="Book Antiqua"/>
          <w:i/>
          <w:lang w:eastAsia="sk-SK"/>
        </w:rPr>
        <w:t>dievčat</w:t>
      </w:r>
      <w:r w:rsidRPr="007819B4" w:rsidR="004E5973">
        <w:rPr>
          <w:rFonts w:ascii="Book Antiqua" w:hAnsi="Book Antiqua"/>
          <w:i/>
          <w:lang w:eastAsia="sk-SK"/>
        </w:rPr>
        <w:t>“</w:t>
      </w:r>
      <w:r w:rsidRPr="007819B4">
        <w:rPr>
          <w:rFonts w:ascii="Book Antiqua" w:hAnsi="Book Antiqua"/>
          <w:i/>
          <w:lang w:eastAsia="sk-SK"/>
        </w:rPr>
        <w:t xml:space="preserve"> </w:t>
      </w:r>
      <w:r w:rsidRPr="007819B4">
        <w:rPr>
          <w:rFonts w:ascii="Book Antiqua" w:hAnsi="Book Antiqua"/>
          <w:lang w:eastAsia="sk-SK"/>
        </w:rPr>
        <w:t>sa zaznamenal</w:t>
      </w:r>
      <w:r w:rsidRPr="007819B4">
        <w:rPr>
          <w:rFonts w:ascii="Book Antiqua" w:hAnsi="Book Antiqua"/>
          <w:i/>
          <w:lang w:eastAsia="sk-SK"/>
        </w:rPr>
        <w:t xml:space="preserve"> </w:t>
      </w:r>
      <w:r w:rsidRPr="007819B4" w:rsidR="004E5973">
        <w:rPr>
          <w:rFonts w:ascii="Book Antiqua" w:hAnsi="Book Antiqua"/>
          <w:i/>
          <w:lang w:eastAsia="sk-SK"/>
        </w:rPr>
        <w:t>„</w:t>
      </w:r>
      <w:r w:rsidRPr="007819B4">
        <w:rPr>
          <w:rFonts w:ascii="Book Antiqua" w:hAnsi="Book Antiqua"/>
          <w:i/>
          <w:lang w:eastAsia="sk-SK"/>
        </w:rPr>
        <w:t>opačný trend, percento obéznych dievčat s vekom stúpalo z 5,6% na 10%.“</w:t>
      </w:r>
      <w:r w:rsidRPr="007819B4">
        <w:rPr>
          <w:rFonts w:ascii="Book Antiqua" w:hAnsi="Book Antiqua"/>
          <w:lang w:eastAsia="sk-SK"/>
        </w:rPr>
        <w:t>.</w:t>
      </w:r>
    </w:p>
    <w:p w:rsidR="001D2C68" w:rsidP="001D2C68">
      <w:pPr>
        <w:widowControl w:val="0"/>
        <w:autoSpaceDE w:val="0"/>
        <w:autoSpaceDN w:val="0"/>
        <w:bidi w:val="0"/>
        <w:adjustRightInd w:val="0"/>
        <w:spacing w:before="120" w:after="0"/>
        <w:ind w:firstLine="708"/>
        <w:jc w:val="both"/>
        <w:rPr>
          <w:rFonts w:ascii="Book Antiqua" w:hAnsi="Book Antiqua"/>
        </w:rPr>
      </w:pPr>
      <w:r w:rsidRPr="001D2C68">
        <w:rPr>
          <w:rFonts w:ascii="Book Antiqua" w:hAnsi="Book Antiqua"/>
        </w:rPr>
        <w:t>Stravovacie návyky detí a žiakov nepochybne vo významnej miere formuje aj škola, resp. školské zariadenie</w:t>
      </w:r>
      <w:r>
        <w:rPr>
          <w:rFonts w:ascii="Book Antiqua" w:hAnsi="Book Antiqua"/>
        </w:rPr>
        <w:t xml:space="preserve">. Významným prvkom je </w:t>
      </w:r>
      <w:r w:rsidRPr="001D2C68">
        <w:rPr>
          <w:rFonts w:ascii="Book Antiqua" w:hAnsi="Book Antiqua"/>
        </w:rPr>
        <w:t>existencia zariadení školského stravovania (školských jedální), v ktorých je ponúkaná strava prísne kontrolovaná so zameraním na potrebný obsah jednotlivých zložiek a nutrientov. Úplne iná je situácia pri predaji doplnkových jedál v školských bufetoch (ďalej len „bufet“) a školských predajných automatoch (ďalej len „automat“). V ich prípade neexistuje taká prísna regulácia predaja a ponuky</w:t>
      </w:r>
      <w:r w:rsidR="007819B4">
        <w:rPr>
          <w:rFonts w:ascii="Book Antiqua" w:hAnsi="Book Antiqua"/>
        </w:rPr>
        <w:t xml:space="preserve"> jedál a nápojov. Preto je cieľom </w:t>
      </w:r>
      <w:r w:rsidRPr="001D2C68">
        <w:rPr>
          <w:rFonts w:ascii="Book Antiqua" w:hAnsi="Book Antiqua"/>
        </w:rPr>
        <w:t>návrhu zákona regulovať predaj doplnkových jedál vrátane nápojov ponúkaných v bufetoch a automatoch, so zameraním aj na výrobky a nápoje, ktorých predaj má byť zakázaný</w:t>
      </w:r>
      <w:r>
        <w:rPr>
          <w:rFonts w:ascii="Book Antiqua" w:hAnsi="Book Antiqua"/>
        </w:rPr>
        <w:t>.</w:t>
      </w:r>
      <w:r w:rsidRPr="008E3838" w:rsidR="008E3838">
        <w:rPr>
          <w:rFonts w:ascii="Book Antiqua" w:hAnsi="Book Antiqua"/>
        </w:rPr>
        <w:t xml:space="preserve"> </w:t>
      </w:r>
      <w:r w:rsidR="008E3838">
        <w:rPr>
          <w:rFonts w:ascii="Book Antiqua" w:hAnsi="Book Antiqua"/>
        </w:rPr>
        <w:t xml:space="preserve">Rozsah predaja </w:t>
      </w:r>
      <w:r w:rsidRPr="001D2C68" w:rsidR="008E3838">
        <w:rPr>
          <w:rFonts w:ascii="Book Antiqua" w:hAnsi="Book Antiqua"/>
        </w:rPr>
        <w:t>zdravých doplnkových jedál má tvoriť najmenej 2/3 z celkového sortimentu ponuky bufetu alebo automatu</w:t>
      </w:r>
      <w:r w:rsidR="008E3838">
        <w:rPr>
          <w:rFonts w:ascii="Book Antiqua" w:hAnsi="Book Antiqua"/>
        </w:rPr>
        <w:t>.</w:t>
      </w:r>
    </w:p>
    <w:p w:rsidR="004E5973" w:rsidRPr="007819B4" w:rsidP="007819B4">
      <w:pPr>
        <w:widowControl w:val="0"/>
        <w:autoSpaceDE w:val="0"/>
        <w:autoSpaceDN w:val="0"/>
        <w:bidi w:val="0"/>
        <w:adjustRightInd w:val="0"/>
        <w:spacing w:before="120" w:after="0"/>
        <w:ind w:firstLine="708"/>
        <w:jc w:val="both"/>
        <w:rPr>
          <w:rFonts w:ascii="Book Antiqua" w:hAnsi="Book Antiqua"/>
          <w:strike/>
          <w:color w:val="000000"/>
        </w:rPr>
      </w:pPr>
      <w:r w:rsidR="007819B4">
        <w:rPr>
          <w:rFonts w:ascii="Book Antiqua" w:hAnsi="Book Antiqua"/>
        </w:rPr>
        <w:t>N</w:t>
      </w:r>
      <w:r w:rsidRPr="007819B4" w:rsidR="001D2C68">
        <w:rPr>
          <w:rFonts w:ascii="Book Antiqua" w:hAnsi="Book Antiqua"/>
        </w:rPr>
        <w:t>ávrh zákona zakladá pozitívne vply</w:t>
      </w:r>
      <w:r w:rsidR="007819B4">
        <w:rPr>
          <w:rFonts w:ascii="Book Antiqua" w:hAnsi="Book Antiqua"/>
        </w:rPr>
        <w:t xml:space="preserve">vy na rozpočet verejnej správy, </w:t>
      </w:r>
      <w:r w:rsidRPr="007819B4" w:rsidR="001D2C68">
        <w:rPr>
          <w:rFonts w:ascii="Book Antiqua" w:hAnsi="Book Antiqua"/>
          <w:color w:val="000000"/>
        </w:rPr>
        <w:t xml:space="preserve">nemá </w:t>
      </w:r>
      <w:r w:rsidR="007819B4">
        <w:rPr>
          <w:rFonts w:ascii="Book Antiqua" w:hAnsi="Book Antiqua"/>
          <w:color w:val="000000"/>
        </w:rPr>
        <w:t xml:space="preserve">však </w:t>
      </w:r>
      <w:r w:rsidRPr="007819B4" w:rsidR="001D2C68">
        <w:rPr>
          <w:rFonts w:ascii="Book Antiqua" w:hAnsi="Book Antiqua"/>
          <w:color w:val="000000"/>
        </w:rPr>
        <w:t>vplyv na životné prostredie ani</w:t>
      </w:r>
      <w:r w:rsidR="007819B4">
        <w:rPr>
          <w:rFonts w:ascii="Book Antiqua" w:hAnsi="Book Antiqua"/>
          <w:color w:val="000000"/>
        </w:rPr>
        <w:t xml:space="preserve"> na informatizáciu spoločnosti. Môže mať mierne negatívne vplyvy </w:t>
      </w:r>
      <w:r w:rsidRPr="007819B4">
        <w:rPr>
          <w:rFonts w:ascii="Book Antiqua" w:hAnsi="Book Antiqua"/>
          <w:color w:val="000000"/>
        </w:rPr>
        <w:t>na podnikateľské prostredie. Nepredpokladajú sa bezprostredné sociálne vplyvy konkretizované v doložke vybraných vplyvov, predložená právna úprava však v praxi významne prispeje k zlepšeniu zdravotného stavu obyvateľov a tým aj k zlepšeniu ich kvality života a pracovného výkonu.</w:t>
      </w:r>
      <w:r w:rsidR="007819B4">
        <w:rPr>
          <w:rFonts w:ascii="Book Antiqua" w:hAnsi="Book Antiqua"/>
          <w:color w:val="000000"/>
        </w:rPr>
        <w:t xml:space="preserve"> </w:t>
      </w:r>
      <w:r w:rsidRPr="001D2C68" w:rsidR="008E3838">
        <w:rPr>
          <w:rFonts w:ascii="Book Antiqua" w:hAnsi="Book Antiqua"/>
          <w:color w:val="000000"/>
        </w:rPr>
        <w:t>Návrh zákona je v súlade s Ústavou Slovenskej republiky, ústavnými zákonmi a ostatnými všeobecne záväznými právnymi predpismi Slovenskej republiky, medzinárodnými zmluvami a inými medzinárodnými dokumentmi, ktorými je Slovenská republika viazaná, ako aj s právom Európskej únie</w:t>
      </w:r>
      <w:r w:rsidR="008E3838">
        <w:rPr>
          <w:rFonts w:ascii="Book Antiqua" w:hAnsi="Book Antiqua"/>
          <w:color w:val="000000"/>
        </w:rPr>
        <w:t>.</w:t>
      </w:r>
    </w:p>
    <w:p w:rsidR="00FD601D" w:rsidRPr="001D2C68" w:rsidP="001D2C68">
      <w:pPr>
        <w:pStyle w:val="ListParagraph"/>
        <w:numPr>
          <w:numId w:val="5"/>
        </w:numPr>
        <w:bidi w:val="0"/>
        <w:spacing w:before="120" w:after="0"/>
        <w:contextualSpacing/>
        <w:jc w:val="both"/>
        <w:rPr>
          <w:rFonts w:ascii="Book Antiqua" w:hAnsi="Book Antiqua"/>
          <w:b/>
          <w:color w:val="000000"/>
        </w:rPr>
      </w:pPr>
      <w:r w:rsidRPr="001D2C68">
        <w:rPr>
          <w:rFonts w:ascii="Book Antiqua" w:hAnsi="Book Antiqua"/>
          <w:b/>
          <w:color w:val="000000"/>
        </w:rPr>
        <w:t>Osobitná časť</w:t>
      </w:r>
    </w:p>
    <w:p w:rsidR="002313AC" w:rsidRPr="001D2C68" w:rsidP="001D2C68">
      <w:pPr>
        <w:pStyle w:val="ListParagraph"/>
        <w:bidi w:val="0"/>
        <w:spacing w:before="120" w:after="0"/>
        <w:ind w:left="720"/>
        <w:contextualSpacing/>
        <w:jc w:val="both"/>
        <w:rPr>
          <w:rFonts w:ascii="Book Antiqua" w:hAnsi="Book Antiqua"/>
          <w:b/>
          <w:color w:val="000000"/>
        </w:rPr>
      </w:pPr>
    </w:p>
    <w:p w:rsidR="00FD601D" w:rsidRPr="001D2C68" w:rsidP="001D2C68">
      <w:pPr>
        <w:bidi w:val="0"/>
        <w:spacing w:before="120" w:after="0"/>
        <w:jc w:val="both"/>
        <w:rPr>
          <w:rFonts w:ascii="Book Antiqua" w:hAnsi="Book Antiqua"/>
          <w:b/>
          <w:color w:val="000000"/>
        </w:rPr>
      </w:pPr>
      <w:r w:rsidRPr="001D2C68">
        <w:rPr>
          <w:rFonts w:ascii="Book Antiqua" w:hAnsi="Book Antiqua"/>
          <w:b/>
          <w:color w:val="000000"/>
        </w:rPr>
        <w:t>K Čl. I</w:t>
      </w:r>
    </w:p>
    <w:p w:rsidR="00D619F6" w:rsidRPr="001D2C68" w:rsidP="001D2C68">
      <w:pPr>
        <w:bidi w:val="0"/>
        <w:spacing w:before="120" w:after="0"/>
        <w:jc w:val="both"/>
        <w:rPr>
          <w:rFonts w:ascii="Book Antiqua" w:hAnsi="Book Antiqua"/>
          <w:color w:val="000000"/>
          <w:u w:val="single"/>
        </w:rPr>
      </w:pPr>
      <w:r w:rsidRPr="001D2C68">
        <w:rPr>
          <w:rFonts w:ascii="Book Antiqua" w:hAnsi="Book Antiqua"/>
          <w:color w:val="000000"/>
          <w:u w:val="single"/>
        </w:rPr>
        <w:t>K bodu 1</w:t>
      </w:r>
    </w:p>
    <w:p w:rsidR="00772482" w:rsidRPr="001D2C68" w:rsidP="001D2C68">
      <w:pPr>
        <w:bidi w:val="0"/>
        <w:spacing w:before="120" w:after="0"/>
        <w:ind w:firstLine="708"/>
        <w:jc w:val="both"/>
        <w:rPr>
          <w:rFonts w:ascii="Book Antiqua" w:hAnsi="Book Antiqua"/>
          <w:color w:val="000000"/>
        </w:rPr>
      </w:pPr>
      <w:r w:rsidRPr="001D2C68" w:rsidR="002B0FD0">
        <w:rPr>
          <w:rFonts w:ascii="Book Antiqua" w:hAnsi="Book Antiqua"/>
          <w:color w:val="000000"/>
        </w:rPr>
        <w:t>Legislatívno-technická úprava bezprostredne súvisiaca s čl. I bodom 3</w:t>
      </w:r>
      <w:r w:rsidRPr="001D2C68" w:rsidR="00A364A2">
        <w:rPr>
          <w:rFonts w:ascii="Book Antiqua" w:hAnsi="Book Antiqua"/>
          <w:color w:val="000000"/>
        </w:rPr>
        <w:t>.</w:t>
      </w:r>
      <w:r w:rsidRPr="001D2C68" w:rsidR="002B0FD0">
        <w:rPr>
          <w:rFonts w:ascii="Book Antiqua" w:hAnsi="Book Antiqua"/>
          <w:color w:val="000000"/>
        </w:rPr>
        <w:t xml:space="preserve"> </w:t>
      </w:r>
      <w:r w:rsidRPr="001D2C68" w:rsidR="001334C1">
        <w:rPr>
          <w:rFonts w:ascii="Book Antiqua" w:hAnsi="Book Antiqua"/>
          <w:color w:val="000000"/>
        </w:rPr>
        <w:t>Kvôli jednoznačnosti sa š</w:t>
      </w:r>
      <w:r w:rsidRPr="001D2C68" w:rsidR="002B0FD0">
        <w:rPr>
          <w:rFonts w:ascii="Book Antiqua" w:hAnsi="Book Antiqua"/>
          <w:color w:val="000000"/>
        </w:rPr>
        <w:t>pecifikuje pojem doplnkové jedlo.</w:t>
      </w:r>
      <w:r w:rsidRPr="001D2C68" w:rsidR="004C5165">
        <w:rPr>
          <w:rFonts w:ascii="Book Antiqua" w:hAnsi="Book Antiqua"/>
          <w:color w:val="000000"/>
        </w:rPr>
        <w:t xml:space="preserve"> Základ </w:t>
      </w:r>
      <w:r w:rsidRPr="001D2C68" w:rsidR="001334C1">
        <w:rPr>
          <w:rFonts w:ascii="Book Antiqua" w:hAnsi="Book Antiqua"/>
          <w:color w:val="000000"/>
        </w:rPr>
        <w:t xml:space="preserve">tejto špecifikácie </w:t>
      </w:r>
      <w:r w:rsidRPr="001D2C68" w:rsidR="004C5165">
        <w:rPr>
          <w:rFonts w:ascii="Book Antiqua" w:hAnsi="Book Antiqua"/>
          <w:color w:val="000000"/>
        </w:rPr>
        <w:t>vychádza z platného ustanovenia § 6 ods. 1 vyhlášky č. 330/2009 Z. z. o zariadení školského stravovania (ďalej len „vyhláška 330/2009 Z. z.“)</w:t>
      </w:r>
      <w:r w:rsidRPr="001D2C68" w:rsidR="00020155">
        <w:rPr>
          <w:rFonts w:ascii="Book Antiqua" w:hAnsi="Book Antiqua"/>
          <w:color w:val="000000"/>
        </w:rPr>
        <w:t>, pričom sa zdôrazňuje, že za doplnkové jedlo sa považuje aj nápoj</w:t>
      </w:r>
      <w:r w:rsidRPr="001D2C68" w:rsidR="004C5165">
        <w:rPr>
          <w:rFonts w:ascii="Book Antiqua" w:hAnsi="Book Antiqua"/>
          <w:color w:val="000000"/>
        </w:rPr>
        <w:t>.</w:t>
      </w:r>
    </w:p>
    <w:p w:rsidR="00166616" w:rsidRPr="001D2C68" w:rsidP="001D2C68">
      <w:pPr>
        <w:bidi w:val="0"/>
        <w:spacing w:before="120" w:after="0"/>
        <w:jc w:val="both"/>
        <w:rPr>
          <w:rFonts w:ascii="Book Antiqua" w:hAnsi="Book Antiqua"/>
          <w:color w:val="000000"/>
          <w:u w:val="single"/>
        </w:rPr>
      </w:pPr>
      <w:r w:rsidRPr="001D2C68" w:rsidR="002B0FD0">
        <w:rPr>
          <w:rFonts w:ascii="Book Antiqua" w:hAnsi="Book Antiqua"/>
          <w:color w:val="000000"/>
          <w:u w:val="single"/>
        </w:rPr>
        <w:t>K bodu 2</w:t>
      </w:r>
    </w:p>
    <w:p w:rsidR="00166616" w:rsidRPr="001D2C68" w:rsidP="001D2C68">
      <w:pPr>
        <w:bidi w:val="0"/>
        <w:spacing w:before="120" w:after="0"/>
        <w:ind w:firstLine="708"/>
        <w:jc w:val="both"/>
        <w:rPr>
          <w:rFonts w:ascii="Book Antiqua" w:hAnsi="Book Antiqua"/>
          <w:color w:val="000000"/>
        </w:rPr>
      </w:pPr>
      <w:r w:rsidRPr="001D2C68" w:rsidR="002B0FD0">
        <w:rPr>
          <w:rFonts w:ascii="Book Antiqua" w:hAnsi="Book Antiqua"/>
          <w:color w:val="000000"/>
        </w:rPr>
        <w:t>Ustanovuje sa, že všeobecne záväzným právnym predpisom má Ministerstvo školstva, vedy, výskumu a športu SR ustanoviť aj podrobnosti o predaji doplnkových jedál v automatoch, nielen v</w:t>
      </w:r>
      <w:r w:rsidRPr="001D2C68" w:rsidR="00020155">
        <w:rPr>
          <w:rFonts w:ascii="Book Antiqua" w:hAnsi="Book Antiqua"/>
          <w:color w:val="000000"/>
        </w:rPr>
        <w:t> </w:t>
      </w:r>
      <w:r w:rsidRPr="001D2C68" w:rsidR="002B0FD0">
        <w:rPr>
          <w:rFonts w:ascii="Book Antiqua" w:hAnsi="Book Antiqua"/>
          <w:color w:val="000000"/>
        </w:rPr>
        <w:t>bufetoch</w:t>
      </w:r>
      <w:r w:rsidRPr="001D2C68" w:rsidR="00020155">
        <w:rPr>
          <w:rFonts w:ascii="Book Antiqua" w:hAnsi="Book Antiqua"/>
          <w:color w:val="000000"/>
        </w:rPr>
        <w:t xml:space="preserve"> ako v súčasnosti</w:t>
      </w:r>
      <w:r w:rsidRPr="001D2C68" w:rsidR="002B0FD0">
        <w:rPr>
          <w:rFonts w:ascii="Book Antiqua" w:hAnsi="Book Antiqua"/>
          <w:color w:val="000000"/>
        </w:rPr>
        <w:t xml:space="preserve">. V súvislosti s tým je potrebné novelizovať vyhlášku č. 330/2009 Z. z. </w:t>
      </w:r>
    </w:p>
    <w:p w:rsidR="00D619F6" w:rsidRPr="001D2C68" w:rsidP="001D2C68">
      <w:pPr>
        <w:bidi w:val="0"/>
        <w:spacing w:before="120" w:after="0"/>
        <w:jc w:val="both"/>
        <w:rPr>
          <w:rFonts w:ascii="Book Antiqua" w:hAnsi="Book Antiqua"/>
          <w:color w:val="000000"/>
          <w:u w:val="single"/>
        </w:rPr>
      </w:pPr>
      <w:r w:rsidRPr="001D2C68">
        <w:rPr>
          <w:rFonts w:ascii="Book Antiqua" w:hAnsi="Book Antiqua"/>
          <w:color w:val="000000"/>
          <w:u w:val="single"/>
        </w:rPr>
        <w:t xml:space="preserve">K bodu </w:t>
      </w:r>
      <w:r w:rsidRPr="001D2C68" w:rsidR="002B0FD0">
        <w:rPr>
          <w:rFonts w:ascii="Book Antiqua" w:hAnsi="Book Antiqua"/>
          <w:color w:val="000000"/>
          <w:u w:val="single"/>
        </w:rPr>
        <w:t>3</w:t>
      </w:r>
    </w:p>
    <w:p w:rsidR="008E3838" w:rsidP="008E3838">
      <w:pPr>
        <w:widowControl w:val="0"/>
        <w:autoSpaceDE w:val="0"/>
        <w:autoSpaceDN w:val="0"/>
        <w:bidi w:val="0"/>
        <w:adjustRightInd w:val="0"/>
        <w:spacing w:before="120" w:after="0"/>
        <w:ind w:firstLine="708"/>
        <w:jc w:val="both"/>
        <w:rPr>
          <w:rFonts w:ascii="Book Antiqua" w:hAnsi="Book Antiqua"/>
        </w:rPr>
      </w:pPr>
      <w:r w:rsidRPr="001D2C68">
        <w:rPr>
          <w:rFonts w:ascii="Book Antiqua" w:hAnsi="Book Antiqua"/>
        </w:rPr>
        <w:t xml:space="preserve">V Programovom vyhlásení vlády </w:t>
      </w:r>
      <w:r w:rsidRPr="001D2C68">
        <w:rPr>
          <w:rFonts w:ascii="Book Antiqua" w:hAnsi="Book Antiqua"/>
          <w:lang w:eastAsia="sk-SK"/>
        </w:rPr>
        <w:t>Slovenskej republiky</w:t>
      </w:r>
      <w:r w:rsidRPr="001D2C68">
        <w:rPr>
          <w:rFonts w:ascii="Book Antiqua" w:hAnsi="Book Antiqua"/>
        </w:rPr>
        <w:t xml:space="preserve"> na roky 2012 – 2016 vláda deklaruje svoje zameranie o. i. na starostlivosť o deti a mladistvých, na prevenciu civilizačných ochorení, podporu konzumácie zdravých potravín a zdravého životného prostredia</w:t>
      </w:r>
      <w:r>
        <w:rPr>
          <w:rFonts w:ascii="Book Antiqua" w:hAnsi="Book Antiqua"/>
        </w:rPr>
        <w:t xml:space="preserve">. </w:t>
      </w:r>
    </w:p>
    <w:p w:rsidR="008E3838" w:rsidRPr="004E5973" w:rsidP="008E3838">
      <w:pPr>
        <w:widowControl w:val="0"/>
        <w:autoSpaceDE w:val="0"/>
        <w:autoSpaceDN w:val="0"/>
        <w:bidi w:val="0"/>
        <w:adjustRightInd w:val="0"/>
        <w:spacing w:before="120" w:after="0"/>
        <w:ind w:firstLine="708"/>
        <w:jc w:val="both"/>
        <w:rPr>
          <w:rFonts w:ascii="Book Antiqua" w:hAnsi="Book Antiqua"/>
          <w:strike/>
        </w:rPr>
      </w:pPr>
      <w:r w:rsidRPr="001D2C68">
        <w:rPr>
          <w:rFonts w:ascii="Book Antiqua" w:hAnsi="Book Antiqua"/>
        </w:rPr>
        <w:t>V podmienkach Slovenskej republiky prebiehajú viaceré regionálne prieskumy, ale aj celoplošné prieskumy zamerané na výživu a stravovacie návyky detí</w:t>
      </w:r>
      <w:r w:rsidR="007819B4">
        <w:rPr>
          <w:rFonts w:ascii="Book Antiqua" w:hAnsi="Book Antiqua"/>
        </w:rPr>
        <w:t>.</w:t>
      </w:r>
    </w:p>
    <w:p w:rsidR="008E3838" w:rsidP="008E3838">
      <w:pPr>
        <w:widowControl w:val="0"/>
        <w:autoSpaceDE w:val="0"/>
        <w:autoSpaceDN w:val="0"/>
        <w:bidi w:val="0"/>
        <w:adjustRightInd w:val="0"/>
        <w:spacing w:before="120" w:after="0"/>
        <w:ind w:firstLine="708"/>
        <w:jc w:val="both"/>
        <w:rPr>
          <w:rFonts w:ascii="Book Antiqua" w:hAnsi="Book Antiqua"/>
        </w:rPr>
      </w:pPr>
      <w:r w:rsidRPr="001D2C68">
        <w:rPr>
          <w:rFonts w:ascii="Book Antiqua" w:hAnsi="Book Antiqua"/>
        </w:rPr>
        <w:t xml:space="preserve">V súvislosti s alarmujúcimi výsledkami bolo prijatých viacero intervenčných programov, ako sú napríklad Národný program podpory zdravia </w:t>
      </w:r>
      <w:r w:rsidRPr="001D2C68">
        <w:rPr>
          <w:rFonts w:ascii="Book Antiqua" w:hAnsi="Book Antiqua"/>
          <w:lang w:eastAsia="sk-SK"/>
        </w:rPr>
        <w:t>v Slovenskej republike</w:t>
      </w:r>
      <w:r w:rsidRPr="001D2C68">
        <w:rPr>
          <w:rFonts w:ascii="Book Antiqua" w:hAnsi="Book Antiqua"/>
        </w:rPr>
        <w:t>, Národný program starostlivosti o deti a dorast v SR na roky 2008 – 2015, Národný program prevencie obezity, Program školské mlieko alebo Program Školské ovocie s cieľom zmeniť a zlepšiť stravov</w:t>
      </w:r>
      <w:r>
        <w:rPr>
          <w:rFonts w:ascii="Book Antiqua" w:hAnsi="Book Antiqua"/>
        </w:rPr>
        <w:t>acie návyky detí a mladistvých.</w:t>
      </w:r>
    </w:p>
    <w:p w:rsidR="008E3838" w:rsidRPr="007819B4" w:rsidP="008E3838">
      <w:pPr>
        <w:widowControl w:val="0"/>
        <w:autoSpaceDE w:val="0"/>
        <w:autoSpaceDN w:val="0"/>
        <w:bidi w:val="0"/>
        <w:adjustRightInd w:val="0"/>
        <w:spacing w:before="120" w:after="0"/>
        <w:ind w:firstLine="708"/>
        <w:jc w:val="both"/>
        <w:rPr>
          <w:rFonts w:ascii="Book Antiqua" w:hAnsi="Book Antiqua"/>
        </w:rPr>
      </w:pPr>
      <w:r w:rsidRPr="001D2C68">
        <w:rPr>
          <w:rFonts w:ascii="Book Antiqua" w:hAnsi="Book Antiqua"/>
        </w:rPr>
        <w:t>Stravovacie návyky detí a žiakov nepochybne vo významnej miere formuje aj škola, resp. školské zariadenie. Významným prvokom je tu existencia zariadení školského stravovania (školských jedální), v </w:t>
      </w:r>
      <w:r w:rsidRPr="007819B4">
        <w:rPr>
          <w:rFonts w:ascii="Book Antiqua" w:hAnsi="Book Antiqua"/>
        </w:rPr>
        <w:t xml:space="preserve">ktorých je ponúkaná strava prísne kontrolovaná so zameraním na potrebný obsah jednotlivých zložiek a nutrientov. </w:t>
      </w:r>
    </w:p>
    <w:p w:rsidR="008E3838" w:rsidP="008E3838">
      <w:pPr>
        <w:widowControl w:val="0"/>
        <w:autoSpaceDE w:val="0"/>
        <w:autoSpaceDN w:val="0"/>
        <w:bidi w:val="0"/>
        <w:adjustRightInd w:val="0"/>
        <w:spacing w:before="120" w:after="0"/>
        <w:ind w:firstLine="708"/>
        <w:jc w:val="both"/>
        <w:rPr>
          <w:rFonts w:ascii="Book Antiqua" w:hAnsi="Book Antiqua"/>
        </w:rPr>
      </w:pPr>
      <w:r w:rsidRPr="007819B4">
        <w:rPr>
          <w:rFonts w:ascii="Book Antiqua" w:hAnsi="Book Antiqua"/>
        </w:rPr>
        <w:t xml:space="preserve">Úplne iná je situácia pri predaji doplnkových jedál v bufetoch a </w:t>
      </w:r>
      <w:r w:rsidRPr="007819B4" w:rsidR="004E5973">
        <w:rPr>
          <w:rFonts w:ascii="Book Antiqua" w:hAnsi="Book Antiqua"/>
        </w:rPr>
        <w:t>automatoch</w:t>
      </w:r>
      <w:r w:rsidRPr="007819B4">
        <w:rPr>
          <w:rFonts w:ascii="Book Antiqua" w:hAnsi="Book Antiqua"/>
        </w:rPr>
        <w:t>. V ich prípade neexistuje taká prísna regulácia predaja a ponuky jedál a nápojov. Z toho titulu je cieľom predkladaného návrhu zákona regulovať predaj doplnkových jedál vrátane nápojov ponúkaných v bufetoch a  automatoch, so zameraním aj</w:t>
      </w:r>
      <w:r w:rsidRPr="001D2C68">
        <w:rPr>
          <w:rFonts w:ascii="Book Antiqua" w:hAnsi="Book Antiqua"/>
        </w:rPr>
        <w:t xml:space="preserve"> na výrobky a nápoje, ktorých predaj má byť zakázaný. </w:t>
      </w:r>
    </w:p>
    <w:p w:rsidR="008E3838" w:rsidP="008E3838">
      <w:pPr>
        <w:widowControl w:val="0"/>
        <w:autoSpaceDE w:val="0"/>
        <w:autoSpaceDN w:val="0"/>
        <w:bidi w:val="0"/>
        <w:adjustRightInd w:val="0"/>
        <w:spacing w:before="120" w:after="0"/>
        <w:ind w:firstLine="708"/>
        <w:jc w:val="both"/>
        <w:rPr>
          <w:rFonts w:ascii="Book Antiqua" w:hAnsi="Book Antiqua"/>
        </w:rPr>
      </w:pPr>
      <w:r w:rsidRPr="001D2C68">
        <w:rPr>
          <w:rFonts w:ascii="Book Antiqua" w:hAnsi="Book Antiqua"/>
        </w:rPr>
        <w:t>Ide najmä o zákaz predaja potravín s vysokým obsahom cukrov, nápojov a výrobkov s obsahom alkoholu, kofeínu, chinínu a energetických nápojov. Podľa návrhu zákona sa majú v bufetoch a automatoch umiestnených v školách (vrátane materských škôl, základných škôl a stredných škôl) a v školských zariadeniach predávať najmä zdravé jedlá a zdravé nápoje, ako sú ovocie a zelenina v čerstvom stave, celozrnné výrobky a cereálne výrobky, mlieko a mliečne výrobky so zníženým obsahom tukov a nápoje bez konzervačných prípravkov, pridaného cukru a umelých sladidiel. Rozsah predaja vymenovaných zdravých doplnkových jedál má tvoriť najmenej 2/3 z celkového sortimentu ponuky bufetu alebo automatu.</w:t>
      </w:r>
    </w:p>
    <w:p w:rsidR="001334C1" w:rsidRPr="008E3838" w:rsidP="008E3838">
      <w:pPr>
        <w:widowControl w:val="0"/>
        <w:autoSpaceDE w:val="0"/>
        <w:autoSpaceDN w:val="0"/>
        <w:bidi w:val="0"/>
        <w:adjustRightInd w:val="0"/>
        <w:spacing w:before="120" w:after="0"/>
        <w:ind w:firstLine="708"/>
        <w:jc w:val="both"/>
        <w:rPr>
          <w:rFonts w:ascii="Book Antiqua" w:hAnsi="Book Antiqua"/>
        </w:rPr>
      </w:pPr>
      <w:r w:rsidRPr="001D2C68" w:rsidR="000B5882">
        <w:rPr>
          <w:rFonts w:ascii="Book Antiqua" w:hAnsi="Book Antiqua"/>
          <w:color w:val="000000"/>
        </w:rPr>
        <w:t xml:space="preserve">Ustanovenie § 151a ods. 1 návrhu zákona sa odvíja od v súčasnosti platného </w:t>
      </w:r>
      <w:r w:rsidRPr="001D2C68">
        <w:rPr>
          <w:rFonts w:ascii="Book Antiqua" w:hAnsi="Book Antiqua"/>
          <w:color w:val="000000"/>
        </w:rPr>
        <w:t xml:space="preserve">znenia </w:t>
      </w:r>
      <w:r w:rsidR="008E3838">
        <w:rPr>
          <w:rFonts w:ascii="Book Antiqua" w:hAnsi="Book Antiqua"/>
          <w:color w:val="000000"/>
        </w:rPr>
        <w:t xml:space="preserve">  </w:t>
      </w:r>
      <w:r w:rsidRPr="001D2C68" w:rsidR="000B5882">
        <w:rPr>
          <w:rFonts w:ascii="Book Antiqua" w:hAnsi="Book Antiqua"/>
          <w:color w:val="000000"/>
        </w:rPr>
        <w:t>§ 5 ods. 1 vyhlášky č. 330/2009 Z. z.</w:t>
      </w:r>
      <w:r w:rsidRPr="001D2C68">
        <w:rPr>
          <w:rFonts w:ascii="Book Antiqua" w:hAnsi="Book Antiqua"/>
          <w:color w:val="000000"/>
        </w:rPr>
        <w:t>, v zmysle ktorého</w:t>
      </w:r>
      <w:r w:rsidR="008E3838">
        <w:rPr>
          <w:rFonts w:ascii="Book Antiqua" w:hAnsi="Book Antiqua"/>
          <w:color w:val="000000"/>
        </w:rPr>
        <w:t>,</w:t>
      </w:r>
      <w:r w:rsidRPr="001D2C68">
        <w:rPr>
          <w:rFonts w:ascii="Book Antiqua" w:hAnsi="Book Antiqua"/>
          <w:color w:val="000000"/>
        </w:rPr>
        <w:t xml:space="preserve"> ak stravovanie detí a žiakov nemožno zabezpečiť prostredníctvom zariadenia školského stravovania, môžu tieto služby poskytovať bufety na základe zmluvy uzatvorenej medzi zriaďovateľom školy alebo školského zariadenia a prevádzkovateľom bufetu.</w:t>
      </w:r>
    </w:p>
    <w:p w:rsidR="00D271AC" w:rsidRPr="001D2C68" w:rsidP="001D2C68">
      <w:pPr>
        <w:bidi w:val="0"/>
        <w:spacing w:before="120" w:after="0"/>
        <w:ind w:firstLine="708"/>
        <w:jc w:val="both"/>
        <w:rPr>
          <w:rFonts w:ascii="Book Antiqua" w:hAnsi="Book Antiqua"/>
          <w:color w:val="000000"/>
        </w:rPr>
      </w:pPr>
      <w:r w:rsidRPr="001D2C68" w:rsidR="004C5165">
        <w:rPr>
          <w:rFonts w:ascii="Book Antiqua" w:hAnsi="Book Antiqua"/>
          <w:color w:val="000000"/>
        </w:rPr>
        <w:t xml:space="preserve">Navrhovaný </w:t>
      </w:r>
      <w:r w:rsidRPr="001D2C68" w:rsidR="006512DD">
        <w:rPr>
          <w:rFonts w:ascii="Book Antiqua" w:hAnsi="Book Antiqua"/>
          <w:color w:val="000000"/>
        </w:rPr>
        <w:t>demonštratívny</w:t>
      </w:r>
      <w:r w:rsidRPr="001D2C68" w:rsidR="004C5165">
        <w:rPr>
          <w:rFonts w:ascii="Book Antiqua" w:hAnsi="Book Antiqua"/>
          <w:color w:val="000000"/>
        </w:rPr>
        <w:t xml:space="preserve"> zoznam zdravých doplnkových jedál v § 151a ods. 2 vychádza z platného § 5 ods. 3 vyhlášky č. 330/2009 Z. z.</w:t>
      </w:r>
      <w:r w:rsidRPr="001D2C68" w:rsidR="000B5882">
        <w:rPr>
          <w:rFonts w:ascii="Book Antiqua" w:hAnsi="Book Antiqua"/>
          <w:color w:val="000000"/>
        </w:rPr>
        <w:t>, pričom uvedené ustanovenie vykonávacieho predpisu precizuje.</w:t>
      </w:r>
      <w:r w:rsidRPr="001D2C68" w:rsidR="004C5165">
        <w:rPr>
          <w:rFonts w:ascii="Book Antiqua" w:hAnsi="Book Antiqua"/>
          <w:color w:val="000000"/>
        </w:rPr>
        <w:t xml:space="preserve"> </w:t>
      </w:r>
    </w:p>
    <w:p w:rsidR="00D271AC" w:rsidRPr="001D2C68" w:rsidP="001D2C68">
      <w:pPr>
        <w:bidi w:val="0"/>
        <w:spacing w:before="120" w:after="0"/>
        <w:ind w:firstLine="708"/>
        <w:jc w:val="both"/>
        <w:rPr>
          <w:rFonts w:ascii="Book Antiqua" w:hAnsi="Book Antiqua"/>
          <w:color w:val="000000"/>
          <w:lang w:val="cs-CZ"/>
        </w:rPr>
      </w:pPr>
      <w:r w:rsidRPr="001D2C68" w:rsidR="00345A67">
        <w:rPr>
          <w:rFonts w:ascii="Book Antiqua" w:hAnsi="Book Antiqua"/>
          <w:color w:val="000000"/>
        </w:rPr>
        <w:t xml:space="preserve">V § 151a ods. 3 sa ustanovuje, že zdravé </w:t>
      </w:r>
      <w:r w:rsidRPr="001D2C68" w:rsidR="00345A67">
        <w:rPr>
          <w:rFonts w:ascii="Book Antiqua" w:hAnsi="Book Antiqua"/>
        </w:rPr>
        <w:t>doplnkové jedlá uvedené v odseku 2 písm. a) až d) musia tvoriť aspoň dvojtretinový podiel z celkovej ponuky doplnkových jedál v každom bufete a v každom automate.</w:t>
      </w:r>
      <w:r w:rsidRPr="001D2C68" w:rsidR="00345A67">
        <w:rPr>
          <w:rFonts w:ascii="Book Antiqua" w:hAnsi="Book Antiqua"/>
          <w:color w:val="000000"/>
        </w:rPr>
        <w:t xml:space="preserve"> </w:t>
      </w:r>
      <w:r w:rsidRPr="001D2C68">
        <w:rPr>
          <w:rFonts w:ascii="Book Antiqua" w:hAnsi="Book Antiqua"/>
          <w:color w:val="000000"/>
        </w:rPr>
        <w:t xml:space="preserve">Navrhované obmedzenie má prispieť k zlepšeniu zdravotného stavu detí a žiakov a eliminovať narastajúcu obezitu u tejto vekovej skupiny. Problém s predajom nezdravých potravín v školách neexistuje len </w:t>
      </w:r>
      <w:r w:rsidRPr="001D2C68" w:rsidR="00EE096A">
        <w:rPr>
          <w:rFonts w:ascii="Book Antiqua" w:hAnsi="Book Antiqua"/>
          <w:color w:val="000000"/>
        </w:rPr>
        <w:t>na Slovensku</w:t>
      </w:r>
      <w:r w:rsidRPr="001D2C68">
        <w:rPr>
          <w:rFonts w:ascii="Book Antiqua" w:hAnsi="Book Antiqua"/>
          <w:color w:val="000000"/>
        </w:rPr>
        <w:t xml:space="preserve">, vyskytuje sa napr. aj v Českej republike. Podľa informácií </w:t>
      </w:r>
      <w:r w:rsidRPr="001D2C68" w:rsidR="009D10EC">
        <w:rPr>
          <w:rFonts w:ascii="Book Antiqua" w:hAnsi="Book Antiqua"/>
          <w:color w:val="000000"/>
        </w:rPr>
        <w:t xml:space="preserve">medializovaných v r. 2014 </w:t>
      </w:r>
      <w:r w:rsidRPr="001D2C68">
        <w:rPr>
          <w:rFonts w:ascii="Book Antiqua" w:hAnsi="Book Antiqua"/>
          <w:color w:val="000000"/>
          <w:lang w:val="cs-CZ"/>
        </w:rPr>
        <w:t xml:space="preserve">výskum </w:t>
      </w:r>
      <w:r w:rsidRPr="001D2C68" w:rsidR="009D10EC">
        <w:rPr>
          <w:rFonts w:ascii="Book Antiqua" w:hAnsi="Book Antiqua"/>
          <w:color w:val="000000"/>
          <w:lang w:val="cs-CZ"/>
        </w:rPr>
        <w:t>na</w:t>
      </w:r>
      <w:r w:rsidRPr="001D2C68">
        <w:rPr>
          <w:rFonts w:ascii="Book Antiqua" w:hAnsi="Book Antiqua"/>
          <w:color w:val="000000"/>
          <w:lang w:val="cs-CZ"/>
        </w:rPr>
        <w:t xml:space="preserve"> brnenských školách ukázal, že deti majú záujem najmä o nezdravé položky alebo o položky pre deti nevhodné (http://www.ceskatelevize.cz/ct24/domaci/262987-automaty-prinaseji-skolam-penize-a-detem-zdravotni-problemy/).</w:t>
      </w:r>
    </w:p>
    <w:p w:rsidR="00345A67" w:rsidRPr="001D2C68" w:rsidP="001D2C68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1D2C68" w:rsidR="004C5165">
        <w:rPr>
          <w:rFonts w:ascii="Book Antiqua" w:hAnsi="Book Antiqua"/>
          <w:color w:val="000000"/>
        </w:rPr>
        <w:t xml:space="preserve">V § 151a ods. </w:t>
      </w:r>
      <w:r w:rsidRPr="001D2C68">
        <w:rPr>
          <w:rFonts w:ascii="Book Antiqua" w:hAnsi="Book Antiqua"/>
          <w:color w:val="000000"/>
        </w:rPr>
        <w:t>4</w:t>
      </w:r>
      <w:r w:rsidRPr="001D2C68" w:rsidR="004C5165">
        <w:rPr>
          <w:rFonts w:ascii="Book Antiqua" w:hAnsi="Book Antiqua"/>
          <w:color w:val="000000"/>
        </w:rPr>
        <w:t xml:space="preserve"> sa na účel zvýšenia kvality stravovania detí zakazuje </w:t>
      </w:r>
      <w:r w:rsidRPr="001D2C68" w:rsidR="00A364A2">
        <w:rPr>
          <w:rFonts w:ascii="Book Antiqua" w:hAnsi="Book Antiqua"/>
          <w:color w:val="000000"/>
        </w:rPr>
        <w:t>predaj</w:t>
      </w:r>
      <w:r w:rsidRPr="001D2C68">
        <w:rPr>
          <w:rFonts w:ascii="Book Antiqua" w:hAnsi="Book Antiqua"/>
          <w:color w:val="000000"/>
        </w:rPr>
        <w:t xml:space="preserve"> pre nich zdravotne nevyhovujúcich doplnkových jedál, a síce </w:t>
      </w:r>
      <w:r w:rsidRPr="001D2C68">
        <w:rPr>
          <w:rFonts w:ascii="Book Antiqua" w:hAnsi="Book Antiqua"/>
        </w:rPr>
        <w:t xml:space="preserve">cukroviniek a cukrárskych výrobkov, nápojov a výrobkov s obsahom alkoholu, kofeínu alebo chinínu, energetických nápojov a nemliečnych nápojov s pridaním cukru alebo umelých sladidiel. </w:t>
      </w:r>
    </w:p>
    <w:p w:rsidR="001334C1" w:rsidRPr="001D2C68" w:rsidP="001D2C68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1D2C68">
        <w:rPr>
          <w:rFonts w:ascii="Book Antiqua" w:hAnsi="Book Antiqua"/>
        </w:rPr>
        <w:t>Návrh čl. I bodu 3 je v súlade s čl. 24 Charty základných práv Európskej únie, podľa ktorého deti majú právo na takú ochranu a starostlivosť, ktorá je potrebná pre ich blaho a pri všetkých opatreniach prijatých orgánmi verejnej moci alebo súkromnými inštitúciami, ktoré sa týkajú detí, sa musia v prvom rade brať do úvahy najlepšie záujmy dieťaťa.</w:t>
      </w:r>
    </w:p>
    <w:p w:rsidR="00FD601D" w:rsidRPr="001D2C68" w:rsidP="001D2C68">
      <w:pPr>
        <w:bidi w:val="0"/>
        <w:spacing w:before="120" w:after="0"/>
        <w:jc w:val="both"/>
        <w:rPr>
          <w:rFonts w:ascii="Book Antiqua" w:hAnsi="Book Antiqua"/>
          <w:b/>
          <w:color w:val="000000"/>
        </w:rPr>
      </w:pPr>
      <w:r w:rsidRPr="001D2C68">
        <w:rPr>
          <w:rFonts w:ascii="Book Antiqua" w:hAnsi="Book Antiqua"/>
          <w:b/>
          <w:color w:val="000000"/>
        </w:rPr>
        <w:t>K Čl. II</w:t>
      </w:r>
    </w:p>
    <w:p w:rsidR="009D10EC" w:rsidRPr="001D2C68" w:rsidP="001D2C68">
      <w:pPr>
        <w:bidi w:val="0"/>
        <w:spacing w:before="120" w:after="0"/>
        <w:jc w:val="both"/>
        <w:rPr>
          <w:rFonts w:ascii="Book Antiqua" w:hAnsi="Book Antiqua"/>
          <w:color w:val="000000"/>
        </w:rPr>
      </w:pPr>
      <w:r w:rsidRPr="001D2C68">
        <w:rPr>
          <w:rFonts w:ascii="Book Antiqua" w:hAnsi="Book Antiqua"/>
          <w:b/>
          <w:color w:val="000000"/>
        </w:rPr>
        <w:tab/>
      </w:r>
      <w:r w:rsidRPr="001D2C68" w:rsidR="004E544B">
        <w:rPr>
          <w:rFonts w:ascii="Book Antiqua" w:hAnsi="Book Antiqua"/>
          <w:color w:val="000000"/>
        </w:rPr>
        <w:t xml:space="preserve">V nadväznosti na čl. I sa v čl. II novelizuje aj zákon </w:t>
      </w:r>
      <w:r w:rsidRPr="001D2C68" w:rsidR="004E544B">
        <w:rPr>
          <w:rFonts w:ascii="Book Antiqua" w:hAnsi="Book Antiqua"/>
          <w:bCs/>
          <w:color w:val="000000"/>
        </w:rPr>
        <w:t xml:space="preserve">č. 596/2003 Z. z. o štátnej správe v školstve a školskej samospráve a o zmene a doplnení niektorých zákonov v znení neskorších predpisov (ďalej len „zákon č. 596/2003 Z. z.“). </w:t>
      </w:r>
      <w:r w:rsidRPr="001D2C68">
        <w:rPr>
          <w:rFonts w:ascii="Book Antiqua" w:hAnsi="Book Antiqua"/>
          <w:color w:val="000000"/>
        </w:rPr>
        <w:t xml:space="preserve">Ide o úpravu súvisiacu s čl. I bodom 3, ktorá má zabezpečiť vykonateľnosť navrhovaných ustanovení </w:t>
      </w:r>
      <w:r w:rsidRPr="001D2C68">
        <w:rPr>
          <w:rFonts w:ascii="Book Antiqua" w:hAnsi="Book Antiqua"/>
          <w:bCs/>
        </w:rPr>
        <w:t>§ 151a školského zákona</w:t>
      </w:r>
      <w:r w:rsidRPr="001D2C68" w:rsidR="00122E78">
        <w:rPr>
          <w:rFonts w:ascii="Book Antiqua" w:hAnsi="Book Antiqua"/>
          <w:bCs/>
        </w:rPr>
        <w:t xml:space="preserve"> (</w:t>
      </w:r>
      <w:r w:rsidRPr="004E5973" w:rsidR="00122E78">
        <w:rPr>
          <w:rFonts w:ascii="Book Antiqua" w:hAnsi="Book Antiqua"/>
          <w:bCs/>
        </w:rPr>
        <w:t xml:space="preserve">t. j. </w:t>
      </w:r>
      <w:r w:rsidRPr="004E5973" w:rsidR="008E3838">
        <w:rPr>
          <w:rFonts w:ascii="Book Antiqua" w:hAnsi="Book Antiqua"/>
          <w:bCs/>
        </w:rPr>
        <w:t xml:space="preserve">predaj doplnkových jedál na základe zmluvy, </w:t>
      </w:r>
      <w:r w:rsidRPr="004E5973" w:rsidR="00122E78">
        <w:rPr>
          <w:rFonts w:ascii="Book Antiqua" w:hAnsi="Book Antiqua"/>
          <w:bCs/>
        </w:rPr>
        <w:t xml:space="preserve">dodržiavanie </w:t>
      </w:r>
      <w:r w:rsidRPr="004E5973" w:rsidR="00122E78">
        <w:rPr>
          <w:rFonts w:ascii="Book Antiqua" w:hAnsi="Book Antiqua"/>
        </w:rPr>
        <w:t>dvojtretinového podielu určitých zdravých doplnkových jedál v rámci celého ponúkaného sortimentu, ako aj zákazu predaja určených neprijateľných potravín)</w:t>
      </w:r>
      <w:r w:rsidRPr="004E5973" w:rsidR="00122E78">
        <w:rPr>
          <w:rFonts w:ascii="Book Antiqua" w:hAnsi="Book Antiqua"/>
          <w:color w:val="000000"/>
        </w:rPr>
        <w:t xml:space="preserve">. </w:t>
      </w:r>
      <w:r w:rsidRPr="004E5973">
        <w:rPr>
          <w:rFonts w:ascii="Book Antiqua" w:hAnsi="Book Antiqua"/>
          <w:color w:val="000000"/>
        </w:rPr>
        <w:t xml:space="preserve">Uloženie pokuty </w:t>
      </w:r>
      <w:r w:rsidRPr="004E5973" w:rsidR="004E544B">
        <w:rPr>
          <w:rFonts w:ascii="Book Antiqua" w:hAnsi="Book Antiqua"/>
          <w:color w:val="000000"/>
        </w:rPr>
        <w:t>oprávneným orgánom (</w:t>
      </w:r>
      <w:r w:rsidRPr="004E5973">
        <w:rPr>
          <w:rFonts w:ascii="Book Antiqua" w:hAnsi="Book Antiqua"/>
          <w:color w:val="000000"/>
        </w:rPr>
        <w:t>okresným</w:t>
      </w:r>
      <w:r w:rsidRPr="001D2C68">
        <w:rPr>
          <w:rFonts w:ascii="Book Antiqua" w:hAnsi="Book Antiqua"/>
          <w:color w:val="000000"/>
        </w:rPr>
        <w:t xml:space="preserve"> úradom v sídle kraja</w:t>
      </w:r>
      <w:r w:rsidRPr="001D2C68" w:rsidR="004E544B">
        <w:rPr>
          <w:rFonts w:ascii="Book Antiqua" w:hAnsi="Book Antiqua"/>
          <w:color w:val="000000"/>
        </w:rPr>
        <w:t>)</w:t>
      </w:r>
      <w:r w:rsidRPr="001D2C68">
        <w:rPr>
          <w:rFonts w:ascii="Book Antiqua" w:hAnsi="Book Antiqua"/>
          <w:color w:val="000000"/>
        </w:rPr>
        <w:t xml:space="preserve"> prevádzkovateľovi bufetu alebo prevádzkovateľovi automatu až do výšky </w:t>
      </w:r>
      <w:r w:rsidRPr="001D2C68">
        <w:rPr>
          <w:rFonts w:ascii="Book Antiqua" w:hAnsi="Book Antiqua"/>
          <w:bCs/>
        </w:rPr>
        <w:t>500 eur</w:t>
      </w:r>
      <w:r w:rsidRPr="001D2C68">
        <w:rPr>
          <w:rFonts w:ascii="Book Antiqua" w:hAnsi="Book Antiqua"/>
          <w:color w:val="000000"/>
        </w:rPr>
        <w:t xml:space="preserve"> v prípade </w:t>
      </w:r>
      <w:r w:rsidRPr="001D2C68" w:rsidR="00122E78">
        <w:rPr>
          <w:rFonts w:ascii="Book Antiqua" w:hAnsi="Book Antiqua"/>
          <w:color w:val="000000"/>
        </w:rPr>
        <w:t>porušenia</w:t>
      </w:r>
      <w:r w:rsidRPr="001D2C68">
        <w:rPr>
          <w:rFonts w:ascii="Book Antiqua" w:hAnsi="Book Antiqua"/>
          <w:color w:val="000000"/>
        </w:rPr>
        <w:t xml:space="preserve"> uvedených</w:t>
      </w:r>
      <w:r w:rsidRPr="001D2C68" w:rsidR="004E544B">
        <w:rPr>
          <w:rFonts w:ascii="Book Antiqua" w:hAnsi="Book Antiqua"/>
          <w:color w:val="000000"/>
        </w:rPr>
        <w:t xml:space="preserve"> navrhovaných</w:t>
      </w:r>
      <w:r w:rsidRPr="001D2C68">
        <w:rPr>
          <w:rFonts w:ascii="Book Antiqua" w:hAnsi="Book Antiqua"/>
          <w:color w:val="000000"/>
        </w:rPr>
        <w:t xml:space="preserve"> ustanovení</w:t>
      </w:r>
      <w:r w:rsidRPr="001D2C68" w:rsidR="004E544B">
        <w:rPr>
          <w:rFonts w:ascii="Book Antiqua" w:hAnsi="Book Antiqua"/>
          <w:color w:val="000000"/>
        </w:rPr>
        <w:t xml:space="preserve"> </w:t>
      </w:r>
      <w:r w:rsidRPr="001D2C68" w:rsidR="004E544B">
        <w:rPr>
          <w:rFonts w:ascii="Book Antiqua" w:hAnsi="Book Antiqua"/>
          <w:bCs/>
        </w:rPr>
        <w:t>školského zákona</w:t>
      </w:r>
      <w:r w:rsidRPr="001D2C68">
        <w:rPr>
          <w:rFonts w:ascii="Book Antiqua" w:hAnsi="Book Antiqua"/>
          <w:color w:val="000000"/>
        </w:rPr>
        <w:t xml:space="preserve"> nemá len represív</w:t>
      </w:r>
      <w:r w:rsidRPr="001D2C68" w:rsidR="00122E78">
        <w:rPr>
          <w:rFonts w:ascii="Book Antiqua" w:hAnsi="Book Antiqua"/>
          <w:color w:val="000000"/>
        </w:rPr>
        <w:t>ny charakter, ale aj preventívnu funkciu</w:t>
      </w:r>
      <w:r w:rsidRPr="001D2C68">
        <w:rPr>
          <w:rFonts w:ascii="Book Antiqua" w:hAnsi="Book Antiqua"/>
          <w:color w:val="000000"/>
        </w:rPr>
        <w:t xml:space="preserve">. </w:t>
      </w:r>
      <w:r w:rsidRPr="001D2C68" w:rsidR="004E544B">
        <w:rPr>
          <w:rFonts w:ascii="Book Antiqua" w:hAnsi="Book Antiqua"/>
          <w:color w:val="000000"/>
        </w:rPr>
        <w:t xml:space="preserve">Novou právnou úpravou je len návrh písmena a), ustanovenia </w:t>
      </w:r>
      <w:r w:rsidRPr="001D2C68" w:rsidR="00122E78">
        <w:rPr>
          <w:rFonts w:ascii="Book Antiqua" w:hAnsi="Book Antiqua"/>
          <w:color w:val="000000"/>
        </w:rPr>
        <w:t xml:space="preserve">navrhovaných </w:t>
      </w:r>
      <w:r w:rsidRPr="001D2C68" w:rsidR="004E544B">
        <w:rPr>
          <w:rFonts w:ascii="Book Antiqua" w:hAnsi="Book Antiqua"/>
          <w:color w:val="000000"/>
        </w:rPr>
        <w:t>písmen b) a c) platia aj v súčasnosti.</w:t>
      </w:r>
    </w:p>
    <w:p w:rsidR="004E544B" w:rsidRPr="001D2C68" w:rsidP="001D2C68">
      <w:pPr>
        <w:bidi w:val="0"/>
        <w:spacing w:before="120" w:after="0"/>
        <w:jc w:val="both"/>
        <w:rPr>
          <w:rFonts w:ascii="Book Antiqua" w:hAnsi="Book Antiqua"/>
          <w:bCs/>
          <w:color w:val="000000"/>
        </w:rPr>
      </w:pPr>
      <w:r w:rsidRPr="001D2C68">
        <w:rPr>
          <w:rFonts w:ascii="Book Antiqua" w:hAnsi="Book Antiqua"/>
          <w:color w:val="000000"/>
        </w:rPr>
        <w:tab/>
        <w:t xml:space="preserve">Ako vyplýva z ďalších platných ustanovení § 37a zákona č. </w:t>
      </w:r>
      <w:r w:rsidRPr="001D2C68">
        <w:rPr>
          <w:rFonts w:ascii="Book Antiqua" w:hAnsi="Book Antiqua"/>
          <w:bCs/>
          <w:color w:val="000000"/>
        </w:rPr>
        <w:t>596/2003 Z. z., pokutu možno uložiť</w:t>
      </w:r>
      <w:r w:rsidRPr="001D2C68" w:rsidR="001334C1">
        <w:rPr>
          <w:rFonts w:ascii="Book Antiqua" w:hAnsi="Book Antiqua"/>
          <w:bCs/>
          <w:color w:val="000000"/>
        </w:rPr>
        <w:t xml:space="preserve"> v subjektívnej lehote</w:t>
      </w:r>
      <w:r w:rsidRPr="001D2C68">
        <w:rPr>
          <w:rFonts w:ascii="Book Antiqua" w:hAnsi="Book Antiqua"/>
          <w:bCs/>
          <w:color w:val="000000"/>
        </w:rPr>
        <w:t xml:space="preserve"> do jedného roka odo dňa, keď správny orgán zistil porušenie povinností, najneskôr však</w:t>
      </w:r>
      <w:r w:rsidRPr="001D2C68" w:rsidR="001334C1">
        <w:rPr>
          <w:rFonts w:ascii="Book Antiqua" w:hAnsi="Book Antiqua"/>
          <w:bCs/>
          <w:color w:val="000000"/>
        </w:rPr>
        <w:t xml:space="preserve"> v trojročnej objektívnej lehote</w:t>
      </w:r>
      <w:r w:rsidRPr="001D2C68">
        <w:rPr>
          <w:rFonts w:ascii="Book Antiqua" w:hAnsi="Book Antiqua"/>
          <w:bCs/>
          <w:color w:val="000000"/>
        </w:rPr>
        <w:t xml:space="preserve"> </w:t>
      </w:r>
      <w:r w:rsidRPr="001D2C68" w:rsidR="001334C1">
        <w:rPr>
          <w:rFonts w:ascii="Book Antiqua" w:hAnsi="Book Antiqua"/>
          <w:bCs/>
          <w:color w:val="000000"/>
        </w:rPr>
        <w:t>(</w:t>
      </w:r>
      <w:r w:rsidRPr="001D2C68">
        <w:rPr>
          <w:rFonts w:ascii="Book Antiqua" w:hAnsi="Book Antiqua"/>
          <w:bCs/>
          <w:color w:val="000000"/>
        </w:rPr>
        <w:t>do troch rokov odo dňa, keď</w:t>
      </w:r>
      <w:r w:rsidRPr="001D2C68" w:rsidR="001334C1">
        <w:rPr>
          <w:rFonts w:ascii="Book Antiqua" w:hAnsi="Book Antiqua"/>
          <w:bCs/>
          <w:color w:val="000000"/>
        </w:rPr>
        <w:t xml:space="preserve"> k porušeniu povinností došlo). </w:t>
      </w:r>
      <w:r w:rsidRPr="001D2C68">
        <w:rPr>
          <w:rFonts w:ascii="Book Antiqua" w:hAnsi="Book Antiqua"/>
          <w:bCs/>
          <w:color w:val="000000"/>
        </w:rPr>
        <w:t>Výnos z pokút je príjmom štátneho rozpočtu.</w:t>
      </w:r>
    </w:p>
    <w:p w:rsidR="00D619F6" w:rsidRPr="001D2C68" w:rsidP="001D2C68">
      <w:pPr>
        <w:bidi w:val="0"/>
        <w:spacing w:before="120" w:after="0"/>
        <w:jc w:val="both"/>
        <w:rPr>
          <w:rFonts w:ascii="Book Antiqua" w:hAnsi="Book Antiqua"/>
          <w:b/>
          <w:color w:val="000000"/>
        </w:rPr>
      </w:pPr>
    </w:p>
    <w:p w:rsidR="00D619F6" w:rsidRPr="001D2C68" w:rsidP="001D2C68">
      <w:pPr>
        <w:bidi w:val="0"/>
        <w:spacing w:before="120" w:after="0"/>
        <w:jc w:val="both"/>
        <w:rPr>
          <w:rFonts w:ascii="Book Antiqua" w:hAnsi="Book Antiqua"/>
          <w:b/>
          <w:color w:val="000000"/>
        </w:rPr>
      </w:pPr>
      <w:r w:rsidRPr="001D2C68">
        <w:rPr>
          <w:rFonts w:ascii="Book Antiqua" w:hAnsi="Book Antiqua"/>
          <w:b/>
          <w:color w:val="000000"/>
        </w:rPr>
        <w:t>K Čl. III</w:t>
      </w:r>
    </w:p>
    <w:p w:rsidR="00D619F6" w:rsidRPr="001D2C68" w:rsidP="001D2C68">
      <w:pPr>
        <w:bidi w:val="0"/>
        <w:spacing w:before="120" w:after="0"/>
        <w:ind w:firstLine="708"/>
        <w:jc w:val="both"/>
        <w:rPr>
          <w:rFonts w:ascii="Book Antiqua" w:hAnsi="Book Antiqua"/>
          <w:color w:val="000000"/>
        </w:rPr>
      </w:pPr>
      <w:r w:rsidRPr="001D2C68" w:rsidR="004E544B">
        <w:rPr>
          <w:rFonts w:ascii="Book Antiqua" w:hAnsi="Book Antiqua"/>
          <w:color w:val="000000"/>
        </w:rPr>
        <w:t>Navrhuje sa účinnosť predkladanej právnej úpravy so zohľadnením legisvakančnej lehoty, ako aj potreby novelizovať vykonávací predpis</w:t>
      </w:r>
      <w:r w:rsidRPr="001D2C68" w:rsidR="001334C1">
        <w:rPr>
          <w:rFonts w:ascii="Book Antiqua" w:hAnsi="Book Antiqua"/>
          <w:color w:val="000000"/>
        </w:rPr>
        <w:t xml:space="preserve"> (vyhlášku č. 330/2009 Z. z.)</w:t>
      </w:r>
      <w:r w:rsidRPr="001D2C68" w:rsidR="004E544B">
        <w:rPr>
          <w:rFonts w:ascii="Book Antiqua" w:hAnsi="Book Antiqua"/>
          <w:color w:val="000000"/>
        </w:rPr>
        <w:t xml:space="preserve">, a to od 1. </w:t>
      </w:r>
      <w:r w:rsidRPr="001D2C68" w:rsidR="001334C1">
        <w:rPr>
          <w:rFonts w:ascii="Book Antiqua" w:hAnsi="Book Antiqua"/>
          <w:bCs/>
          <w:iCs/>
          <w:color w:val="000000"/>
        </w:rPr>
        <w:t>októbra 2015. Ponecháva sa</w:t>
      </w:r>
      <w:r w:rsidRPr="001D2C68" w:rsidR="00122E78">
        <w:rPr>
          <w:rFonts w:ascii="Book Antiqua" w:hAnsi="Book Antiqua"/>
          <w:bCs/>
          <w:iCs/>
          <w:color w:val="000000"/>
        </w:rPr>
        <w:t xml:space="preserve"> </w:t>
      </w:r>
      <w:r w:rsidRPr="001D2C68" w:rsidR="00EE096A">
        <w:rPr>
          <w:rFonts w:ascii="Book Antiqua" w:hAnsi="Book Antiqua"/>
          <w:bCs/>
          <w:iCs/>
          <w:color w:val="000000"/>
        </w:rPr>
        <w:t xml:space="preserve">tak </w:t>
      </w:r>
      <w:r w:rsidRPr="001D2C68" w:rsidR="001334C1">
        <w:rPr>
          <w:rFonts w:ascii="Book Antiqua" w:hAnsi="Book Antiqua"/>
          <w:bCs/>
          <w:iCs/>
          <w:color w:val="000000"/>
        </w:rPr>
        <w:t>aj dostatočný čas pre prevádzkovateľov bufetov a prevádzkovateľov automatov na vypredanie doterajšieho sortimentu, prípadne doterajších zásob.</w:t>
      </w:r>
    </w:p>
    <w:p w:rsidR="00D619F6" w:rsidRPr="001D2C68" w:rsidP="001D2C68">
      <w:pPr>
        <w:bidi w:val="0"/>
        <w:spacing w:before="120" w:after="0"/>
        <w:jc w:val="both"/>
        <w:rPr>
          <w:rFonts w:ascii="Book Antiqua" w:hAnsi="Book Antiqua"/>
          <w:color w:val="000000"/>
        </w:rPr>
      </w:pPr>
    </w:p>
    <w:p w:rsidR="00D619F6" w:rsidRPr="001D2C68" w:rsidP="001D2C68">
      <w:pPr>
        <w:bidi w:val="0"/>
        <w:spacing w:before="120" w:after="0"/>
        <w:jc w:val="both"/>
        <w:rPr>
          <w:rFonts w:ascii="Book Antiqua" w:hAnsi="Book Antiqua"/>
          <w:color w:val="000000"/>
        </w:rPr>
      </w:pPr>
    </w:p>
    <w:p w:rsidR="00D619F6" w:rsidRPr="001D2C68" w:rsidP="001D2C68">
      <w:pPr>
        <w:bidi w:val="0"/>
        <w:spacing w:before="120" w:after="0"/>
        <w:jc w:val="both"/>
        <w:rPr>
          <w:rFonts w:ascii="Book Antiqua" w:hAnsi="Book Antiqua"/>
          <w:color w:val="000000"/>
        </w:rPr>
      </w:pP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01CC8" w:rsidRPr="001D2C68" w:rsidP="001D2C68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01CC8" w:rsidRPr="001D2C68" w:rsidP="001D2C68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01CC8" w:rsidRPr="001D2C68" w:rsidP="001D2C68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01CC8" w:rsidRPr="001D2C68" w:rsidP="001D2C68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334C1" w:rsidRPr="001D2C68" w:rsidP="001D2C68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5414F" w:rsidP="001D2C68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819B4" w:rsidP="001D2C68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819B4" w:rsidP="001D2C68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819B4" w:rsidP="001D2C68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819B4" w:rsidP="001D2C68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819B4" w:rsidP="001D2C68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819B4" w:rsidP="001D2C68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819B4" w:rsidP="001D2C68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819B4" w:rsidP="001D2C68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819B4" w:rsidP="001D2C68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5414F" w:rsidP="001D2C68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1D2C68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1D2C68">
        <w:rPr>
          <w:rFonts w:ascii="Book Antiqua" w:hAnsi="Book Antiqua"/>
          <w:b/>
          <w:bCs/>
          <w:sz w:val="22"/>
          <w:szCs w:val="22"/>
        </w:rPr>
        <w:t>návrhu zákona</w:t>
      </w:r>
      <w:r w:rsidRPr="001D2C68">
        <w:rPr>
          <w:rFonts w:ascii="Book Antiqua" w:hAnsi="Book Antiqua"/>
          <w:sz w:val="22"/>
          <w:szCs w:val="22"/>
        </w:rPr>
        <w:t xml:space="preserve"> </w:t>
      </w:r>
      <w:r w:rsidRPr="001D2C68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="0005414F">
        <w:rPr>
          <w:rFonts w:ascii="Book Antiqua" w:hAnsi="Book Antiqua"/>
          <w:sz w:val="22"/>
          <w:szCs w:val="22"/>
        </w:rPr>
        <w:t> </w:t>
      </w: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D2C68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1D2C68">
        <w:rPr>
          <w:rFonts w:ascii="Book Antiqua" w:hAnsi="Book Antiqua"/>
          <w:sz w:val="22"/>
          <w:szCs w:val="22"/>
        </w:rPr>
        <w:t xml:space="preserve"> poslankyňa Národnej rady Slovenskej republiky Eva Horváthová</w:t>
      </w: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D2C68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1D2C68">
        <w:rPr>
          <w:rFonts w:ascii="Book Antiqua" w:hAnsi="Book Antiqua"/>
          <w:sz w:val="22"/>
          <w:szCs w:val="22"/>
        </w:rPr>
        <w:t xml:space="preserve"> návrh zákona, </w:t>
      </w:r>
      <w:r w:rsidRPr="001D2C68" w:rsidR="00F72960">
        <w:rPr>
          <w:rFonts w:ascii="Book Antiqua" w:hAnsi="Book Antiqua"/>
          <w:bCs/>
          <w:sz w:val="22"/>
          <w:szCs w:val="22"/>
        </w:rPr>
        <w:t>ktorým sa dopĺňa zákon č. 245/2008 Z. z. o výchove a vzdelávaní (školský zákon) a o zmene a doplnení niektorých zákonov v znení neskorších predpisov a ktorým sa mení a dopĺňa zákon č. 596/2003 Z. z. o štátnej správe v školstve a školskej samospráve a o zmene a doplnení niektorých zákonov v znení neskorších predpisov</w:t>
      </w:r>
    </w:p>
    <w:p w:rsidR="00F72960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D2C68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D619F6" w:rsidRPr="001D2C68" w:rsidP="001D2C68">
      <w:pPr>
        <w:pStyle w:val="NormalWeb"/>
        <w:numPr>
          <w:numId w:val="6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D2C68">
        <w:rPr>
          <w:rFonts w:ascii="Book Antiqua" w:hAnsi="Book Antiqua"/>
          <w:bCs/>
          <w:sz w:val="22"/>
          <w:szCs w:val="22"/>
        </w:rPr>
        <w:t xml:space="preserve">je upravený v primárnom práve Európskej únie, a to v čl. 168 Zmluvy o fungovaní Európskej </w:t>
      </w:r>
      <w:r w:rsidRPr="004E5973">
        <w:rPr>
          <w:rFonts w:ascii="Book Antiqua" w:hAnsi="Book Antiqua"/>
          <w:bCs/>
          <w:sz w:val="22"/>
          <w:szCs w:val="22"/>
        </w:rPr>
        <w:t xml:space="preserve">únie </w:t>
      </w:r>
      <w:r w:rsidRPr="004E5973" w:rsidR="0005414F">
        <w:rPr>
          <w:rFonts w:ascii="Book Antiqua" w:hAnsi="Book Antiqua"/>
          <w:bCs/>
          <w:sz w:val="22"/>
          <w:szCs w:val="22"/>
        </w:rPr>
        <w:t xml:space="preserve">(verejné zdravie) </w:t>
      </w:r>
      <w:r w:rsidRPr="004E5973">
        <w:rPr>
          <w:rFonts w:ascii="Book Antiqua" w:hAnsi="Book Antiqua"/>
          <w:bCs/>
          <w:sz w:val="22"/>
          <w:szCs w:val="22"/>
        </w:rPr>
        <w:t>a</w:t>
      </w:r>
      <w:r w:rsidRPr="001D2C68">
        <w:rPr>
          <w:rFonts w:ascii="Book Antiqua" w:hAnsi="Book Antiqua"/>
          <w:bCs/>
          <w:sz w:val="22"/>
          <w:szCs w:val="22"/>
        </w:rPr>
        <w:t> v čl. 24 Charty základných práv Európskej únie,</w:t>
      </w:r>
    </w:p>
    <w:p w:rsidR="00D619F6" w:rsidRPr="001D2C68" w:rsidP="001D2C68">
      <w:pPr>
        <w:pStyle w:val="NormalWeb"/>
        <w:numPr>
          <w:numId w:val="6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D2C68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D619F6" w:rsidRPr="001D2C68" w:rsidP="001D2C68">
      <w:pPr>
        <w:pStyle w:val="NormalWeb"/>
        <w:numPr>
          <w:numId w:val="6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D2C68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1D2C68">
        <w:rPr>
          <w:rFonts w:ascii="Book Antiqua" w:hAnsi="Book Antiqua"/>
          <w:b/>
          <w:sz w:val="22"/>
          <w:szCs w:val="22"/>
        </w:rPr>
        <w:t>4. Záväzky Slovenskej republiky vo vzťahu k Európskej únii:</w:t>
      </w:r>
    </w:p>
    <w:p w:rsidR="00D619F6" w:rsidRPr="001D2C68" w:rsidP="001D2C68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D2C68">
        <w:rPr>
          <w:rFonts w:ascii="Book Antiqua" w:hAnsi="Book Antiqua"/>
          <w:sz w:val="22"/>
          <w:szCs w:val="22"/>
        </w:rPr>
        <w:t xml:space="preserve">bezpredmetné, </w:t>
      </w:r>
    </w:p>
    <w:p w:rsidR="00D619F6" w:rsidRPr="001D2C68" w:rsidP="001D2C68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D2C68">
        <w:rPr>
          <w:rFonts w:ascii="Book Antiqua" w:hAnsi="Book Antiqua"/>
          <w:sz w:val="22"/>
          <w:szCs w:val="22"/>
        </w:rPr>
        <w:t>v danej oblasti nebol proti Slovenskej republike začatý postup Európskej komisie a ani konanie Súdneho dvora Európskej únie podľa článkov 258 až 260 Zmluvy o fungovaní Európskej únie,</w:t>
      </w:r>
    </w:p>
    <w:p w:rsidR="00D619F6" w:rsidRPr="001D2C68" w:rsidP="001D2C68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D2C68">
        <w:rPr>
          <w:rFonts w:ascii="Book Antiqua" w:hAnsi="Book Antiqua"/>
          <w:sz w:val="22"/>
          <w:szCs w:val="22"/>
        </w:rPr>
        <w:t>bezpredmetné.</w:t>
      </w: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1D2C68">
        <w:rPr>
          <w:rFonts w:ascii="Book Antiqua" w:hAnsi="Book Antiqua"/>
          <w:b/>
          <w:sz w:val="22"/>
          <w:szCs w:val="22"/>
        </w:rPr>
        <w:t>5. Návrh zákona je zlučiteľný s právom Európskej únie</w:t>
      </w: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D2C68">
        <w:rPr>
          <w:rFonts w:ascii="Book Antiqua" w:hAnsi="Book Antiqua"/>
          <w:sz w:val="22"/>
          <w:szCs w:val="22"/>
        </w:rPr>
        <w:t>- úplne</w:t>
      </w: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D2C68">
        <w:rPr>
          <w:rFonts w:ascii="Book Antiqua" w:hAnsi="Book Antiqua"/>
          <w:sz w:val="22"/>
          <w:szCs w:val="22"/>
        </w:rPr>
        <w:t xml:space="preserve"> </w:t>
      </w:r>
    </w:p>
    <w:p w:rsidR="00650269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D2C68">
        <w:rPr>
          <w:rFonts w:ascii="Book Antiqua" w:hAnsi="Book Antiqua"/>
          <w:sz w:val="22"/>
          <w:szCs w:val="22"/>
        </w:rPr>
        <w:t xml:space="preserve"> </w:t>
      </w:r>
    </w:p>
    <w:p w:rsidR="00001CC8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05414F" w:rsidP="001D2C68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1D2C68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1D2C68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1D2C68">
        <w:rPr>
          <w:rFonts w:ascii="Book Antiqua" w:hAnsi="Book Antiqua"/>
          <w:color w:val="000000"/>
          <w:sz w:val="22"/>
          <w:szCs w:val="22"/>
        </w:rPr>
        <w:t> </w:t>
      </w: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D2C68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1D2C68">
        <w:rPr>
          <w:rFonts w:ascii="Book Antiqua" w:hAnsi="Book Antiqua"/>
          <w:sz w:val="22"/>
          <w:szCs w:val="22"/>
        </w:rPr>
        <w:t xml:space="preserve">návrh zákona, </w:t>
      </w:r>
      <w:r w:rsidRPr="001D2C68" w:rsidR="00F72960">
        <w:rPr>
          <w:rFonts w:ascii="Book Antiqua" w:hAnsi="Book Antiqua"/>
          <w:bCs/>
          <w:sz w:val="22"/>
          <w:szCs w:val="22"/>
        </w:rPr>
        <w:t>ktorým sa dopĺňa zákon č. 245/2008 Z. z. o výchove a vzdelávaní (školský zákon) a o zmene a doplnení niektorých zákonov v znení neskorších predpisov a ktorým sa mení a dopĺňa zákon č. 596/2003 Z. z. o štátnej správe v školstve a školskej samospráve a o zmene a doplnení niektorých zákonov v znení neskorších predpisov</w:t>
      </w:r>
    </w:p>
    <w:p w:rsidR="00F72960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D2C68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1D2C68">
        <w:rPr>
          <w:rFonts w:ascii="Book Antiqua" w:hAnsi="Book Antiqua"/>
          <w:color w:val="000000"/>
          <w:sz w:val="22"/>
          <w:szCs w:val="22"/>
        </w:rPr>
        <w:t xml:space="preserve"> </w:t>
      </w:r>
      <w:r w:rsidRPr="001D2C68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D2C68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D2C68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D2C6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D2C68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D2C68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D2C68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D2C68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D2C6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1D2C6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D2C68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D2C6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D2C6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1D2C6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D2C68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E5973" w:rsidR="0005414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D2C6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D2C68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D2C68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D2C6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D2C68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D2C6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D2C68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D2C6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D2C68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D2C6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D2C68" w:rsidR="00F72960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D2C6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D2C68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D2C6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D2C68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D2C6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D2C68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D2C6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D2C68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619F6" w:rsidRPr="001D2C68" w:rsidP="001D2C6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D2C6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1D2C68">
        <w:rPr>
          <w:rFonts w:ascii="Book Antiqua" w:hAnsi="Book Antiqua"/>
          <w:color w:val="000000"/>
          <w:sz w:val="22"/>
          <w:szCs w:val="22"/>
        </w:rPr>
        <w:t> </w:t>
      </w: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1D2C68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05414F" w:rsidP="0005414F">
      <w:pPr>
        <w:bidi w:val="0"/>
        <w:spacing w:before="120" w:after="0"/>
        <w:ind w:firstLine="708"/>
        <w:jc w:val="both"/>
        <w:rPr>
          <w:rFonts w:ascii="Book Antiqua" w:hAnsi="Book Antiqua"/>
          <w:i/>
        </w:rPr>
      </w:pPr>
      <w:r w:rsidRPr="001D2C68" w:rsidR="00F72960">
        <w:rPr>
          <w:rFonts w:ascii="Book Antiqua" w:hAnsi="Book Antiqua"/>
          <w:i/>
        </w:rPr>
        <w:t xml:space="preserve">Predložený návrh zákona zakladá pozitívne vplyvy na rozpočet verejnej správy (v dôsledku očakávaného zlepšenia zdravotného stavu obyvateľstva sa predpokladá </w:t>
      </w:r>
      <w:r w:rsidRPr="001D2C68" w:rsidR="00F72960">
        <w:rPr>
          <w:rFonts w:ascii="Book Antiqua" w:hAnsi="Book Antiqua"/>
          <w:bCs/>
          <w:i/>
        </w:rPr>
        <w:t>významná úspora finančných prostriedkov v rámci verejného zdravotného poistenia a</w:t>
      </w:r>
      <w:r w:rsidRPr="001D2C68" w:rsidR="00F72960">
        <w:rPr>
          <w:rFonts w:ascii="Book Antiqua" w:hAnsi="Book Antiqua"/>
          <w:i/>
        </w:rPr>
        <w:t xml:space="preserve"> výnos z pokút ukladaných za porušenie navrhovaných ustanovení </w:t>
      </w:r>
      <w:r w:rsidR="007819B4">
        <w:rPr>
          <w:rFonts w:ascii="Book Antiqua" w:hAnsi="Book Antiqua"/>
          <w:bCs/>
          <w:i/>
        </w:rPr>
        <w:t xml:space="preserve">§ 151a </w:t>
      </w:r>
      <w:r w:rsidRPr="001D2C68" w:rsidR="00F72960">
        <w:rPr>
          <w:rFonts w:ascii="Book Antiqua" w:hAnsi="Book Antiqua"/>
          <w:bCs/>
          <w:i/>
        </w:rPr>
        <w:t>školského zákona má byť príjmom štátneho rozpočtu)</w:t>
      </w:r>
      <w:r w:rsidRPr="001D2C68" w:rsidR="00F72960">
        <w:rPr>
          <w:rFonts w:ascii="Book Antiqua" w:hAnsi="Book Antiqua"/>
          <w:i/>
        </w:rPr>
        <w:t xml:space="preserve">. </w:t>
      </w:r>
    </w:p>
    <w:p w:rsidR="0005414F" w:rsidP="0005414F">
      <w:pPr>
        <w:bidi w:val="0"/>
        <w:spacing w:before="120" w:after="0"/>
        <w:ind w:firstLine="708"/>
        <w:jc w:val="both"/>
        <w:rPr>
          <w:rFonts w:ascii="Book Antiqua" w:hAnsi="Book Antiqua"/>
          <w:bCs/>
          <w:i/>
        </w:rPr>
      </w:pPr>
      <w:r w:rsidRPr="001D2C68" w:rsidR="00F72960">
        <w:rPr>
          <w:rFonts w:ascii="Book Antiqua" w:hAnsi="Book Antiqua"/>
          <w:bCs/>
          <w:i/>
        </w:rPr>
        <w:t>Z dôvodu, že v súčasnosti nie sú známe konkrétne percentá očakávaného ubudnutia chorôb</w:t>
      </w:r>
      <w:r w:rsidRPr="001D2C68" w:rsidR="00AF37FC">
        <w:rPr>
          <w:rFonts w:ascii="Book Antiqua" w:hAnsi="Book Antiqua"/>
          <w:bCs/>
          <w:i/>
        </w:rPr>
        <w:t xml:space="preserve"> súvisiacich s obezitou</w:t>
      </w:r>
      <w:r w:rsidRPr="001D2C68" w:rsidR="00F72960">
        <w:rPr>
          <w:rFonts w:ascii="Book Antiqua" w:hAnsi="Book Antiqua"/>
          <w:bCs/>
          <w:i/>
        </w:rPr>
        <w:t xml:space="preserve"> a následného ušetrenia verejných finančných prostriedkov</w:t>
      </w:r>
      <w:r w:rsidRPr="001D2C68" w:rsidR="00AF37FC">
        <w:rPr>
          <w:rFonts w:ascii="Book Antiqua" w:hAnsi="Book Antiqua"/>
          <w:bCs/>
          <w:i/>
        </w:rPr>
        <w:t xml:space="preserve"> v rámci verejného zdravotného poistenia</w:t>
      </w:r>
      <w:r w:rsidRPr="001D2C68" w:rsidR="00F72960">
        <w:rPr>
          <w:rFonts w:ascii="Book Antiqua" w:hAnsi="Book Antiqua"/>
          <w:bCs/>
          <w:i/>
        </w:rPr>
        <w:t>,</w:t>
      </w:r>
      <w:r w:rsidRPr="001D2C68" w:rsidR="00AF37FC">
        <w:rPr>
          <w:rFonts w:ascii="Book Antiqua" w:hAnsi="Book Antiqua"/>
          <w:bCs/>
          <w:i/>
        </w:rPr>
        <w:t xml:space="preserve"> a takisto ani počet a výška pokút uložených za porušenie navrhovaných ustanovení § 151a školského zákona,</w:t>
      </w:r>
      <w:r w:rsidRPr="001D2C68" w:rsidR="00F72960">
        <w:rPr>
          <w:rFonts w:ascii="Book Antiqua" w:hAnsi="Book Antiqua"/>
          <w:bCs/>
          <w:i/>
        </w:rPr>
        <w:t xml:space="preserve"> </w:t>
      </w:r>
      <w:r w:rsidRPr="001D2C68" w:rsidR="00AF37FC">
        <w:rPr>
          <w:rFonts w:ascii="Book Antiqua" w:hAnsi="Book Antiqua"/>
          <w:bCs/>
          <w:i/>
        </w:rPr>
        <w:t xml:space="preserve">pozitívne </w:t>
      </w:r>
      <w:r w:rsidRPr="001D2C68" w:rsidR="00F72960">
        <w:rPr>
          <w:rFonts w:ascii="Book Antiqua" w:hAnsi="Book Antiqua"/>
          <w:bCs/>
          <w:i/>
        </w:rPr>
        <w:t xml:space="preserve">vplyvy na rozpočet verejnej správy nie sú konkrétne vyčíslené. </w:t>
      </w:r>
    </w:p>
    <w:p w:rsidR="0005414F" w:rsidP="0005414F">
      <w:pPr>
        <w:bidi w:val="0"/>
        <w:spacing w:before="120" w:after="0"/>
        <w:ind w:firstLine="708"/>
        <w:jc w:val="both"/>
        <w:rPr>
          <w:rFonts w:ascii="Book Antiqua" w:hAnsi="Book Antiqua"/>
          <w:i/>
        </w:rPr>
      </w:pPr>
      <w:r w:rsidRPr="001D2C68" w:rsidR="00AF37FC">
        <w:rPr>
          <w:rFonts w:ascii="Book Antiqua" w:hAnsi="Book Antiqua"/>
          <w:bCs/>
          <w:i/>
        </w:rPr>
        <w:t xml:space="preserve">Negatívne vplyvy na </w:t>
      </w:r>
      <w:r w:rsidRPr="001D2C68" w:rsidR="00AF37FC">
        <w:rPr>
          <w:rFonts w:ascii="Book Antiqua" w:hAnsi="Book Antiqua"/>
          <w:i/>
        </w:rPr>
        <w:t xml:space="preserve">rozpočet verejnej správy sa nepredpokladajú, keďže sa po účinnosti predloženej právnej úpravy nepočíta so znížením predaja zdaňovaných doplnkových jedál. </w:t>
      </w:r>
    </w:p>
    <w:p w:rsidR="0005414F" w:rsidP="0005414F">
      <w:pPr>
        <w:bidi w:val="0"/>
        <w:spacing w:before="120" w:after="0"/>
        <w:ind w:firstLine="708"/>
        <w:jc w:val="both"/>
        <w:rPr>
          <w:rFonts w:ascii="Book Antiqua" w:hAnsi="Book Antiqua"/>
          <w:i/>
          <w:color w:val="000000"/>
        </w:rPr>
      </w:pPr>
      <w:r>
        <w:rPr>
          <w:rFonts w:ascii="Book Antiqua" w:hAnsi="Book Antiqua"/>
          <w:i/>
          <w:color w:val="000000"/>
        </w:rPr>
        <w:t>Návrh zákona nemá vplyv</w:t>
      </w:r>
      <w:r w:rsidRPr="001D2C68" w:rsidR="00F72960">
        <w:rPr>
          <w:rFonts w:ascii="Book Antiqua" w:hAnsi="Book Antiqua"/>
          <w:i/>
          <w:color w:val="000000"/>
        </w:rPr>
        <w:t xml:space="preserve"> na životné prostredie ani na informatizáciu spoločnosti. Nepredpokladajú sa bezprostredné sociálne vplyvy konkretizované v doložke vybraných vplyvov, predložená právna úprava však v praxi významne prispeje k zlepšeniu zdravotného stavu obyvateľov a tým aj k zlepšeniu ich kva</w:t>
      </w:r>
      <w:r w:rsidR="007819B4">
        <w:rPr>
          <w:rFonts w:ascii="Book Antiqua" w:hAnsi="Book Antiqua"/>
          <w:i/>
          <w:color w:val="000000"/>
        </w:rPr>
        <w:t>lity života a pracovného výkonu</w:t>
      </w:r>
      <w:r w:rsidRPr="001D2C68" w:rsidR="00F72960">
        <w:rPr>
          <w:rFonts w:ascii="Book Antiqua" w:hAnsi="Book Antiqua"/>
          <w:i/>
          <w:color w:val="000000"/>
        </w:rPr>
        <w:t xml:space="preserve">. </w:t>
      </w:r>
    </w:p>
    <w:p w:rsidR="00F72960" w:rsidRPr="001D2C68" w:rsidP="0005414F">
      <w:pPr>
        <w:bidi w:val="0"/>
        <w:spacing w:before="120" w:after="0"/>
        <w:ind w:firstLine="708"/>
        <w:jc w:val="both"/>
        <w:rPr>
          <w:rFonts w:ascii="Book Antiqua" w:hAnsi="Book Antiqua"/>
          <w:i/>
          <w:color w:val="000000"/>
        </w:rPr>
      </w:pPr>
      <w:r w:rsidRPr="001D2C68">
        <w:rPr>
          <w:rFonts w:ascii="Book Antiqua" w:hAnsi="Book Antiqua"/>
          <w:i/>
          <w:color w:val="000000"/>
        </w:rPr>
        <w:t xml:space="preserve">Po schválení návrhu zákona sa predpokladá </w:t>
      </w:r>
      <w:r w:rsidRPr="001D2C68" w:rsidR="00AF37FC">
        <w:rPr>
          <w:rFonts w:ascii="Book Antiqua" w:hAnsi="Book Antiqua"/>
          <w:i/>
          <w:color w:val="000000"/>
        </w:rPr>
        <w:t xml:space="preserve">mierne </w:t>
      </w:r>
      <w:r w:rsidRPr="001D2C68">
        <w:rPr>
          <w:rFonts w:ascii="Book Antiqua" w:hAnsi="Book Antiqua"/>
          <w:i/>
          <w:color w:val="000000"/>
        </w:rPr>
        <w:t xml:space="preserve">zvýšenie regulačného zaťaženia </w:t>
      </w:r>
      <w:r w:rsidRPr="001D2C68" w:rsidR="00AF37FC">
        <w:rPr>
          <w:rFonts w:ascii="Book Antiqua" w:hAnsi="Book Antiqua"/>
          <w:i/>
          <w:color w:val="000000"/>
        </w:rPr>
        <w:t xml:space="preserve">vybraného </w:t>
      </w:r>
      <w:r w:rsidRPr="001D2C68">
        <w:rPr>
          <w:rFonts w:ascii="Book Antiqua" w:hAnsi="Book Antiqua"/>
          <w:i/>
          <w:color w:val="000000"/>
        </w:rPr>
        <w:t>podnikateľského prostredia</w:t>
      </w:r>
      <w:r w:rsidRPr="001D2C68" w:rsidR="00AF37FC">
        <w:rPr>
          <w:rFonts w:ascii="Book Antiqua" w:hAnsi="Book Antiqua"/>
          <w:i/>
          <w:color w:val="000000"/>
        </w:rPr>
        <w:t>, čo voči predmetnej skupine podnikateľov (prevádzkovateľom bufetov a automatov) môže pôsobiť negatívne</w:t>
      </w:r>
      <w:r w:rsidRPr="001D2C68">
        <w:rPr>
          <w:rFonts w:ascii="Book Antiqua" w:hAnsi="Book Antiqua"/>
          <w:i/>
          <w:color w:val="000000"/>
        </w:rPr>
        <w:t xml:space="preserve">. Navrhovaná právna úprava má ambíciu zvýšiť kvalitu stravovania detí a žiakov, súčasne však má záujem neohroziť existujúce bufety a automaty ani budúce </w:t>
      </w:r>
      <w:r w:rsidRPr="001D2C68" w:rsidR="00AF37FC">
        <w:rPr>
          <w:rFonts w:ascii="Book Antiqua" w:hAnsi="Book Antiqua"/>
          <w:i/>
          <w:color w:val="000000"/>
        </w:rPr>
        <w:t>takéto</w:t>
      </w:r>
      <w:r w:rsidRPr="001D2C68">
        <w:rPr>
          <w:rFonts w:ascii="Book Antiqua" w:hAnsi="Book Antiqua"/>
          <w:i/>
          <w:color w:val="000000"/>
        </w:rPr>
        <w:t xml:space="preserve"> zariadenia v školách a školských zariadeniach, preto zakazuje predaj len</w:t>
      </w:r>
      <w:r w:rsidRPr="001D2C68" w:rsidR="00650269">
        <w:rPr>
          <w:rFonts w:ascii="Book Antiqua" w:hAnsi="Book Antiqua"/>
          <w:i/>
          <w:color w:val="000000"/>
        </w:rPr>
        <w:t xml:space="preserve"> určitých</w:t>
      </w:r>
      <w:r w:rsidRPr="001D2C68">
        <w:rPr>
          <w:rFonts w:ascii="Book Antiqua" w:hAnsi="Book Antiqua"/>
          <w:i/>
          <w:color w:val="000000"/>
        </w:rPr>
        <w:t xml:space="preserve"> </w:t>
      </w:r>
      <w:r w:rsidRPr="001D2C68" w:rsidR="00650269">
        <w:rPr>
          <w:rFonts w:ascii="Book Antiqua" w:hAnsi="Book Antiqua"/>
          <w:i/>
          <w:color w:val="000000"/>
        </w:rPr>
        <w:t>výslovne</w:t>
      </w:r>
      <w:r w:rsidRPr="001D2C68">
        <w:rPr>
          <w:rFonts w:ascii="Book Antiqua" w:hAnsi="Book Antiqua"/>
          <w:i/>
          <w:color w:val="000000"/>
        </w:rPr>
        <w:t xml:space="preserve"> škodlivých potravín a umožňuje prevádzkovateľom bufetov a automatov predávať v menšom rozsahu (1/3 v rámci celého sortimentu) aj iné doplnkové jedlá </w:t>
      </w:r>
      <w:r w:rsidRPr="001D2C68" w:rsidR="00EE096A">
        <w:rPr>
          <w:rFonts w:ascii="Book Antiqua" w:hAnsi="Book Antiqua"/>
          <w:i/>
          <w:color w:val="000000"/>
        </w:rPr>
        <w:t xml:space="preserve">ako tie, ktoré sú </w:t>
      </w:r>
      <w:r w:rsidRPr="001D2C68">
        <w:rPr>
          <w:rFonts w:ascii="Book Antiqua" w:hAnsi="Book Antiqua"/>
          <w:i/>
          <w:color w:val="000000"/>
        </w:rPr>
        <w:t>vymenované v</w:t>
      </w:r>
      <w:r w:rsidRPr="001D2C68" w:rsidR="00EE096A">
        <w:rPr>
          <w:rFonts w:ascii="Book Antiqua" w:hAnsi="Book Antiqua"/>
          <w:i/>
          <w:color w:val="000000"/>
        </w:rPr>
        <w:t> čl. I bode 3</w:t>
      </w:r>
      <w:r w:rsidRPr="001D2C68">
        <w:rPr>
          <w:rFonts w:ascii="Book Antiqua" w:hAnsi="Book Antiqua"/>
          <w:i/>
          <w:color w:val="000000"/>
        </w:rPr>
        <w:t xml:space="preserve"> </w:t>
      </w:r>
      <w:r w:rsidR="0005414F">
        <w:rPr>
          <w:rFonts w:ascii="Book Antiqua" w:hAnsi="Book Antiqua"/>
          <w:i/>
          <w:color w:val="000000"/>
        </w:rPr>
        <w:t xml:space="preserve">        </w:t>
      </w:r>
      <w:r w:rsidRPr="001D2C68">
        <w:rPr>
          <w:rFonts w:ascii="Book Antiqua" w:hAnsi="Book Antiqua"/>
          <w:i/>
          <w:color w:val="000000"/>
        </w:rPr>
        <w:t xml:space="preserve">§ 151a </w:t>
      </w:r>
      <w:r w:rsidRPr="001D2C68">
        <w:rPr>
          <w:rFonts w:ascii="Book Antiqua" w:hAnsi="Book Antiqua"/>
          <w:i/>
        </w:rPr>
        <w:t>ods. 2 písm. a) až d) návrhu zákona</w:t>
      </w:r>
      <w:r w:rsidRPr="001D2C68">
        <w:rPr>
          <w:rFonts w:ascii="Book Antiqua" w:hAnsi="Book Antiqua"/>
          <w:i/>
          <w:color w:val="000000"/>
        </w:rPr>
        <w:t xml:space="preserve">.  </w:t>
      </w: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D2C68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D2C68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D2C68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D2C68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1D2C68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D619F6" w:rsidRPr="001D2C68" w:rsidP="001D2C6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619F6" w:rsidRPr="001D2C68" w:rsidP="001D2C68">
      <w:pPr>
        <w:bidi w:val="0"/>
        <w:spacing w:before="120" w:after="0"/>
        <w:jc w:val="both"/>
        <w:rPr>
          <w:rFonts w:ascii="Book Antiqua" w:hAnsi="Book Antiqua"/>
          <w:color w:val="000000"/>
        </w:rPr>
      </w:pPr>
    </w:p>
    <w:p w:rsidR="00D619F6" w:rsidRPr="001D2C68" w:rsidP="001D2C68">
      <w:pPr>
        <w:bidi w:val="0"/>
        <w:spacing w:before="120" w:after="0"/>
        <w:jc w:val="both"/>
        <w:rPr>
          <w:rFonts w:ascii="Book Antiqua" w:hAnsi="Book Antiqua"/>
        </w:rPr>
      </w:pPr>
    </w:p>
    <w:p w:rsidR="00CD4041" w:rsidRPr="001D2C68" w:rsidP="0005414F">
      <w:pPr>
        <w:pStyle w:val="Heading2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CD4041" w:rsidRPr="001D2C68" w:rsidP="001D2C68">
      <w:pPr>
        <w:bidi w:val="0"/>
        <w:spacing w:before="120" w:after="0"/>
        <w:rPr>
          <w:rFonts w:ascii="Book Antiqua" w:hAnsi="Book Antiqua"/>
        </w:rPr>
      </w:pPr>
    </w:p>
    <w:p w:rsidR="00CD4041" w:rsidRPr="001D2C68" w:rsidP="001D2C68">
      <w:pPr>
        <w:bidi w:val="0"/>
        <w:spacing w:before="120" w:after="0"/>
        <w:ind w:firstLine="709"/>
        <w:rPr>
          <w:rFonts w:ascii="Book Antiqua" w:hAnsi="Book Antiqua"/>
        </w:rPr>
      </w:pPr>
    </w:p>
    <w:sectPr w:rsidSect="007819B4">
      <w:footerReference w:type="default" r:id="rId4"/>
      <w:pgSz w:w="11906" w:h="16838"/>
      <w:pgMar w:top="1417" w:right="1417" w:bottom="1418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44B">
    <w:pPr>
      <w:pStyle w:val="Footer"/>
      <w:bidi w:val="0"/>
      <w:jc w:val="right"/>
    </w:pPr>
    <w:r w:rsidR="002975F1">
      <w:fldChar w:fldCharType="begin"/>
    </w:r>
    <w:r w:rsidR="002975F1">
      <w:instrText>PAGE   \* MERGEFORMAT</w:instrText>
    </w:r>
    <w:r w:rsidR="002975F1">
      <w:fldChar w:fldCharType="separate"/>
    </w:r>
    <w:r w:rsidR="0011107E">
      <w:rPr>
        <w:noProof/>
      </w:rPr>
      <w:t>1</w:t>
    </w:r>
    <w:r w:rsidR="002975F1">
      <w:fldChar w:fldCharType="end"/>
    </w:r>
  </w:p>
  <w:p w:rsidR="004E544B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186C"/>
    <w:multiLevelType w:val="hybridMultilevel"/>
    <w:tmpl w:val="336C11B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A67C5C"/>
    <w:multiLevelType w:val="hybridMultilevel"/>
    <w:tmpl w:val="D5A269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D4B065F"/>
    <w:multiLevelType w:val="hybridMultilevel"/>
    <w:tmpl w:val="41C6BF3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3A6461D"/>
    <w:multiLevelType w:val="hybridMultilevel"/>
    <w:tmpl w:val="E412470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0A95BD0"/>
    <w:multiLevelType w:val="hybridMultilevel"/>
    <w:tmpl w:val="336C11B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CF230C8"/>
    <w:multiLevelType w:val="hybridMultilevel"/>
    <w:tmpl w:val="0A88544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05B83"/>
    <w:rsid w:val="00001CC8"/>
    <w:rsid w:val="00020155"/>
    <w:rsid w:val="0004632D"/>
    <w:rsid w:val="0005414F"/>
    <w:rsid w:val="00091B58"/>
    <w:rsid w:val="0009659D"/>
    <w:rsid w:val="000B5882"/>
    <w:rsid w:val="000E559A"/>
    <w:rsid w:val="001003E3"/>
    <w:rsid w:val="00105AAA"/>
    <w:rsid w:val="0011107E"/>
    <w:rsid w:val="00122E78"/>
    <w:rsid w:val="00124F00"/>
    <w:rsid w:val="001334C1"/>
    <w:rsid w:val="001473C5"/>
    <w:rsid w:val="00166616"/>
    <w:rsid w:val="00171AD8"/>
    <w:rsid w:val="0018146D"/>
    <w:rsid w:val="0019039F"/>
    <w:rsid w:val="00193159"/>
    <w:rsid w:val="001B1034"/>
    <w:rsid w:val="001B7DA8"/>
    <w:rsid w:val="001C6D19"/>
    <w:rsid w:val="001C6D25"/>
    <w:rsid w:val="001D2C68"/>
    <w:rsid w:val="002101C9"/>
    <w:rsid w:val="00214476"/>
    <w:rsid w:val="002250A5"/>
    <w:rsid w:val="002313AC"/>
    <w:rsid w:val="002329AF"/>
    <w:rsid w:val="00240C1A"/>
    <w:rsid w:val="00242007"/>
    <w:rsid w:val="00243101"/>
    <w:rsid w:val="00281EFE"/>
    <w:rsid w:val="00296857"/>
    <w:rsid w:val="002975F1"/>
    <w:rsid w:val="002B0FD0"/>
    <w:rsid w:val="002B62B8"/>
    <w:rsid w:val="002B74EA"/>
    <w:rsid w:val="002C5C6F"/>
    <w:rsid w:val="003372A0"/>
    <w:rsid w:val="00345A67"/>
    <w:rsid w:val="00352865"/>
    <w:rsid w:val="00375CE7"/>
    <w:rsid w:val="00376A43"/>
    <w:rsid w:val="0038514B"/>
    <w:rsid w:val="003C7DE7"/>
    <w:rsid w:val="003D6292"/>
    <w:rsid w:val="003E0DF4"/>
    <w:rsid w:val="004310FF"/>
    <w:rsid w:val="00431AFA"/>
    <w:rsid w:val="004435AC"/>
    <w:rsid w:val="004A6BFE"/>
    <w:rsid w:val="004A6C0B"/>
    <w:rsid w:val="004C195D"/>
    <w:rsid w:val="004C5165"/>
    <w:rsid w:val="004E544B"/>
    <w:rsid w:val="004E5973"/>
    <w:rsid w:val="004E626A"/>
    <w:rsid w:val="00540862"/>
    <w:rsid w:val="00596E7F"/>
    <w:rsid w:val="005B7A29"/>
    <w:rsid w:val="00612C08"/>
    <w:rsid w:val="0063085A"/>
    <w:rsid w:val="006352EB"/>
    <w:rsid w:val="006377FF"/>
    <w:rsid w:val="00650269"/>
    <w:rsid w:val="006512DD"/>
    <w:rsid w:val="006531B5"/>
    <w:rsid w:val="00682ECA"/>
    <w:rsid w:val="00695E45"/>
    <w:rsid w:val="006B7C05"/>
    <w:rsid w:val="006E2668"/>
    <w:rsid w:val="00732A56"/>
    <w:rsid w:val="00745AC0"/>
    <w:rsid w:val="007511EF"/>
    <w:rsid w:val="0076058C"/>
    <w:rsid w:val="0077246D"/>
    <w:rsid w:val="00772482"/>
    <w:rsid w:val="007744F1"/>
    <w:rsid w:val="007819B4"/>
    <w:rsid w:val="00787BC2"/>
    <w:rsid w:val="00790D48"/>
    <w:rsid w:val="007939D3"/>
    <w:rsid w:val="007E25F3"/>
    <w:rsid w:val="007F0460"/>
    <w:rsid w:val="00805B83"/>
    <w:rsid w:val="008121D1"/>
    <w:rsid w:val="00842AE8"/>
    <w:rsid w:val="00847BC6"/>
    <w:rsid w:val="00881A6A"/>
    <w:rsid w:val="008924A6"/>
    <w:rsid w:val="008D4FA5"/>
    <w:rsid w:val="008D564D"/>
    <w:rsid w:val="008E18D6"/>
    <w:rsid w:val="008E3838"/>
    <w:rsid w:val="009269DE"/>
    <w:rsid w:val="00931580"/>
    <w:rsid w:val="00954600"/>
    <w:rsid w:val="00971C31"/>
    <w:rsid w:val="009918B8"/>
    <w:rsid w:val="009A32C2"/>
    <w:rsid w:val="009A3F56"/>
    <w:rsid w:val="009C6AE2"/>
    <w:rsid w:val="009D10EC"/>
    <w:rsid w:val="009E3BDD"/>
    <w:rsid w:val="009E41BD"/>
    <w:rsid w:val="009E7341"/>
    <w:rsid w:val="00A04109"/>
    <w:rsid w:val="00A225F1"/>
    <w:rsid w:val="00A364A2"/>
    <w:rsid w:val="00A45C9C"/>
    <w:rsid w:val="00A60F79"/>
    <w:rsid w:val="00A8206C"/>
    <w:rsid w:val="00A95663"/>
    <w:rsid w:val="00AA78FE"/>
    <w:rsid w:val="00AB3238"/>
    <w:rsid w:val="00AB6D94"/>
    <w:rsid w:val="00AB77FD"/>
    <w:rsid w:val="00AF0404"/>
    <w:rsid w:val="00AF37FC"/>
    <w:rsid w:val="00B027EA"/>
    <w:rsid w:val="00B16C2A"/>
    <w:rsid w:val="00B17AF7"/>
    <w:rsid w:val="00B46265"/>
    <w:rsid w:val="00B8754C"/>
    <w:rsid w:val="00B93253"/>
    <w:rsid w:val="00BE4E7C"/>
    <w:rsid w:val="00BF24FC"/>
    <w:rsid w:val="00C04D21"/>
    <w:rsid w:val="00C311E0"/>
    <w:rsid w:val="00C560F0"/>
    <w:rsid w:val="00C56442"/>
    <w:rsid w:val="00C8579C"/>
    <w:rsid w:val="00C85C2D"/>
    <w:rsid w:val="00CA1C10"/>
    <w:rsid w:val="00CD4041"/>
    <w:rsid w:val="00CE0589"/>
    <w:rsid w:val="00CF478D"/>
    <w:rsid w:val="00D0767F"/>
    <w:rsid w:val="00D16113"/>
    <w:rsid w:val="00D271AC"/>
    <w:rsid w:val="00D4455E"/>
    <w:rsid w:val="00D53D62"/>
    <w:rsid w:val="00D619F6"/>
    <w:rsid w:val="00D86304"/>
    <w:rsid w:val="00DB3BF3"/>
    <w:rsid w:val="00DB7665"/>
    <w:rsid w:val="00E15D64"/>
    <w:rsid w:val="00E41815"/>
    <w:rsid w:val="00E55418"/>
    <w:rsid w:val="00E9229E"/>
    <w:rsid w:val="00E965ED"/>
    <w:rsid w:val="00EC52F4"/>
    <w:rsid w:val="00ED2365"/>
    <w:rsid w:val="00ED46FA"/>
    <w:rsid w:val="00EE096A"/>
    <w:rsid w:val="00EF002D"/>
    <w:rsid w:val="00EF2E7C"/>
    <w:rsid w:val="00F11924"/>
    <w:rsid w:val="00F274B0"/>
    <w:rsid w:val="00F725D1"/>
    <w:rsid w:val="00F72960"/>
    <w:rsid w:val="00FB369B"/>
    <w:rsid w:val="00FD601D"/>
    <w:rsid w:val="00FE2A9B"/>
    <w:rsid w:val="00FE2EDD"/>
    <w:rsid w:val="00FE79C9"/>
    <w:rsid w:val="00FF569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8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041"/>
    <w:pPr>
      <w:keepNext/>
      <w:spacing w:before="240" w:after="60" w:line="240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eastAsia="sk-SK"/>
    </w:rPr>
  </w:style>
  <w:style w:type="paragraph" w:styleId="Heading5">
    <w:name w:val="heading 5"/>
    <w:basedOn w:val="Normal"/>
    <w:link w:val="Heading5Char"/>
    <w:uiPriority w:val="9"/>
    <w:qFormat/>
    <w:rsid w:val="0019039F"/>
    <w:pPr>
      <w:spacing w:before="100" w:beforeAutospacing="1" w:after="100" w:afterAutospacing="1" w:line="240" w:lineRule="auto"/>
      <w:jc w:val="left"/>
      <w:outlineLvl w:val="4"/>
    </w:pPr>
    <w:rPr>
      <w:rFonts w:ascii="Times New Roman" w:hAnsi="Times New Roman"/>
      <w:b/>
      <w:bCs/>
      <w:sz w:val="20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locked/>
    <w:rsid w:val="00CD4041"/>
    <w:rPr>
      <w:rFonts w:ascii="Cambria" w:hAnsi="Cambria" w:cs="Times New Roman"/>
      <w:b/>
      <w:i/>
      <w:sz w:val="28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19039F"/>
    <w:rPr>
      <w:rFonts w:ascii="Times New Roman" w:hAnsi="Times New Roman" w:cs="Times New Roman"/>
      <w:b/>
      <w:rtl w:val="0"/>
      <w:cs w:val="0"/>
    </w:rPr>
  </w:style>
  <w:style w:type="character" w:customStyle="1" w:styleId="apple-converted-space">
    <w:name w:val="apple-converted-space"/>
    <w:rsid w:val="0019039F"/>
  </w:style>
  <w:style w:type="character" w:styleId="CommentReference">
    <w:name w:val="annotation reference"/>
    <w:basedOn w:val="DefaultParagraphFont"/>
    <w:uiPriority w:val="99"/>
    <w:semiHidden/>
    <w:unhideWhenUsed/>
    <w:rsid w:val="007744F1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4F1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744F1"/>
    <w:rPr>
      <w:rFonts w:cs="Times New Roman"/>
      <w:rtl w:val="0"/>
      <w:cs w:val="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4F1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44F1"/>
    <w:rPr>
      <w:rFonts w:ascii="Tahoma" w:hAnsi="Tahoma" w:cs="Times New Roman"/>
      <w:sz w:val="16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4F1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744F1"/>
    <w:rPr>
      <w:b/>
    </w:rPr>
  </w:style>
  <w:style w:type="paragraph" w:styleId="ListParagraph">
    <w:name w:val="List Paragraph"/>
    <w:basedOn w:val="Normal"/>
    <w:uiPriority w:val="34"/>
    <w:qFormat/>
    <w:rsid w:val="00AF0404"/>
    <w:pPr>
      <w:ind w:left="708"/>
      <w:jc w:val="left"/>
    </w:pPr>
  </w:style>
  <w:style w:type="paragraph" w:customStyle="1" w:styleId="Default">
    <w:name w:val="Default"/>
    <w:rsid w:val="008D4FA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styleId="Hyperlink">
    <w:name w:val="Hyperlink"/>
    <w:basedOn w:val="DefaultParagraphFont"/>
    <w:uiPriority w:val="99"/>
    <w:unhideWhenUsed/>
    <w:rsid w:val="00D53D62"/>
    <w:rPr>
      <w:rFonts w:cs="Times New Roman"/>
      <w:color w:val="0000FF"/>
      <w:u w:val="single"/>
      <w:rtl w:val="0"/>
      <w:cs w:val="0"/>
    </w:rPr>
  </w:style>
  <w:style w:type="paragraph" w:styleId="Header">
    <w:name w:val="header"/>
    <w:basedOn w:val="Normal"/>
    <w:link w:val="HeaderChar"/>
    <w:uiPriority w:val="99"/>
    <w:rsid w:val="00F11924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11924"/>
    <w:rPr>
      <w:rFonts w:cs="Times New Roman"/>
      <w:sz w:val="22"/>
      <w:rtl w:val="0"/>
      <w:cs w:val="0"/>
      <w:lang w:val="x-none" w:eastAsia="en-US"/>
    </w:rPr>
  </w:style>
  <w:style w:type="paragraph" w:styleId="Footer">
    <w:name w:val="footer"/>
    <w:basedOn w:val="Normal"/>
    <w:link w:val="FooterChar"/>
    <w:uiPriority w:val="99"/>
    <w:rsid w:val="00F11924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11924"/>
    <w:rPr>
      <w:rFonts w:cs="Times New Roman"/>
      <w:sz w:val="22"/>
      <w:rtl w:val="0"/>
      <w:cs w:val="0"/>
      <w:lang w:val="x-none" w:eastAsia="en-US"/>
    </w:rPr>
  </w:style>
  <w:style w:type="paragraph" w:styleId="NormalWeb">
    <w:name w:val="Normal (Web)"/>
    <w:basedOn w:val="Normal"/>
    <w:uiPriority w:val="99"/>
    <w:unhideWhenUsed/>
    <w:rsid w:val="00F1192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7</Pages>
  <Words>2076</Words>
  <Characters>11835</Characters>
  <Application>Microsoft Office Word</Application>
  <DocSecurity>0</DocSecurity>
  <Lines>0</Lines>
  <Paragraphs>0</Paragraphs>
  <ScaleCrop>false</ScaleCrop>
  <Company>Grizli777</Company>
  <LinksUpToDate>false</LinksUpToDate>
  <CharactersWithSpaces>13884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Gašparíková, Jarmila</cp:lastModifiedBy>
  <cp:revision>2</cp:revision>
  <cp:lastPrinted>2015-03-18T14:06:00Z</cp:lastPrinted>
  <dcterms:created xsi:type="dcterms:W3CDTF">2015-03-19T11:30:00Z</dcterms:created>
  <dcterms:modified xsi:type="dcterms:W3CDTF">2015-03-19T11:30:00Z</dcterms:modified>
</cp:coreProperties>
</file>