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0AEE" w:rsidRPr="003D12CB" w:rsidP="00C66859">
      <w:pPr>
        <w:widowControl w:val="0"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47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880"/>
        <w:gridCol w:w="3760"/>
        <w:gridCol w:w="760"/>
        <w:gridCol w:w="1404"/>
        <w:gridCol w:w="652"/>
        <w:gridCol w:w="4735"/>
        <w:gridCol w:w="769"/>
        <w:gridCol w:w="1801"/>
      </w:tblGrid>
      <w:tr>
        <w:tblPrEx>
          <w:tblW w:w="14761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956"/>
        </w:trPr>
        <w:tc>
          <w:tcPr>
            <w:tcW w:w="14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44D32" w:rsidRPr="003D12CB" w:rsidP="00C66859">
            <w:pPr>
              <w:pStyle w:val="Heading1"/>
              <w:keepNext w:val="0"/>
              <w:keepLines w:val="0"/>
              <w:widowControl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60AEE" w:rsidRPr="003D12CB" w:rsidP="00C66859">
            <w:pPr>
              <w:pStyle w:val="Heading1"/>
              <w:keepNext w:val="0"/>
              <w:keepLines w:val="0"/>
              <w:widowControl w:val="0"/>
              <w:bidi w:val="0"/>
              <w:spacing w:before="0" w:after="0" w:line="240" w:lineRule="auto"/>
              <w:jc w:val="center"/>
              <w:rPr>
                <w:rFonts w:ascii="Times New Roman" w:hAnsi="Times New Roman" w:hint="default"/>
                <w:color w:val="auto"/>
                <w:sz w:val="20"/>
                <w:szCs w:val="20"/>
              </w:rPr>
            </w:pPr>
            <w:r w:rsidRPr="003D12CB">
              <w:rPr>
                <w:rFonts w:ascii="Times New Roman" w:hAnsi="Times New Roman" w:hint="default"/>
                <w:color w:val="auto"/>
                <w:sz w:val="20"/>
                <w:szCs w:val="20"/>
              </w:rPr>
              <w:t>TABUĽ</w:t>
            </w:r>
            <w:r w:rsidRPr="003D12CB">
              <w:rPr>
                <w:rFonts w:ascii="Times New Roman" w:hAnsi="Times New Roman" w:hint="default"/>
                <w:color w:val="auto"/>
                <w:sz w:val="20"/>
                <w:szCs w:val="20"/>
              </w:rPr>
              <w:t>KA  ZHODY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právneho predpisu s právom Európskej únie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4761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95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C6524" w:rsidRPr="008C6524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12CB" w:rsidR="00744D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Smernica Európskeho parlamentu a Rady </w:t>
            </w:r>
            <w:r w:rsidRPr="008C6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2010/64/EÚ</w:t>
            </w:r>
          </w:p>
          <w:p w:rsidR="008C6524" w:rsidRPr="008C6524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C6524" w:rsidRPr="008C6524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6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z 20. októbra 2010</w:t>
            </w:r>
          </w:p>
          <w:p w:rsidR="008C6524" w:rsidRPr="008C6524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60AEE" w:rsidRPr="003D12CB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524" w:rsidR="008C6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o práve na tlmočenie a preklad v trestnom konaní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CB" w:rsidR="00C66859">
              <w:rPr>
                <w:rFonts w:ascii="Times New Roman" w:hAnsi="Times New Roman"/>
                <w:b/>
                <w:sz w:val="20"/>
                <w:szCs w:val="20"/>
              </w:rPr>
              <w:t>Právne predpisy Slovenskej republiky</w:t>
            </w:r>
          </w:p>
          <w:p w:rsidR="00372DC7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4B13" w:rsidRPr="002E4B13" w:rsidP="002E4B13">
            <w:pPr>
              <w:pStyle w:val="ListParagraph"/>
              <w:numPr>
                <w:numId w:val="20"/>
              </w:numPr>
              <w:tabs>
                <w:tab w:val="left" w:pos="426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Čl. III - </w:t>
            </w:r>
            <w:r w:rsidRPr="002E4B13">
              <w:rPr>
                <w:rFonts w:ascii="Times New Roman" w:hAnsi="Times New Roman"/>
                <w:b/>
                <w:i/>
                <w:sz w:val="20"/>
                <w:szCs w:val="20"/>
              </w:rPr>
              <w:t>Návrh zákona, ktorým sa dopĺňa zákon č. 154/2010 Z. z. o európskom zatýkacom rozkaze v znení zákona č. 344/2012 Z. z.</w:t>
            </w:r>
          </w:p>
          <w:p w:rsidR="008C6524" w:rsidRPr="008C6524" w:rsidP="008C6524">
            <w:pPr>
              <w:pStyle w:val="ListParagraph"/>
              <w:numPr>
                <w:numId w:val="20"/>
              </w:numPr>
              <w:tabs>
                <w:tab w:val="left" w:pos="426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6524">
              <w:rPr>
                <w:rFonts w:ascii="Times New Roman" w:hAnsi="Times New Roman"/>
                <w:b/>
                <w:sz w:val="20"/>
                <w:szCs w:val="20"/>
              </w:rPr>
              <w:t>zákon č. 154/2010 Z. z. o európskom zatýkacom rozkaze v znení neskorších predpisov</w:t>
            </w:r>
          </w:p>
          <w:p w:rsidR="00372DC7" w:rsidP="00372DC7">
            <w:pPr>
              <w:tabs>
                <w:tab w:val="left" w:pos="426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DC7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14761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761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4D32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8C6524">
              <w:rPr>
                <w:rFonts w:ascii="Times New Roman" w:hAnsi="Times New Roman"/>
                <w:sz w:val="20"/>
                <w:szCs w:val="20"/>
              </w:rPr>
              <w:t>Č: 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524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962">
              <w:rPr>
                <w:rFonts w:ascii="Times New Roman" w:hAnsi="Times New Roman"/>
                <w:sz w:val="20"/>
                <w:szCs w:val="20"/>
              </w:rPr>
              <w:t>Právo na tlmočenie</w:t>
            </w:r>
          </w:p>
          <w:p w:rsidR="008C6524" w:rsidRPr="00B83962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6524" w:rsidRPr="00B83962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962">
              <w:rPr>
                <w:rFonts w:ascii="Times New Roman" w:hAnsi="Times New Roman"/>
                <w:sz w:val="20"/>
                <w:szCs w:val="20"/>
              </w:rPr>
              <w:t>1. Členské štáty zabezpečia, aby sa podozrivým alebo obvineným osobám, ktoré nehovoria jazykom príslušného trestného konania alebo mu nerozumejú, bezodkladne poskytlo tlmočenie počas trestného konania pred vyšetrovacími a justičnými orgánmi vrátane policajného výsluchu, všetkých súdnych pojednávaní a akýchkoľvek potrebných predbežných pojednávaní.</w:t>
            </w:r>
          </w:p>
          <w:p w:rsidR="008C6524" w:rsidRPr="00B83962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(...)</w:t>
            </w:r>
          </w:p>
          <w:p w:rsidR="008C6524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6524" w:rsidRPr="00B83962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962">
              <w:rPr>
                <w:rFonts w:ascii="Times New Roman" w:hAnsi="Times New Roman"/>
                <w:sz w:val="20"/>
                <w:szCs w:val="20"/>
              </w:rPr>
              <w:t>7. Pokiaľ ide o konanie týkajúce sa výkonu európskeho zatýkacieho rozkazu, vykonávajúci členský štát zabezpečí, aby jeho príslušné orgány poskytli tlmočenie v súlade s týmto článkom osobám, voči ktorým sa takéto konanie vedie a ktoré nehovoria jazykom konania alebo mu nerozumejú.</w:t>
            </w:r>
          </w:p>
          <w:p w:rsidR="008C6524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(...)</w:t>
            </w:r>
          </w:p>
          <w:p w:rsidR="00160AEE" w:rsidRPr="003D12CB" w:rsidP="008C6524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C652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524" w:rsidRPr="00452AAE" w:rsidP="008C652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AAE">
              <w:rPr>
                <w:rFonts w:ascii="Times New Roman" w:hAnsi="Times New Roman"/>
                <w:sz w:val="20"/>
                <w:szCs w:val="20"/>
              </w:rPr>
              <w:t>zákon č. 154/2010 Z. z. o európskom zatýkacom rozkaze v znení neskorších predpisov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524" w:rsidRPr="00B83962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§: 14</w:t>
            </w:r>
          </w:p>
          <w:p w:rsidR="008C6524" w:rsidRPr="00B83962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962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8C6524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§:1 </w:t>
            </w:r>
          </w:p>
          <w:p w:rsidR="008C6524" w:rsidP="008C65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O:2 </w:t>
            </w:r>
          </w:p>
          <w:p w:rsidR="00DB389F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524" w:rsidP="008C65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Vyžiadaná osoba má v konaní o európskom zatýkacom rozkaze právo na tlmočníka a prekladateľa.</w:t>
            </w:r>
            <w:r w:rsidRPr="00452AAE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</w:rPr>
              <w:t>9)</w:t>
            </w:r>
          </w:p>
          <w:p w:rsidR="008C6524" w:rsidP="008C65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6524" w:rsidP="008C65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C40">
              <w:rPr>
                <w:rFonts w:ascii="Times New Roman" w:hAnsi="Times New Roman"/>
                <w:color w:val="000000"/>
                <w:sz w:val="20"/>
                <w:szCs w:val="20"/>
              </w:rPr>
              <w:t>Na konanie podľa tohto zákona sa použije všeobecný predpis o trestnom konaní, 1) ak tento zákon neustanovuje inak.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C652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61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8C6524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8C6524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524" w:rsidRPr="008C6524" w:rsidP="008C6524">
            <w:pPr>
              <w:pStyle w:val="NormalWeb"/>
              <w:widowControl w:val="0"/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524">
              <w:rPr>
                <w:rFonts w:ascii="Times New Roman" w:hAnsi="Times New Roman"/>
                <w:sz w:val="20"/>
                <w:szCs w:val="20"/>
              </w:rPr>
              <w:t>Právo na preklad základných dokumentov</w:t>
            </w:r>
          </w:p>
          <w:p w:rsidR="008C6524" w:rsidRPr="008C6524" w:rsidP="008C6524">
            <w:pPr>
              <w:pStyle w:val="NormalWeb"/>
              <w:widowControl w:val="0"/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6524" w:rsidRPr="008C6524" w:rsidP="008C6524">
            <w:pPr>
              <w:pStyle w:val="NormalWeb"/>
              <w:widowControl w:val="0"/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524">
              <w:rPr>
                <w:rFonts w:ascii="Times New Roman" w:hAnsi="Times New Roman"/>
                <w:sz w:val="20"/>
                <w:szCs w:val="20"/>
              </w:rPr>
              <w:t>1. Členské štáty zabezpečia, aby sa podozrivým alebo obvineným osobám, ktoré nerozumejú jazyku dotknutého trestného konania, v primeranom čase poskytol písomný preklad všetkých dokumentov, ktoré sú základné na zabezpečenie toho, aby boli schopné uplatniť svoje právo na obhajobu a zaručenie spravodlivého procesu.</w:t>
            </w:r>
          </w:p>
          <w:p w:rsidR="008C6524" w:rsidRPr="008C6524" w:rsidP="008C6524">
            <w:pPr>
              <w:pStyle w:val="NormalWeb"/>
              <w:widowControl w:val="0"/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(...)</w:t>
            </w:r>
          </w:p>
          <w:p w:rsidR="00160AEE" w:rsidP="008C6524">
            <w:pPr>
              <w:pStyle w:val="NormalWeb"/>
              <w:widowControl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524" w:rsidR="008C6524">
              <w:rPr>
                <w:rFonts w:ascii="Times New Roman" w:hAnsi="Times New Roman"/>
                <w:sz w:val="20"/>
                <w:szCs w:val="20"/>
              </w:rPr>
              <w:t>6. Pokiaľ ide o konanie týkajúce sa výkonu európskeho zatýkacieho rozkazu, vykonávajúci členský štát zabezpečí, aby jeho príslušné orgány každej osobe, voči ktorej sa takéto konanie vedie a ktorá nerozumie jazyku, v ktorom je vyhotovený európsky zatýkací rozkaz alebo do ktorého bol preložený vydávajúcim členským štátom, poskytli písomný preklad daného dokumentu.</w:t>
            </w:r>
          </w:p>
          <w:p w:rsidR="008C6524" w:rsidRPr="003D12CB" w:rsidP="008C6524">
            <w:pPr>
              <w:pStyle w:val="NormalWeb"/>
              <w:widowControl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1A8F" w:rsidRPr="003D12CB" w:rsidP="006459A2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2E4B13">
              <w:rPr>
                <w:rFonts w:ascii="Times New Roman" w:hAnsi="Times New Roman"/>
                <w:sz w:val="20"/>
                <w:szCs w:val="20"/>
              </w:rPr>
              <w:t xml:space="preserve">Návrh zákona v čl. III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40C2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2E4B1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40C2" w:rsidRPr="00C71A8F" w:rsidP="00C740C2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B13" w:rsidR="002E4B13">
              <w:rPr>
                <w:rFonts w:ascii="Times New Roman" w:hAnsi="Times New Roman"/>
                <w:sz w:val="20"/>
                <w:szCs w:val="20"/>
              </w:rPr>
              <w:t xml:space="preserve">V § 19 ods. 2 sa na konci pripájajú tieto vety: „Ak je európsky zatýkací rozkaz vyhotovený v jazyku, ktorému vyžiadaná osoba nerozumie, má vyžiadaná osoba právo na jeho preklad; ak to nemá vplyv na spravodlivosť konania možno namiesto prekladu európskeho zatýkacieho rozkazu jeho obsah vyžiadanej osobe pretlmočiť. O práve na preklad európskeho zatýkacieho rozkazu prokurátor vyžiadanú osobu poučí.“.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E4B1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61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00FD" w:rsidRPr="003D12CB" w:rsidP="00CB00FD">
            <w:pPr>
              <w:pStyle w:val="NormalWeb"/>
              <w:widowControl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5AF6" w:rsidRPr="003D12CB" w:rsidP="00192392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5AF6" w:rsidRPr="003D12CB" w:rsidP="000E5AF6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0AEE" w:rsidRPr="003D12CB" w:rsidP="00C66859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03C" w:rsidRPr="003D12CB" w:rsidP="00C66859">
      <w:pPr>
        <w:widowControl w:val="0"/>
        <w:bidi w:val="0"/>
        <w:jc w:val="both"/>
        <w:rPr>
          <w:rFonts w:ascii="Times New Roman" w:hAnsi="Times New Roman"/>
          <w:sz w:val="20"/>
          <w:szCs w:val="20"/>
        </w:rPr>
      </w:pPr>
    </w:p>
    <w:p w:rsidR="00160AEE" w:rsidRPr="003D12CB" w:rsidP="00C66859">
      <w:pPr>
        <w:widowControl w:val="0"/>
        <w:bidi w:val="0"/>
        <w:jc w:val="both"/>
        <w:rPr>
          <w:rFonts w:ascii="Times New Roman" w:hAnsi="Times New Roman"/>
          <w:sz w:val="20"/>
          <w:szCs w:val="20"/>
        </w:rPr>
      </w:pPr>
      <w:r w:rsidRPr="003D12C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0AEE" w:rsidRPr="003D12CB" w:rsidP="00C66859">
            <w:pPr>
              <w:pStyle w:val="Normlny"/>
              <w:widowControl w:val="0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3D12CB">
              <w:rPr>
                <w:rFonts w:ascii="Times New Roman" w:hAnsi="Times New Roman"/>
                <w:lang w:eastAsia="sk-SK"/>
              </w:rPr>
              <w:t>V stĺpci (1):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0AEE" w:rsidRPr="003D12CB" w:rsidP="00C66859">
            <w:pPr>
              <w:pStyle w:val="Normlny"/>
              <w:widowControl w:val="0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3D12CB">
              <w:rPr>
                <w:rFonts w:ascii="Times New Roman" w:hAnsi="Times New Roman"/>
                <w:lang w:eastAsia="sk-SK"/>
              </w:rPr>
              <w:t>V stĺpci (3):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0AEE" w:rsidRPr="003D12CB" w:rsidP="00C66859">
            <w:pPr>
              <w:pStyle w:val="Normlny"/>
              <w:widowControl w:val="0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3D12CB">
              <w:rPr>
                <w:rFonts w:ascii="Times New Roman" w:hAnsi="Times New Roman"/>
                <w:lang w:eastAsia="sk-SK"/>
              </w:rPr>
              <w:t>V stĺpci (5):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0AEE" w:rsidRPr="003D12CB" w:rsidP="00C66859">
            <w:pPr>
              <w:pStyle w:val="Normlny"/>
              <w:widowControl w:val="0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3D12CB">
              <w:rPr>
                <w:rFonts w:ascii="Times New Roman" w:hAnsi="Times New Roman"/>
                <w:lang w:eastAsia="sk-SK"/>
              </w:rPr>
              <w:t>V stĺpci (7):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160AEE" w:rsidRPr="003D12CB" w:rsidP="00C66859">
            <w:pPr>
              <w:pStyle w:val="BodyTextIndent2"/>
              <w:widowControl w:val="0"/>
              <w:bidi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D12CB">
              <w:rPr>
                <w:rFonts w:ascii="Times New Roman" w:hAnsi="Times New Roman"/>
              </w:rPr>
              <w:t>Ž – žiadna zhoda (ak nebola dosiahnutá ani čiast. ani úplná zhoda alebo k prebratiu dôjde v budúcnosti)</w:t>
            </w:r>
          </w:p>
          <w:p w:rsidR="00160AEE" w:rsidRPr="003D12CB" w:rsidP="00C66859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CB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160AEE" w:rsidRPr="003D12CB" w:rsidP="00C66859">
      <w:pPr>
        <w:widowControl w:val="0"/>
        <w:bidi w:val="0"/>
        <w:rPr>
          <w:rFonts w:ascii="Times New Roman" w:hAnsi="Times New Roman"/>
          <w:sz w:val="20"/>
          <w:szCs w:val="20"/>
        </w:rPr>
      </w:pPr>
    </w:p>
    <w:p w:rsidR="00524F0D" w:rsidRPr="003D12CB" w:rsidP="00C66859">
      <w:pPr>
        <w:widowControl w:val="0"/>
        <w:bidi w:val="0"/>
        <w:rPr>
          <w:rFonts w:ascii="Times New Roman" w:hAnsi="Times New Roman"/>
          <w:sz w:val="20"/>
          <w:szCs w:val="20"/>
        </w:rPr>
      </w:pPr>
    </w:p>
    <w:sectPr w:rsidSect="007A703C">
      <w:footerReference w:type="default" r:id="rId5"/>
      <w:pgSz w:w="16838" w:h="11906" w:orient="landscape"/>
      <w:pgMar w:top="964" w:right="964" w:bottom="964" w:left="96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A2" w:rsidRPr="00174247" w:rsidP="007A703C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174247">
      <w:rPr>
        <w:rStyle w:val="PageNumber"/>
        <w:rFonts w:ascii="Times New Roman" w:hAnsi="Times New Roman"/>
        <w:sz w:val="20"/>
        <w:szCs w:val="20"/>
      </w:rPr>
      <w:t xml:space="preserve">Strana </w:t>
    </w:r>
    <w:r w:rsidRPr="00174247">
      <w:rPr>
        <w:rStyle w:val="PageNumber"/>
        <w:rFonts w:ascii="Times New Roman" w:hAnsi="Times New Roman"/>
        <w:sz w:val="20"/>
        <w:szCs w:val="20"/>
      </w:rPr>
      <w:fldChar w:fldCharType="begin"/>
    </w:r>
    <w:r w:rsidRPr="00174247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74247">
      <w:rPr>
        <w:rStyle w:val="PageNumber"/>
        <w:rFonts w:ascii="Times New Roman" w:hAnsi="Times New Roman"/>
        <w:sz w:val="20"/>
        <w:szCs w:val="20"/>
      </w:rPr>
      <w:fldChar w:fldCharType="separate"/>
    </w:r>
    <w:r w:rsidR="002E4B13">
      <w:rPr>
        <w:rStyle w:val="PageNumber"/>
        <w:rFonts w:ascii="Times New Roman" w:hAnsi="Times New Roman"/>
        <w:noProof/>
        <w:sz w:val="20"/>
        <w:szCs w:val="20"/>
      </w:rPr>
      <w:t>2</w:t>
    </w:r>
    <w:r w:rsidRPr="00174247">
      <w:rPr>
        <w:rStyle w:val="PageNumber"/>
        <w:rFonts w:ascii="Times New Roman" w:hAnsi="Times New Roman"/>
        <w:sz w:val="20"/>
        <w:szCs w:val="20"/>
      </w:rPr>
      <w:fldChar w:fldCharType="end"/>
    </w:r>
    <w:r w:rsidRPr="00174247">
      <w:rPr>
        <w:rStyle w:val="PageNumber"/>
        <w:rFonts w:ascii="Times New Roman" w:hAnsi="Times New Roman"/>
        <w:sz w:val="20"/>
        <w:szCs w:val="20"/>
      </w:rPr>
      <w:t xml:space="preserve"> z </w:t>
    </w:r>
    <w:r w:rsidRPr="00174247">
      <w:rPr>
        <w:rStyle w:val="PageNumber"/>
        <w:rFonts w:ascii="Times New Roman" w:hAnsi="Times New Roman"/>
        <w:sz w:val="20"/>
        <w:szCs w:val="20"/>
      </w:rPr>
      <w:fldChar w:fldCharType="begin"/>
    </w:r>
    <w:r w:rsidRPr="00174247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174247">
      <w:rPr>
        <w:rStyle w:val="PageNumber"/>
        <w:rFonts w:ascii="Times New Roman" w:hAnsi="Times New Roman"/>
        <w:sz w:val="20"/>
        <w:szCs w:val="20"/>
      </w:rPr>
      <w:fldChar w:fldCharType="separate"/>
    </w:r>
    <w:r w:rsidR="002E4B13">
      <w:rPr>
        <w:rStyle w:val="PageNumber"/>
        <w:rFonts w:ascii="Times New Roman" w:hAnsi="Times New Roman"/>
        <w:noProof/>
        <w:sz w:val="20"/>
        <w:szCs w:val="20"/>
      </w:rPr>
      <w:t>2</w:t>
    </w:r>
    <w:r w:rsidRPr="00174247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6A"/>
    <w:multiLevelType w:val="hybridMultilevel"/>
    <w:tmpl w:val="909C46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861D1F"/>
    <w:multiLevelType w:val="hybridMultilevel"/>
    <w:tmpl w:val="CAFE12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97F2D"/>
    <w:multiLevelType w:val="hybridMultilevel"/>
    <w:tmpl w:val="B6D6E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242FD5"/>
    <w:multiLevelType w:val="hybridMultilevel"/>
    <w:tmpl w:val="79B48DEA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0BB60617"/>
    <w:multiLevelType w:val="hybridMultilevel"/>
    <w:tmpl w:val="C39E35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24070C"/>
    <w:multiLevelType w:val="hybridMultilevel"/>
    <w:tmpl w:val="CAFE12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3B6F10"/>
    <w:multiLevelType w:val="hybridMultilevel"/>
    <w:tmpl w:val="6F4C109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5C548C"/>
    <w:multiLevelType w:val="hybridMultilevel"/>
    <w:tmpl w:val="8B6ACB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707C6B"/>
    <w:multiLevelType w:val="hybridMultilevel"/>
    <w:tmpl w:val="656A031E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7776D9"/>
    <w:multiLevelType w:val="hybridMultilevel"/>
    <w:tmpl w:val="4B88F5D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50C5054"/>
    <w:multiLevelType w:val="hybridMultilevel"/>
    <w:tmpl w:val="9ABEDA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F31116"/>
    <w:multiLevelType w:val="hybridMultilevel"/>
    <w:tmpl w:val="2D50B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2B9440D"/>
    <w:multiLevelType w:val="hybridMultilevel"/>
    <w:tmpl w:val="B3625CB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5684782"/>
    <w:multiLevelType w:val="hybridMultilevel"/>
    <w:tmpl w:val="43BAB3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433DD1"/>
    <w:multiLevelType w:val="hybridMultilevel"/>
    <w:tmpl w:val="870E85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3C54CB1"/>
    <w:multiLevelType w:val="hybridMultilevel"/>
    <w:tmpl w:val="43BAB3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63952EF"/>
    <w:multiLevelType w:val="hybridMultilevel"/>
    <w:tmpl w:val="E166B0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77420E"/>
    <w:multiLevelType w:val="hybridMultilevel"/>
    <w:tmpl w:val="65E2E4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627FFC"/>
    <w:multiLevelType w:val="hybridMultilevel"/>
    <w:tmpl w:val="758CECFC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AC408A6"/>
    <w:multiLevelType w:val="hybridMultilevel"/>
    <w:tmpl w:val="E3B660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6"/>
  </w:num>
  <w:num w:numId="5">
    <w:abstractNumId w:val="17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15"/>
  </w:num>
  <w:num w:numId="17">
    <w:abstractNumId w:val="5"/>
  </w:num>
  <w:num w:numId="18">
    <w:abstractNumId w:val="1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0AEE"/>
    <w:rsid w:val="000244DA"/>
    <w:rsid w:val="000511A2"/>
    <w:rsid w:val="00095862"/>
    <w:rsid w:val="000C3F13"/>
    <w:rsid w:val="000E5AF6"/>
    <w:rsid w:val="00114560"/>
    <w:rsid w:val="00115BC2"/>
    <w:rsid w:val="00123C2A"/>
    <w:rsid w:val="00133689"/>
    <w:rsid w:val="00160AEE"/>
    <w:rsid w:val="00174247"/>
    <w:rsid w:val="00192392"/>
    <w:rsid w:val="001A60FC"/>
    <w:rsid w:val="001D2BED"/>
    <w:rsid w:val="001E2BD9"/>
    <w:rsid w:val="001F346E"/>
    <w:rsid w:val="001F6739"/>
    <w:rsid w:val="002608D4"/>
    <w:rsid w:val="002A63AE"/>
    <w:rsid w:val="002E4B13"/>
    <w:rsid w:val="00372DC7"/>
    <w:rsid w:val="00382826"/>
    <w:rsid w:val="00392625"/>
    <w:rsid w:val="003C0E3F"/>
    <w:rsid w:val="003D12CB"/>
    <w:rsid w:val="003D47F2"/>
    <w:rsid w:val="003F2645"/>
    <w:rsid w:val="0041034C"/>
    <w:rsid w:val="0042031E"/>
    <w:rsid w:val="00421F96"/>
    <w:rsid w:val="00450E87"/>
    <w:rsid w:val="00452AAE"/>
    <w:rsid w:val="00486F22"/>
    <w:rsid w:val="004B2256"/>
    <w:rsid w:val="004E43A2"/>
    <w:rsid w:val="004E6437"/>
    <w:rsid w:val="00524F0D"/>
    <w:rsid w:val="005A022C"/>
    <w:rsid w:val="005B2539"/>
    <w:rsid w:val="005C4429"/>
    <w:rsid w:val="005F02F1"/>
    <w:rsid w:val="00642552"/>
    <w:rsid w:val="006459A2"/>
    <w:rsid w:val="0065005B"/>
    <w:rsid w:val="006D19E6"/>
    <w:rsid w:val="007334D2"/>
    <w:rsid w:val="00744D32"/>
    <w:rsid w:val="00751BBF"/>
    <w:rsid w:val="0079038B"/>
    <w:rsid w:val="00795465"/>
    <w:rsid w:val="007A634F"/>
    <w:rsid w:val="007A703C"/>
    <w:rsid w:val="007B6534"/>
    <w:rsid w:val="007C0112"/>
    <w:rsid w:val="007F1BF3"/>
    <w:rsid w:val="008149ED"/>
    <w:rsid w:val="008161AF"/>
    <w:rsid w:val="00843780"/>
    <w:rsid w:val="0085311B"/>
    <w:rsid w:val="008C6524"/>
    <w:rsid w:val="009C0F77"/>
    <w:rsid w:val="00A160E1"/>
    <w:rsid w:val="00A22AF3"/>
    <w:rsid w:val="00A31998"/>
    <w:rsid w:val="00A77444"/>
    <w:rsid w:val="00AA1C5C"/>
    <w:rsid w:val="00AD0BEF"/>
    <w:rsid w:val="00AE55A2"/>
    <w:rsid w:val="00B16779"/>
    <w:rsid w:val="00B40C29"/>
    <w:rsid w:val="00B80C98"/>
    <w:rsid w:val="00B8103C"/>
    <w:rsid w:val="00B83962"/>
    <w:rsid w:val="00BA0323"/>
    <w:rsid w:val="00BC1555"/>
    <w:rsid w:val="00C0059E"/>
    <w:rsid w:val="00C54B88"/>
    <w:rsid w:val="00C66859"/>
    <w:rsid w:val="00C70F17"/>
    <w:rsid w:val="00C71A8F"/>
    <w:rsid w:val="00C740C2"/>
    <w:rsid w:val="00CB00FD"/>
    <w:rsid w:val="00D06785"/>
    <w:rsid w:val="00D13FED"/>
    <w:rsid w:val="00D201C4"/>
    <w:rsid w:val="00D52B21"/>
    <w:rsid w:val="00D53D06"/>
    <w:rsid w:val="00D54C2B"/>
    <w:rsid w:val="00D65593"/>
    <w:rsid w:val="00D94135"/>
    <w:rsid w:val="00DA57F4"/>
    <w:rsid w:val="00DB389F"/>
    <w:rsid w:val="00E075D9"/>
    <w:rsid w:val="00E27C40"/>
    <w:rsid w:val="00E468F4"/>
    <w:rsid w:val="00E711D0"/>
    <w:rsid w:val="00EC51DB"/>
    <w:rsid w:val="00EF3A1C"/>
    <w:rsid w:val="00F246C0"/>
    <w:rsid w:val="00F26E65"/>
    <w:rsid w:val="00F56039"/>
    <w:rsid w:val="00F7054F"/>
    <w:rsid w:val="00F71825"/>
    <w:rsid w:val="00FD1E69"/>
    <w:rsid w:val="00FE67E1"/>
    <w:rsid w:val="00FF3F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Georgia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60AEE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160AEE"/>
    <w:pPr>
      <w:keepNext/>
      <w:numPr>
        <w:numId w:val="1"/>
      </w:numPr>
      <w:tabs>
        <w:tab w:val="num" w:pos="720"/>
      </w:tabs>
      <w:ind w:left="720" w:hanging="720"/>
      <w:jc w:val="both"/>
      <w:outlineLvl w:val="2"/>
    </w:pPr>
    <w:rPr>
      <w:rFonts w:ascii="Times New Roman" w:eastAsia="Arial Unicode MS" w:hAnsi="Times New Roman"/>
      <w:b/>
      <w:bCs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23C2A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qFormat/>
    <w:rsid w:val="00160AEE"/>
    <w:pPr>
      <w:keepNext/>
      <w:jc w:val="center"/>
      <w:outlineLvl w:val="6"/>
    </w:pPr>
    <w:rPr>
      <w:b/>
      <w:bCs/>
      <w:szCs w:val="28"/>
      <w:lang w:eastAsia="cs-CZ"/>
    </w:rPr>
  </w:style>
  <w:style w:type="paragraph" w:styleId="Heading8">
    <w:name w:val="heading 8"/>
    <w:basedOn w:val="Normal"/>
    <w:next w:val="Normal"/>
    <w:link w:val="Nadpis8Char"/>
    <w:uiPriority w:val="9"/>
    <w:qFormat/>
    <w:rsid w:val="00160AEE"/>
    <w:pPr>
      <w:keepNext/>
      <w:jc w:val="center"/>
      <w:outlineLvl w:val="7"/>
    </w:pPr>
    <w:rPr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60AE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160AEE"/>
    <w:rPr>
      <w:rFonts w:ascii="Times New Roman" w:eastAsia="Arial Unicode MS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123C2A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160AEE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160AEE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160AEE"/>
    <w:pPr>
      <w:jc w:val="center"/>
    </w:pPr>
    <w:rPr>
      <w:rFonts w:ascii="Garamond" w:hAnsi="Garamond"/>
      <w:szCs w:val="28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60AEE"/>
    <w:rPr>
      <w:rFonts w:ascii="Garamond" w:hAnsi="Garamond" w:cs="Times New Roman"/>
      <w:sz w:val="28"/>
      <w:szCs w:val="28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rsid w:val="00160AEE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160AEE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EnvelopeReturn">
    <w:name w:val="envelope return"/>
    <w:basedOn w:val="Normal"/>
    <w:uiPriority w:val="99"/>
    <w:semiHidden/>
    <w:rsid w:val="00160AEE"/>
    <w:pPr>
      <w:jc w:val="left"/>
    </w:pPr>
    <w:rPr>
      <w:b/>
      <w:bCs/>
      <w:shadow/>
      <w:color w:val="000000"/>
      <w:sz w:val="20"/>
      <w:szCs w:val="20"/>
      <w:lang w:eastAsia="cs-CZ"/>
    </w:rPr>
  </w:style>
  <w:style w:type="paragraph" w:customStyle="1" w:styleId="Default">
    <w:name w:val="Default"/>
    <w:rsid w:val="00160AE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CM1">
    <w:name w:val="CM1"/>
    <w:basedOn w:val="Default"/>
    <w:next w:val="Default"/>
    <w:uiPriority w:val="99"/>
    <w:rsid w:val="00160AEE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60AEE"/>
    <w:pPr>
      <w:jc w:val="lef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60AEE"/>
    <w:pPr>
      <w:jc w:val="left"/>
    </w:pPr>
    <w:rPr>
      <w:rFonts w:cs="Times New Roman"/>
      <w:color w:val="auto"/>
    </w:rPr>
  </w:style>
  <w:style w:type="paragraph" w:styleId="Footer">
    <w:name w:val="footer"/>
    <w:basedOn w:val="Normal"/>
    <w:link w:val="PtaChar"/>
    <w:uiPriority w:val="99"/>
    <w:rsid w:val="00160AEE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160A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160AE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160AEE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160A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160AEE"/>
    <w:pPr>
      <w:jc w:val="left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60AEE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60AEE"/>
    <w:rPr>
      <w:rFonts w:cs="Times New Roman"/>
      <w:vertAlign w:val="superscript"/>
      <w:rtl w:val="0"/>
      <w:cs w:val="0"/>
    </w:rPr>
  </w:style>
  <w:style w:type="paragraph" w:customStyle="1" w:styleId="Normlny">
    <w:name w:val="_Normálny"/>
    <w:basedOn w:val="Normal"/>
    <w:uiPriority w:val="99"/>
    <w:rsid w:val="00160AEE"/>
    <w:pPr>
      <w:autoSpaceDE w:val="0"/>
      <w:autoSpaceDN w:val="0"/>
      <w:jc w:val="left"/>
    </w:pPr>
    <w:rPr>
      <w:sz w:val="20"/>
      <w:szCs w:val="20"/>
      <w:lang w:eastAsia="en-US"/>
    </w:rPr>
  </w:style>
  <w:style w:type="paragraph" w:styleId="BodyTextIndent2">
    <w:name w:val="Body Text Indent 2"/>
    <w:basedOn w:val="Normal"/>
    <w:link w:val="Zarkazkladnhotextu2Char"/>
    <w:uiPriority w:val="99"/>
    <w:rsid w:val="00160AEE"/>
    <w:pPr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160AE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160AEE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unhideWhenUsed/>
    <w:rsid w:val="00160AEE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0AE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0AE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133689"/>
    <w:pPr>
      <w:ind w:left="720"/>
      <w:contextualSpacing/>
      <w:jc w:val="left"/>
    </w:pPr>
  </w:style>
  <w:style w:type="paragraph" w:customStyle="1" w:styleId="Typeacteprincipal">
    <w:name w:val="Type acte principal"/>
    <w:basedOn w:val="Normal"/>
    <w:next w:val="Normal"/>
    <w:rsid w:val="008149ED"/>
    <w:pPr>
      <w:spacing w:after="240"/>
      <w:jc w:val="center"/>
    </w:pPr>
    <w:rPr>
      <w:b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C046-8F9B-4F31-BEEB-BE86D83D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474</Words>
  <Characters>2707</Characters>
  <Application>Microsoft Office Word</Application>
  <DocSecurity>0</DocSecurity>
  <Lines>0</Lines>
  <Paragraphs>0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dagmar.fillova</dc:creator>
  <cp:lastModifiedBy>SVIEZENY Richard</cp:lastModifiedBy>
  <cp:revision>3</cp:revision>
  <cp:lastPrinted>2014-01-28T10:38:00Z</cp:lastPrinted>
  <dcterms:created xsi:type="dcterms:W3CDTF">2014-11-10T15:24:00Z</dcterms:created>
  <dcterms:modified xsi:type="dcterms:W3CDTF">2014-11-10T15:39:00Z</dcterms:modified>
</cp:coreProperties>
</file>