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DC587F">
      <w:pPr>
        <w:ind w:left="4248"/>
        <w:jc w:val="right"/>
        <w:rPr>
          <w:sz w:val="28"/>
        </w:rPr>
      </w:pPr>
    </w:p>
    <w:p w:rsidR="00491867">
      <w:pPr>
        <w:ind w:left="4248"/>
        <w:jc w:val="right"/>
        <w:rPr>
          <w:sz w:val="28"/>
        </w:rPr>
      </w:pP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="00DC587F">
        <w:t>70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491867">
        <w:t>73</w:t>
      </w:r>
      <w:r w:rsidR="00DC587F">
        <w:t>/2015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6B5E31" w:rsidP="00067F0B">
      <w:pPr>
        <w:ind w:left="3540" w:firstLine="708"/>
        <w:rPr>
          <w:b/>
        </w:rPr>
      </w:pPr>
      <w:r w:rsidR="00741BBB">
        <w:rPr>
          <w:b/>
        </w:rPr>
        <w:t xml:space="preserve">       </w:t>
      </w:r>
      <w:r w:rsidR="00DC587F">
        <w:rPr>
          <w:b/>
        </w:rPr>
        <w:t xml:space="preserve"> </w:t>
      </w:r>
      <w:r w:rsidR="00E45F65">
        <w:rPr>
          <w:b/>
        </w:rPr>
        <w:t>399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DC587F">
        <w:rPr>
          <w:b/>
        </w:rPr>
        <w:t> 5. marca</w:t>
      </w:r>
      <w:r w:rsidR="00830899">
        <w:rPr>
          <w:b/>
        </w:rPr>
        <w:t xml:space="preserve"> 201</w:t>
      </w:r>
      <w:r w:rsidR="00741BBB">
        <w:rPr>
          <w:b/>
        </w:rPr>
        <w:t>5</w:t>
      </w:r>
      <w:r w:rsidR="006B5E31">
        <w:rPr>
          <w:b/>
        </w:rPr>
        <w:t xml:space="preserve"> </w:t>
      </w:r>
    </w:p>
    <w:p w:rsidR="00741BBB" w:rsidP="00741BBB">
      <w:pPr>
        <w:pStyle w:val="BodyText"/>
        <w:spacing w:after="0"/>
        <w:jc w:val="both"/>
        <w:rPr>
          <w:b/>
        </w:rPr>
      </w:pPr>
    </w:p>
    <w:p w:rsidR="00EC5F3F" w:rsidRPr="005D2E69" w:rsidP="00741BBB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741BBB" w:rsidR="00741BBB">
        <w:t xml:space="preserve"> </w:t>
      </w:r>
      <w:r w:rsidR="00741BBB">
        <w:t>v</w:t>
      </w:r>
      <w:r w:rsidRPr="00741BBB" w:rsidR="00741BBB">
        <w:t xml:space="preserve">ládny </w:t>
      </w:r>
      <w:r w:rsidR="00DC587F">
        <w:t xml:space="preserve">návrh </w:t>
      </w:r>
      <w:r w:rsidR="00491867">
        <w:t>zákona o odbornom vzdelávaní a príprave a o zmene a doplnení niektorých zákonov (tlač 1363)</w:t>
      </w:r>
      <w:r w:rsidRPr="006B5E31" w:rsidR="006B5E31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777CFA" w:rsidP="0003066D">
      <w:pPr>
        <w:pStyle w:val="BodyText"/>
        <w:spacing w:after="0"/>
        <w:ind w:firstLine="426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741BBB">
        <w:t>v</w:t>
      </w:r>
      <w:r w:rsidRPr="00741BBB" w:rsidR="00741BBB">
        <w:t>ládny</w:t>
      </w:r>
      <w:r w:rsidR="00741BBB">
        <w:t>m</w:t>
      </w:r>
      <w:r w:rsidRPr="00741BBB" w:rsidR="00741BBB">
        <w:t xml:space="preserve"> návrh</w:t>
      </w:r>
      <w:r w:rsidR="00741BBB">
        <w:t>om</w:t>
      </w:r>
      <w:r w:rsidRPr="00741BBB" w:rsidR="00741BBB">
        <w:t xml:space="preserve"> </w:t>
      </w:r>
      <w:r w:rsidR="00491867">
        <w:t>zákona o odbornom vzdelávaní a príprave a o zmene a doplnení niektorých zákonov (tlač 1363)</w:t>
      </w: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AC1772" w:rsidR="006B5E31">
        <w:rPr>
          <w:b w:val="0"/>
          <w:bCs w:val="0"/>
        </w:rPr>
        <w:t xml:space="preserve"> </w:t>
      </w:r>
      <w:r w:rsidRPr="00741BBB" w:rsidR="00741BBB">
        <w:rPr>
          <w:b w:val="0"/>
        </w:rPr>
        <w:t xml:space="preserve">vládny </w:t>
      </w:r>
      <w:r w:rsidRPr="00491867" w:rsidR="00491867">
        <w:rPr>
          <w:b w:val="0"/>
        </w:rPr>
        <w:t>zákona o odbornom vzdelávaní a príprave a o zmene a doplnení niektorých zákonov (tlač 1363)</w:t>
      </w:r>
      <w:r w:rsidRPr="00E72140" w:rsidR="00491867">
        <w:rPr>
          <w:i/>
        </w:rPr>
        <w:t xml:space="preserve"> </w:t>
      </w:r>
      <w:r w:rsidRPr="00E20A99" w:rsidR="00F33022">
        <w:t xml:space="preserve">schváliť </w:t>
      </w:r>
      <w:r w:rsidR="00F33022">
        <w:t>s pozmeňujúcim</w:t>
      </w:r>
      <w:r w:rsidR="00DF6E6C">
        <w:t>i</w:t>
      </w:r>
      <w:r w:rsidR="00F33022">
        <w:t xml:space="preserve"> a doplňu</w:t>
      </w:r>
      <w:r w:rsidR="00F33022">
        <w:t>júcim</w:t>
      </w:r>
      <w:r w:rsidR="00DF6E6C">
        <w:t>i</w:t>
      </w:r>
      <w:r w:rsidR="00F33022">
        <w:t xml:space="preserve"> </w:t>
      </w:r>
      <w:r w:rsidRPr="00E20A99" w:rsidR="00F33022">
        <w:t>návrh</w:t>
      </w:r>
      <w:r w:rsidR="00AC1772">
        <w:t>m</w:t>
      </w:r>
      <w:r w:rsidR="00DF6E6C">
        <w:t>i</w:t>
      </w:r>
      <w:r w:rsidR="0094789F">
        <w:t xml:space="preserve"> </w:t>
      </w:r>
      <w:r w:rsidRPr="00E20A99" w:rsidR="00F33022">
        <w:t xml:space="preserve">tak, ako </w:t>
      </w:r>
      <w:r w:rsidR="00DF6E6C">
        <w:t>sú</w:t>
      </w:r>
      <w:r w:rsidR="0094789F">
        <w:t xml:space="preserve"> uveden</w:t>
      </w:r>
      <w:r w:rsidR="00DF6E6C">
        <w:t>é</w:t>
      </w:r>
      <w:r w:rsidR="00F33022">
        <w:t xml:space="preserve"> </w:t>
      </w:r>
      <w:r w:rsidRPr="00E20A99" w:rsidR="00F33022">
        <w:t>v prílohe tohto uznesenia</w:t>
      </w:r>
      <w:r w:rsidR="00C20BCB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C1772" w:rsidRPr="00056003" w:rsidP="00AC1772">
      <w:pPr>
        <w:ind w:firstLine="426"/>
        <w:jc w:val="both"/>
        <w:rPr>
          <w:bCs w:val="0"/>
          <w:szCs w:val="20"/>
        </w:rPr>
      </w:pPr>
      <w:r w:rsidRPr="00056003">
        <w:rPr>
          <w:bCs w:val="0"/>
          <w:szCs w:val="20"/>
        </w:rPr>
        <w:t xml:space="preserve">podať predsedovi Výboru Národnej rady Slovenskej republiky pre </w:t>
      </w:r>
      <w:r w:rsidR="00491867">
        <w:rPr>
          <w:bCs w:val="0"/>
          <w:szCs w:val="20"/>
        </w:rPr>
        <w:t xml:space="preserve">vzdelávanie, vedu, mládež a šport </w:t>
      </w:r>
      <w:r w:rsidR="0003066D">
        <w:rPr>
          <w:bCs w:val="0"/>
          <w:szCs w:val="20"/>
        </w:rPr>
        <w:t>a</w:t>
      </w:r>
      <w:r w:rsidRPr="00056003">
        <w:rPr>
          <w:bCs w:val="0"/>
          <w:szCs w:val="20"/>
        </w:rPr>
        <w:t>ko gestorskému výboru informáciu o výsledku prerokovania.</w:t>
      </w:r>
    </w:p>
    <w:p w:rsidR="006229BF" w:rsidRPr="006229BF" w:rsidP="00395F28">
      <w:pPr>
        <w:pStyle w:val="BodyTextIndent3"/>
        <w:ind w:left="0" w:firstLine="426"/>
        <w:rPr>
          <w:lang w:val="sk-SK"/>
        </w:rPr>
      </w:pPr>
    </w:p>
    <w:p w:rsidR="005919F9" w:rsidP="006229BF">
      <w:pPr>
        <w:pStyle w:val="BodyTextIndent3"/>
        <w:ind w:left="0" w:firstLine="426"/>
      </w:pPr>
    </w:p>
    <w:p w:rsidR="0052115B" w:rsidP="00C739C2">
      <w:r w:rsidR="00E20A99">
        <w:t xml:space="preserve"> </w:t>
      </w:r>
      <w:r w:rsidR="00E20A99">
        <w:t xml:space="preserve">                                                             </w:t>
      </w:r>
    </w:p>
    <w:p w:rsidR="00AC2960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491867" w:rsidP="000D14F9">
      <w:pPr>
        <w:pStyle w:val="Heading4"/>
        <w:widowControl w:val="0"/>
        <w:rPr>
          <w:rFonts w:ascii="AT*Zurich Calligraphic" w:hAnsi="AT*Zurich Calligraphic"/>
        </w:rPr>
      </w:pPr>
    </w:p>
    <w:p w:rsidR="006D0B42" w:rsidP="006D0B42"/>
    <w:p w:rsidR="006D0B42" w:rsidRPr="006D0B42" w:rsidP="006D0B42"/>
    <w:p w:rsidR="00E45F65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E45F65">
        <w:rPr>
          <w:b/>
        </w:rPr>
        <w:t>399</w:t>
      </w:r>
    </w:p>
    <w:p w:rsidR="000D14F9" w:rsidRPr="003371B9" w:rsidP="000D14F9">
      <w:pPr>
        <w:jc w:val="right"/>
      </w:pPr>
      <w:r w:rsidR="00DC587F">
        <w:rPr>
          <w:bCs w:val="0"/>
        </w:rPr>
        <w:t>70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E4F76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DF6E6C">
        <w:rPr>
          <w:b/>
          <w:bCs w:val="0"/>
        </w:rPr>
        <w:t>e</w:t>
      </w:r>
      <w:r w:rsidR="00AA25C0">
        <w:rPr>
          <w:b/>
          <w:bCs w:val="0"/>
        </w:rPr>
        <w:t xml:space="preserve"> a doplňujúc</w:t>
      </w:r>
      <w:r w:rsidR="00DF6E6C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DF6E6C">
        <w:rPr>
          <w:b/>
          <w:bCs w:val="0"/>
        </w:rPr>
        <w:t>y</w:t>
      </w:r>
    </w:p>
    <w:p w:rsidR="0003066D" w:rsidP="0003066D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741BBB">
        <w:t>vládnemu</w:t>
      </w:r>
      <w:r w:rsidRPr="00741BBB" w:rsidR="00741BBB">
        <w:t xml:space="preserve"> návrh</w:t>
      </w:r>
      <w:r w:rsidR="00741BBB">
        <w:t>u</w:t>
      </w:r>
      <w:r w:rsidRPr="00741BBB" w:rsidR="00741BBB">
        <w:t xml:space="preserve"> </w:t>
      </w:r>
      <w:r w:rsidR="00491867">
        <w:t>zákona o odbornom vzdelávaní a príprave a o zmene a doplnení niektorých zákonov (tlač 1363)</w:t>
      </w:r>
    </w:p>
    <w:p w:rsidR="00B84A9D" w:rsidP="0003066D">
      <w:pPr>
        <w:pStyle w:val="Heading1"/>
        <w:ind w:left="0"/>
        <w:rPr>
          <w:b w:val="0"/>
          <w:bCs w:val="0"/>
        </w:rPr>
      </w:pPr>
      <w:r w:rsidR="000D14F9">
        <w:rPr>
          <w:b w:val="0"/>
          <w:bCs w:val="0"/>
        </w:rPr>
        <w:t>–––––––––––––––––––––––––––––––––––</w:t>
      </w:r>
      <w:r w:rsidR="000D14F9">
        <w:rPr>
          <w:b w:val="0"/>
          <w:bCs w:val="0"/>
        </w:rPr>
        <w:t xml:space="preserve">–––––––––––––––––––––––––––––––––––––––––––  </w:t>
      </w: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I § 2 písm. n) sa za slová „v systéme duálneho vzdelávania“ vkladajú slová „</w:t>
      </w:r>
      <w:r w:rsidRPr="00DC38D0">
        <w:t>(ďalej len „osvedčenie“)</w:t>
      </w:r>
      <w:r>
        <w:t>“.</w:t>
      </w:r>
    </w:p>
    <w:p w:rsidR="00E45F65" w:rsidP="00E45F65">
      <w:pPr>
        <w:ind w:left="3969"/>
        <w:contextualSpacing/>
        <w:jc w:val="both"/>
      </w:pPr>
      <w:r>
        <w:t>V</w:t>
      </w:r>
      <w:r w:rsidRPr="00471356">
        <w:t xml:space="preserve"> súlade s legislatívno-technickými pokynmi (8. bod), ktoré  tvoria prílohu č. 2 Legislatívnych pravi</w:t>
      </w:r>
      <w:r w:rsidRPr="00471356">
        <w:t>diel tv</w:t>
      </w:r>
      <w:r>
        <w:t>orby zákonov (č. 19/1997 Z. z.), zaradenie legislatívnej skratky pre pojem „</w:t>
      </w:r>
      <w:r w:rsidRPr="00DC38D0">
        <w:t>osvedčenie o spôsobilosti zamestnávateľa poskytovať praktické vyučovanie v systéme duálneho vzdelávania</w:t>
      </w:r>
      <w:r>
        <w:t>“ na miesto, kde sa skracované slová používajú prvý raz [</w:t>
      </w:r>
      <w:r w:rsidRPr="00DC38D0">
        <w:t>§ 2 písm. n)</w:t>
      </w:r>
      <w:r>
        <w:t>, čl. I].</w:t>
      </w:r>
    </w:p>
    <w:p w:rsidR="00E45F65" w:rsidP="00E45F65">
      <w:pPr>
        <w:ind w:left="3969"/>
        <w:contextualSpacing/>
        <w:jc w:val="both"/>
      </w:pPr>
    </w:p>
    <w:p w:rsidR="00E45F65" w:rsidRPr="009B307C" w:rsidP="001F5EE0">
      <w:pPr>
        <w:numPr>
          <w:ilvl w:val="0"/>
          <w:numId w:val="2"/>
        </w:numPr>
        <w:contextualSpacing/>
        <w:jc w:val="both"/>
      </w:pPr>
      <w:r>
        <w:t>V čl. I</w:t>
      </w:r>
      <w:r w:rsidRPr="009B307C">
        <w:t xml:space="preserve"> § 11 ods. 1 v poznámke pod čiarou k odkazu 3 </w:t>
      </w:r>
      <w:r>
        <w:t>sa</w:t>
      </w:r>
      <w:r w:rsidRPr="009B307C">
        <w:t xml:space="preserve"> slová „§ 4 ods. </w:t>
      </w:r>
      <w:r>
        <w:t>2“ nahrádzajú</w:t>
      </w:r>
      <w:r w:rsidRPr="009B307C">
        <w:t xml:space="preserve"> slovami „</w:t>
      </w:r>
      <w:r>
        <w:t>§ 4 ods. 1</w:t>
      </w:r>
      <w:r w:rsidRPr="009B307C">
        <w:t xml:space="preserve">“. </w:t>
      </w:r>
    </w:p>
    <w:p w:rsidR="00E45F65" w:rsidP="00E45F65">
      <w:pPr>
        <w:ind w:left="3969"/>
        <w:contextualSpacing/>
        <w:jc w:val="both"/>
      </w:pPr>
    </w:p>
    <w:p w:rsidR="00E45F65" w:rsidP="00E45F65">
      <w:pPr>
        <w:ind w:left="3969"/>
        <w:contextualSpacing/>
        <w:jc w:val="both"/>
      </w:pPr>
      <w:r>
        <w:t>Oprava nesprávneho vnútorného odkazu v poznámke pod čiarou k odkazu 3 v súlade s navrhovanou legislatívno-technickou úpravou v čl. IV 1.</w:t>
      </w:r>
      <w:r>
        <w:t xml:space="preserve"> bode.</w:t>
      </w:r>
    </w:p>
    <w:p w:rsidR="00E45F65" w:rsidP="00E45F65">
      <w:pPr>
        <w:ind w:left="720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I § 13 ods. 8 sa vypúšťajú slová „</w:t>
      </w:r>
      <w:r w:rsidRPr="00602C1F">
        <w:t>o spôsobilosti zamestnávateľa poskytovať praktické vyučovanie v systéme duálneho vzdelávania (ďalej len „osvedčenie“)</w:t>
      </w:r>
      <w:r>
        <w:t>“.</w:t>
      </w:r>
    </w:p>
    <w:p w:rsidR="00E45F65" w:rsidP="00E45F65">
      <w:pPr>
        <w:ind w:left="3969"/>
        <w:contextualSpacing/>
        <w:jc w:val="both"/>
      </w:pPr>
    </w:p>
    <w:p w:rsidR="00E45F65" w:rsidP="00E45F65">
      <w:pPr>
        <w:ind w:left="3969"/>
        <w:contextualSpacing/>
        <w:jc w:val="both"/>
      </w:pPr>
      <w:r>
        <w:t xml:space="preserve">Legislatívno-technická úprava v súvislosti s navrhovaným zaradením </w:t>
      </w:r>
      <w:r w:rsidRPr="00602C1F">
        <w:t xml:space="preserve">legislatívnej skratky pre pojem „osvedčenie o spôsobilosti zamestnávateľa poskytovať praktické vyučovanie v systéme duálneho vzdelávania“ </w:t>
      </w:r>
      <w:r>
        <w:t>do § 2 písm. n), čl. I.</w:t>
      </w:r>
    </w:p>
    <w:p w:rsidR="00E45F65" w:rsidP="00E45F65">
      <w:pPr>
        <w:ind w:left="3969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I § 22 ods. 1 písm. d) sa za slovom „preukaz“ vypúšťa čiarka a slovo „osvedčenie“.</w:t>
      </w:r>
    </w:p>
    <w:p w:rsidR="00E45F65" w:rsidP="00E45F65">
      <w:pPr>
        <w:ind w:left="3969"/>
        <w:contextualSpacing/>
        <w:jc w:val="both"/>
      </w:pPr>
    </w:p>
    <w:p w:rsidR="00E45F65" w:rsidP="00E45F65">
      <w:pPr>
        <w:ind w:left="3969"/>
        <w:contextualSpacing/>
        <w:jc w:val="both"/>
      </w:pPr>
      <w:r>
        <w:t xml:space="preserve">Formulačná precizácia ustanovenia za účelom jednoznačnosti výkladu. </w:t>
      </w:r>
    </w:p>
    <w:p w:rsidR="00E45F65" w:rsidP="00E45F65">
      <w:pPr>
        <w:ind w:left="3969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I § 54 ods. 2 sa slová „31. apríla“ nahrádzajú slovami „30. apríla“.</w:t>
      </w:r>
    </w:p>
    <w:p w:rsidR="00E45F65" w:rsidP="00E45F65">
      <w:pPr>
        <w:ind w:left="3969"/>
        <w:contextualSpacing/>
        <w:jc w:val="both"/>
      </w:pPr>
    </w:p>
    <w:p w:rsidR="00E45F65" w:rsidP="00E45F65">
      <w:pPr>
        <w:ind w:left="3969"/>
        <w:contextualSpacing/>
        <w:jc w:val="both"/>
      </w:pPr>
      <w:r>
        <w:t>Úprava dátumu prechodného ustanovenia vzhľadom na to, že apríl má 30 dní.</w:t>
      </w:r>
    </w:p>
    <w:p w:rsidR="00E45F65" w:rsidP="00E45F65">
      <w:pPr>
        <w:ind w:left="3969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 2. bode sa za slová „§14 ods. 6 písm.“ vkladajú slová „a) a“, slová „nad § 15“ sa nahrádzajú slovami „siedmej časti“ a za slovami „§ 16“ sa vypúšťa čiarka a slová „§16 ods. 7 písm. a), b), d) a e)“.</w:t>
      </w:r>
    </w:p>
    <w:p w:rsidR="00E45F65" w:rsidP="00E45F65">
      <w:pPr>
        <w:ind w:left="4111"/>
        <w:contextualSpacing/>
        <w:jc w:val="both"/>
      </w:pPr>
    </w:p>
    <w:p w:rsidR="00E45F65" w:rsidP="00E45F65">
      <w:pPr>
        <w:ind w:left="4111"/>
        <w:contextualSpacing/>
        <w:jc w:val="both"/>
      </w:pPr>
      <w:r>
        <w:t xml:space="preserve">Legislatívno-technická úprava novelizačného bodu vzhľadom na to, že navrhovanú úpravu je potrebné vykonať </w:t>
      </w:r>
      <w:r>
        <w:t>aj v platnom § 14 ods. 6 písm. a)</w:t>
      </w:r>
      <w:r w:rsidRPr="0059527D">
        <w:t xml:space="preserve"> </w:t>
      </w:r>
      <w:r>
        <w:t>z</w:t>
      </w:r>
      <w:r w:rsidRPr="0059527D">
        <w:t>ákon</w:t>
      </w:r>
      <w:r>
        <w:t>a</w:t>
      </w:r>
      <w:r w:rsidRPr="0059527D">
        <w:t xml:space="preserve"> č. 596/2003 Z. z.</w:t>
      </w:r>
      <w:r>
        <w:t>; ministerstvo spravuje sieť škôl a školských zariadení (§ 15) a l</w:t>
      </w:r>
      <w:r w:rsidRPr="0059527D">
        <w:t xml:space="preserve">egislatívno-technická </w:t>
      </w:r>
      <w:r>
        <w:t xml:space="preserve">úprava vyňatím </w:t>
      </w:r>
      <w:r w:rsidRPr="00E76309">
        <w:t xml:space="preserve">§ 16 ods. 7 písm. a), b), d) a e) </w:t>
      </w:r>
      <w:r>
        <w:t>z bodu 2, v súvislosti s potrebou jeho úpravy v samostatnom novelizačnom bode</w:t>
      </w:r>
      <w:r w:rsidRPr="00240CF7">
        <w:t xml:space="preserve"> za účelom gramatického zosúladenia s platným </w:t>
      </w:r>
      <w:r>
        <w:t>zákonom</w:t>
      </w:r>
      <w:r w:rsidRPr="0059527D">
        <w:t xml:space="preserve"> č. 596/2003 Z. z.</w:t>
      </w:r>
    </w:p>
    <w:p w:rsidR="00E45F65" w:rsidP="00E45F65">
      <w:pPr>
        <w:ind w:left="4111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 sa za bod 15 vkladá nový bod 16, ktorý znie:</w:t>
      </w:r>
    </w:p>
    <w:p w:rsidR="00E45F65" w:rsidP="00E45F65">
      <w:pPr>
        <w:ind w:left="720"/>
        <w:contextualSpacing/>
        <w:jc w:val="both"/>
      </w:pPr>
      <w:r w:rsidRPr="00A353BC">
        <w:t>„16. V § 14 ods. 5 písm. a) sa za slovami „školských zariadení“ vypúšťa čiarka a slová „stredísk praktického vyučovania a pracovísk praktického vyučovania“.“.</w:t>
      </w:r>
    </w:p>
    <w:p w:rsidR="00E45F65" w:rsidP="00E45F65">
      <w:pPr>
        <w:ind w:left="720"/>
        <w:contextualSpacing/>
        <w:jc w:val="both"/>
      </w:pPr>
    </w:p>
    <w:p w:rsidR="00E45F65" w:rsidP="00E45F65">
      <w:pPr>
        <w:ind w:left="720"/>
        <w:contextualSpacing/>
        <w:jc w:val="both"/>
      </w:pPr>
      <w:r>
        <w:t>Účinnosť nového</w:t>
      </w:r>
      <w:r w:rsidRPr="00F57480">
        <w:t xml:space="preserve"> bod</w:t>
      </w:r>
      <w:r>
        <w:t>u 16</w:t>
      </w:r>
      <w:r w:rsidRPr="00F57480">
        <w:t xml:space="preserve"> sa navrhuje </w:t>
      </w:r>
      <w:r>
        <w:t xml:space="preserve">1. apríla 2015. </w:t>
      </w:r>
      <w:r w:rsidRPr="00F57480">
        <w:t xml:space="preserve"> </w:t>
      </w:r>
      <w:r>
        <w:t>V</w:t>
      </w:r>
      <w:r w:rsidRPr="000204F7">
        <w:t>loženie nového bodu sa premietne do člán</w:t>
      </w:r>
      <w:r>
        <w:t>ku upravujúceho účinnosť zákona.</w:t>
      </w:r>
    </w:p>
    <w:p w:rsidR="00E45F65" w:rsidP="00E45F65">
      <w:pPr>
        <w:ind w:left="720"/>
        <w:contextualSpacing/>
        <w:jc w:val="both"/>
      </w:pPr>
      <w:r w:rsidRPr="000204F7">
        <w:t>Doterajšie body sa primerane prečíslujú</w:t>
      </w:r>
      <w:r>
        <w:t>.</w:t>
      </w:r>
    </w:p>
    <w:p w:rsidR="00E45F65" w:rsidP="00E45F65">
      <w:pPr>
        <w:ind w:left="720"/>
        <w:contextualSpacing/>
        <w:jc w:val="both"/>
      </w:pPr>
    </w:p>
    <w:p w:rsidR="00E45F65" w:rsidP="00E45F65">
      <w:pPr>
        <w:ind w:left="3969"/>
        <w:contextualSpacing/>
        <w:jc w:val="both"/>
      </w:pPr>
      <w:r>
        <w:t>Vloženie nového bodu za účelom legislatív</w:t>
      </w:r>
      <w:r>
        <w:t>no-technickej úpravy</w:t>
      </w:r>
      <w:r w:rsidRPr="000F402D">
        <w:t xml:space="preserve"> </w:t>
      </w:r>
      <w:r>
        <w:t>§ 14 ods. 5 písm. a); nadväznosť</w:t>
      </w:r>
      <w:r w:rsidRPr="000F402D">
        <w:t xml:space="preserve"> na nový zákon o odbornom vzdelávaní a príprave, ktorým sa zrušujú strediská praktického vyučovania a novým spôsobom sa ustanovujú miesta výkonu praktického vyučovania.</w:t>
      </w:r>
    </w:p>
    <w:p w:rsidR="00E45F65" w:rsidP="00E45F65">
      <w:pPr>
        <w:ind w:left="720"/>
        <w:contextualSpacing/>
        <w:jc w:val="both"/>
      </w:pPr>
    </w:p>
    <w:p w:rsidR="00E45F65" w:rsidP="00E45F65">
      <w:pPr>
        <w:ind w:left="3969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 sa za bod 16 vkladá nový</w:t>
      </w:r>
      <w:r>
        <w:t xml:space="preserve"> bod 17, ktorý znie:</w:t>
      </w:r>
    </w:p>
    <w:p w:rsidR="00E45F65" w:rsidP="00E45F65">
      <w:pPr>
        <w:ind w:left="720"/>
        <w:contextualSpacing/>
        <w:jc w:val="both"/>
      </w:pPr>
      <w:r>
        <w:t>„17. V § 14 ods. 6 písm. h)</w:t>
      </w:r>
      <w:r w:rsidRPr="009B77B1">
        <w:t xml:space="preserve"> </w:t>
      </w:r>
      <w:r>
        <w:t>sa slová „</w:t>
      </w:r>
      <w:r w:rsidRPr="009B77B1">
        <w:t>školy, školského zariadenia alebo strediska praktického vyučovania</w:t>
      </w:r>
      <w:r>
        <w:t>“ nahrádzajú slovami „školy alebo školského zariadenia“.“.</w:t>
      </w:r>
    </w:p>
    <w:p w:rsidR="00E45F65" w:rsidP="00E45F65">
      <w:pPr>
        <w:ind w:left="720"/>
        <w:contextualSpacing/>
        <w:jc w:val="both"/>
      </w:pPr>
    </w:p>
    <w:p w:rsidR="00E45F65" w:rsidP="00E45F65">
      <w:pPr>
        <w:ind w:left="720"/>
        <w:contextualSpacing/>
        <w:jc w:val="both"/>
      </w:pPr>
      <w:r>
        <w:t>Účinnosť nového bodu 17 sa navrhuje 1. apríla 2015.</w:t>
      </w:r>
      <w:r w:rsidRPr="00F57480">
        <w:t xml:space="preserve"> </w:t>
      </w:r>
      <w:r>
        <w:t>V</w:t>
      </w:r>
      <w:r w:rsidRPr="000204F7">
        <w:t>loženie nového bodu sa premietne do článku upravujúceho účinnosť zákona.</w:t>
      </w:r>
    </w:p>
    <w:p w:rsidR="00E45F65" w:rsidP="00E45F65">
      <w:pPr>
        <w:ind w:left="720"/>
        <w:contextualSpacing/>
        <w:jc w:val="both"/>
      </w:pPr>
      <w:r w:rsidRPr="000204F7">
        <w:t>Doterajšie body sa primerane prečíslujú</w:t>
      </w:r>
      <w:r>
        <w:t>.</w:t>
      </w:r>
    </w:p>
    <w:p w:rsidR="00E45F65" w:rsidP="00E45F65">
      <w:pPr>
        <w:ind w:left="720"/>
        <w:contextualSpacing/>
        <w:jc w:val="both"/>
      </w:pPr>
    </w:p>
    <w:p w:rsidR="00E45F65" w:rsidP="00E45F65">
      <w:pPr>
        <w:ind w:left="4111"/>
        <w:contextualSpacing/>
        <w:jc w:val="both"/>
      </w:pPr>
      <w:r>
        <w:t xml:space="preserve">Legislatívno-technická úprava v súvislosti s potrebou úpravy § 14 ods. 6 písm. h) v samostatnom novelizačnom bode </w:t>
      </w:r>
      <w:r w:rsidRPr="000F402D">
        <w:t>za účelom gramatického zosúladenia s platným zákonom č. 596/2003 Z. z.</w:t>
      </w:r>
      <w:r>
        <w:t>; úprava súvisí s vypustením úpravy § 14 ods. 6 písm. h) z textu bodu 17 (čl. X).</w:t>
      </w:r>
    </w:p>
    <w:p w:rsidR="00E45F65" w:rsidP="00E45F65">
      <w:pPr>
        <w:ind w:left="4111"/>
        <w:contextualSpacing/>
        <w:jc w:val="both"/>
      </w:pPr>
    </w:p>
    <w:p w:rsidR="00E45F65" w:rsidRPr="006D0A0A" w:rsidP="001F5EE0">
      <w:pPr>
        <w:numPr>
          <w:ilvl w:val="0"/>
          <w:numId w:val="2"/>
        </w:numPr>
        <w:contextualSpacing/>
        <w:jc w:val="both"/>
      </w:pPr>
      <w:r w:rsidRPr="006D0A0A">
        <w:t>V čl. X sa vypúšťa bod 17.</w:t>
      </w:r>
    </w:p>
    <w:p w:rsidR="00E45F65" w:rsidRPr="006D0A0A" w:rsidP="00E45F65">
      <w:pPr>
        <w:ind w:left="720"/>
        <w:contextualSpacing/>
        <w:jc w:val="both"/>
      </w:pPr>
      <w:r w:rsidRPr="006D0A0A">
        <w:t>Doterajšie body sa primerane prečíslujú.</w:t>
      </w:r>
    </w:p>
    <w:p w:rsidR="00E45F65" w:rsidRPr="006D0A0A" w:rsidP="00E45F65">
      <w:pPr>
        <w:ind w:left="720"/>
        <w:contextualSpacing/>
        <w:jc w:val="both"/>
      </w:pPr>
    </w:p>
    <w:p w:rsidR="00E45F65" w:rsidRPr="006D0A0A" w:rsidP="00E45F65">
      <w:pPr>
        <w:ind w:left="4111"/>
        <w:contextualSpacing/>
        <w:jc w:val="both"/>
      </w:pPr>
      <w:r w:rsidRPr="006D0A0A">
        <w:t>V súvislosti s legislatívno-technickými úpravami, ktoré je potrebné vykonať v b</w:t>
      </w:r>
      <w:r w:rsidRPr="006D0A0A">
        <w:t>ode 17 sa nav</w:t>
      </w:r>
      <w:r>
        <w:t>rhuje jeho vypustenie a následné</w:t>
      </w:r>
      <w:r w:rsidRPr="006D0A0A">
        <w:t xml:space="preserve"> vloženie legislatívno-technicky upraveného textu za bod 22, ako nového bodu 23 (čl. X).</w:t>
      </w:r>
    </w:p>
    <w:p w:rsidR="00E45F65" w:rsidP="00E45F65">
      <w:pPr>
        <w:ind w:left="720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 sa za bod 18 vkladá nový bod 19, ktorý znie:</w:t>
      </w:r>
    </w:p>
    <w:p w:rsidR="00E45F65" w:rsidP="00E45F65">
      <w:pPr>
        <w:ind w:left="720"/>
        <w:contextualSpacing/>
        <w:jc w:val="both"/>
      </w:pPr>
      <w:r>
        <w:t>„19. V § 14 ods. 8 sa slová „</w:t>
      </w:r>
      <w:r w:rsidRPr="001A766B">
        <w:t>odseku 8</w:t>
      </w:r>
      <w:r>
        <w:t>“ nahrádzajú slovami „odseku 7“</w:t>
      </w:r>
      <w:r>
        <w:t>.“.</w:t>
      </w:r>
    </w:p>
    <w:p w:rsidR="00E45F65" w:rsidP="00E45F65">
      <w:pPr>
        <w:ind w:left="720"/>
        <w:contextualSpacing/>
        <w:jc w:val="both"/>
      </w:pPr>
    </w:p>
    <w:p w:rsidR="00E45F65" w:rsidRPr="000204F7" w:rsidP="00E45F65">
      <w:pPr>
        <w:ind w:left="720"/>
        <w:contextualSpacing/>
        <w:jc w:val="both"/>
      </w:pPr>
      <w:r>
        <w:t>Účinnosť nového bodu 19</w:t>
      </w:r>
      <w:r w:rsidRPr="000204F7">
        <w:t xml:space="preserve"> sa navrhuje 1. apríla 2015. Vloženie nového bodu sa premietne do článku upravujúceho účinnosť zákona.</w:t>
      </w:r>
    </w:p>
    <w:p w:rsidR="00E45F65" w:rsidRPr="000204F7" w:rsidP="00E45F65">
      <w:pPr>
        <w:ind w:left="720"/>
        <w:contextualSpacing/>
        <w:jc w:val="both"/>
      </w:pPr>
      <w:r w:rsidRPr="000204F7">
        <w:t>Doterajšie body sa primerane prečíslujú.</w:t>
      </w:r>
    </w:p>
    <w:p w:rsidR="00E45F65" w:rsidP="00E45F65">
      <w:pPr>
        <w:ind w:left="720"/>
        <w:contextualSpacing/>
        <w:jc w:val="both"/>
      </w:pPr>
    </w:p>
    <w:p w:rsidR="00E45F65" w:rsidP="00E45F65">
      <w:pPr>
        <w:ind w:left="4253"/>
        <w:contextualSpacing/>
        <w:jc w:val="both"/>
      </w:pPr>
      <w:r>
        <w:t>Vloženie nového bodu za účelom úpravy vnútorného odkazu v súvislosti s vypustením odseku 7 v § 14 (čl. X, 18. bod).</w:t>
      </w:r>
    </w:p>
    <w:p w:rsidR="00E45F65" w:rsidP="00E45F65">
      <w:pPr>
        <w:ind w:left="4253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 19. bode sa vypúšťajú slová „a nadpise § 22“ a slovo „školy“ sa nahrádza slovom „Školy“.</w:t>
      </w:r>
    </w:p>
    <w:p w:rsidR="00E45F65" w:rsidP="00E45F65">
      <w:pPr>
        <w:ind w:left="4253"/>
        <w:contextualSpacing/>
        <w:jc w:val="both"/>
      </w:pPr>
      <w:r>
        <w:t>Vyňatie novelizácie nadpisu § 22 vzhľadom na gramatický nesúlad navr</w:t>
      </w:r>
      <w:r>
        <w:t>hovaného bodu s platným zákonom, pričom sa navrhuje jeho novelizácia v samostatnom novelizačnom bode a legislatívno-technická úprava novelizačného bodu.</w:t>
      </w:r>
    </w:p>
    <w:p w:rsidR="00E45F65" w:rsidP="00E45F65">
      <w:pPr>
        <w:contextualSpacing/>
        <w:jc w:val="both"/>
      </w:pPr>
    </w:p>
    <w:p w:rsidR="00E45F65" w:rsidRPr="00671D55" w:rsidP="001F5EE0">
      <w:pPr>
        <w:numPr>
          <w:ilvl w:val="0"/>
          <w:numId w:val="2"/>
        </w:numPr>
        <w:contextualSpacing/>
        <w:jc w:val="both"/>
      </w:pPr>
      <w:r w:rsidRPr="00671D55">
        <w:t>Za bod 22 sa vkladá nový bod 23, ktorý znie:</w:t>
      </w:r>
    </w:p>
    <w:p w:rsidR="00E45F65" w:rsidRPr="00671D55" w:rsidP="00E45F65">
      <w:pPr>
        <w:ind w:left="720"/>
        <w:contextualSpacing/>
        <w:jc w:val="both"/>
      </w:pPr>
      <w:r w:rsidRPr="00671D55">
        <w:t xml:space="preserve">„23. V § 16 ods. 1 písm. b), i) a j), ods. 2 </w:t>
      </w:r>
      <w:r>
        <w:t>úvodnej</w:t>
      </w:r>
      <w:r w:rsidRPr="00671D55">
        <w:t xml:space="preserve"> vete, ods. 5, 6 a 8, § 17 ods. 1 </w:t>
      </w:r>
      <w:r>
        <w:t>úvodnej</w:t>
      </w:r>
      <w:r w:rsidRPr="00671D55">
        <w:t xml:space="preserve"> vete, ods. 2 písm. a) až d), ods. 5, § 18 ods. 4, § 22 ods. 1, ods. 2 </w:t>
      </w:r>
      <w:r>
        <w:t>úvodne</w:t>
      </w:r>
      <w:r w:rsidRPr="00671D55">
        <w:t>j vete a ods. 2 písm. b) a f) sa slová „školy, školského zariadenia, strediska praktického vyučovania alebo pracoviska praktického vyučovania“ nahrádzajú slovami „školy alebo školského zariadenia“.“.</w:t>
      </w:r>
    </w:p>
    <w:p w:rsidR="00E45F65" w:rsidP="00E45F65">
      <w:pPr>
        <w:ind w:left="720"/>
        <w:contextualSpacing/>
        <w:jc w:val="both"/>
      </w:pPr>
    </w:p>
    <w:p w:rsidR="00E45F65" w:rsidP="00E45F65">
      <w:pPr>
        <w:ind w:left="720"/>
        <w:contextualSpacing/>
        <w:jc w:val="both"/>
      </w:pPr>
      <w:r>
        <w:t>Účinnosť nového bodu 23</w:t>
      </w:r>
      <w:r w:rsidRPr="00671D55">
        <w:t xml:space="preserve"> sa navrhuje 1. apríla 2015. Vloženie nového bodu sa premietne do článku upravujúceho účinnosť zákona.</w:t>
      </w:r>
    </w:p>
    <w:p w:rsidR="00E45F65" w:rsidRPr="00671D55" w:rsidP="00E45F65">
      <w:pPr>
        <w:ind w:left="720"/>
        <w:contextualSpacing/>
        <w:jc w:val="both"/>
      </w:pPr>
      <w:r w:rsidRPr="00671D55">
        <w:t>Doterajšie body sa primerane prečíslujú.</w:t>
      </w:r>
    </w:p>
    <w:p w:rsidR="00E45F65" w:rsidRPr="00671D55" w:rsidP="00E45F65">
      <w:pPr>
        <w:ind w:left="720"/>
        <w:contextualSpacing/>
        <w:jc w:val="both"/>
      </w:pPr>
    </w:p>
    <w:p w:rsidR="00E45F65" w:rsidRPr="00671D55" w:rsidP="00E45F65">
      <w:pPr>
        <w:ind w:left="4253"/>
        <w:contextualSpacing/>
        <w:jc w:val="both"/>
      </w:pPr>
      <w:r w:rsidRPr="00671D55">
        <w:t>Text vypusteného bodu 17 je potrebné, vzhľadom na vykonané legislatívno-technické úpravy, vložiť za bod 22 ako no</w:t>
      </w:r>
      <w:r>
        <w:t xml:space="preserve">vý bod 23. </w:t>
      </w:r>
      <w:r w:rsidRPr="00671D55">
        <w:t>Z pôvodného textu bodu 17 došlo k vypusteniu § 1</w:t>
      </w:r>
      <w:r>
        <w:t>4 ods. 6 písm. h) a § 19 ods. 5</w:t>
      </w:r>
      <w:r w:rsidRPr="00671D55">
        <w:t xml:space="preserve"> vzhľadom na to, že tieto je potrebné upraviť v samostatných novelizačných bodoch v čl. X a legislatívno-technická úprava vypúšťaných slov za účelom gramatického zosúladenia novelizačných bodov s platným zákonom č. 596/2003 Z. z. </w:t>
      </w:r>
    </w:p>
    <w:p w:rsidR="00E45F65" w:rsidP="00E45F65">
      <w:pPr>
        <w:ind w:left="720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 sa za bod 25 vkladá nový bod 26, ktorý znie:</w:t>
      </w:r>
    </w:p>
    <w:p w:rsidR="00E45F65" w:rsidP="00E45F65">
      <w:pPr>
        <w:ind w:left="720"/>
        <w:contextualSpacing/>
        <w:jc w:val="both"/>
      </w:pPr>
      <w:r>
        <w:t>„26. V § 16 ods. 7 písm. a), b), d) a e) sa slová „škôl, školských zariadení, pracovísk praktického vyučovania a stredísk praktického vyučovania“ nahrádzajú slovami „škôl a školských zariadení“.“.</w:t>
      </w:r>
    </w:p>
    <w:p w:rsidR="00E45F65" w:rsidP="00E45F65">
      <w:pPr>
        <w:ind w:left="720"/>
        <w:contextualSpacing/>
        <w:jc w:val="both"/>
      </w:pPr>
    </w:p>
    <w:p w:rsidR="00E45F65" w:rsidRPr="000204F7" w:rsidP="00E45F65">
      <w:pPr>
        <w:ind w:left="720"/>
        <w:contextualSpacing/>
        <w:jc w:val="both"/>
      </w:pPr>
      <w:r>
        <w:t>Účinnosť nového bodu 26</w:t>
      </w:r>
      <w:r w:rsidRPr="000204F7">
        <w:t xml:space="preserve"> sa navrhuje 1. apríla 2015. Vloženie nového bodu sa premietne do článku upravujúceho účinnosť zákona.</w:t>
      </w:r>
    </w:p>
    <w:p w:rsidR="00E45F65" w:rsidP="00E45F65">
      <w:pPr>
        <w:ind w:left="720"/>
        <w:contextualSpacing/>
        <w:jc w:val="both"/>
      </w:pPr>
      <w:r w:rsidRPr="000204F7">
        <w:t>Doterajšie body sa primerane prečíslujú.</w:t>
      </w:r>
    </w:p>
    <w:p w:rsidR="00E45F65" w:rsidP="00E45F65">
      <w:pPr>
        <w:ind w:left="720"/>
        <w:contextualSpacing/>
        <w:jc w:val="both"/>
      </w:pPr>
    </w:p>
    <w:p w:rsidR="00E45F65" w:rsidP="00E45F65">
      <w:pPr>
        <w:ind w:left="4111"/>
        <w:contextualSpacing/>
        <w:jc w:val="both"/>
      </w:pPr>
      <w:r>
        <w:t xml:space="preserve">Legislatívno-technická úprava § 16 ods. 7 písm. a), b), d) a e) za účelom gramatického zosúladenia tohto paragrafu s navrhovanou zmenou a s platným </w:t>
      </w:r>
      <w:r w:rsidRPr="00196D38">
        <w:t>zákonom č. 596/2003 Z. z.</w:t>
      </w:r>
      <w:r>
        <w:t xml:space="preserve">; </w:t>
      </w:r>
      <w:r w:rsidRPr="005D5777">
        <w:t xml:space="preserve">úprava súvisí s vypustením úpravy § 16 ods. 7 písm. a), b), d) a e) </w:t>
      </w:r>
      <w:r>
        <w:t xml:space="preserve">z bodu 2 </w:t>
      </w:r>
      <w:r w:rsidRPr="005D5777">
        <w:t>(čl. X).</w:t>
      </w:r>
    </w:p>
    <w:p w:rsidR="00E45F65" w:rsidP="00E45F65">
      <w:pPr>
        <w:ind w:left="4111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 sa za bod 32 vkladá nový bod 33, ktorý znie:</w:t>
      </w:r>
    </w:p>
    <w:p w:rsidR="00E45F65" w:rsidP="00E45F65">
      <w:pPr>
        <w:ind w:left="720"/>
        <w:contextualSpacing/>
        <w:jc w:val="both"/>
      </w:pPr>
      <w:r>
        <w:t>„33. V § 19 ods. 5 sa slová „</w:t>
      </w:r>
      <w:r w:rsidRPr="005252F3">
        <w:t>školy, školské zariadenia, strediská praktického vyučovania alebo pracoviská praktického vyučovania</w:t>
      </w:r>
      <w:r>
        <w:t xml:space="preserve">“ nahrádzajú slovami „školy </w:t>
      </w:r>
      <w:r w:rsidRPr="005D5777">
        <w:t>a</w:t>
      </w:r>
      <w:r>
        <w:t xml:space="preserve"> školské zariadenia“.“.</w:t>
      </w:r>
    </w:p>
    <w:p w:rsidR="00E45F65" w:rsidP="00E45F65">
      <w:pPr>
        <w:ind w:left="720"/>
        <w:contextualSpacing/>
        <w:jc w:val="both"/>
      </w:pPr>
    </w:p>
    <w:p w:rsidR="00E45F65" w:rsidRPr="000204F7" w:rsidP="00E45F65">
      <w:pPr>
        <w:ind w:left="720"/>
        <w:contextualSpacing/>
        <w:jc w:val="both"/>
      </w:pPr>
      <w:r>
        <w:t>Účinnosť nového bodu 33</w:t>
      </w:r>
      <w:r w:rsidRPr="000204F7">
        <w:t xml:space="preserve"> sa navrhuje 1. apríla 2015. Vloženie nového bodu sa premietne do článku upravujúceho účinnosť zákona.</w:t>
      </w:r>
    </w:p>
    <w:p w:rsidR="00E45F65" w:rsidP="00E45F65">
      <w:pPr>
        <w:ind w:left="720"/>
        <w:contextualSpacing/>
        <w:jc w:val="both"/>
      </w:pPr>
      <w:r w:rsidRPr="000204F7">
        <w:t>Doterajšie body sa primerane prečíslujú.</w:t>
      </w:r>
    </w:p>
    <w:p w:rsidR="00E45F65" w:rsidP="00E45F65">
      <w:pPr>
        <w:ind w:left="720"/>
        <w:contextualSpacing/>
        <w:jc w:val="both"/>
      </w:pPr>
    </w:p>
    <w:p w:rsidR="00E45F65" w:rsidP="00E45F65">
      <w:pPr>
        <w:ind w:left="4253"/>
        <w:contextualSpacing/>
        <w:jc w:val="both"/>
      </w:pPr>
      <w:r w:rsidRPr="005252F3">
        <w:t>Legislatívno-technická úprava v súvislosti s p</w:t>
      </w:r>
      <w:r>
        <w:t xml:space="preserve">otrebou úpravy § 19 ods. 5 </w:t>
      </w:r>
      <w:r w:rsidRPr="005252F3">
        <w:t>v samostatnom novelizačnom bode</w:t>
      </w:r>
      <w:r>
        <w:t>;</w:t>
      </w:r>
      <w:r w:rsidRPr="005D5777">
        <w:t xml:space="preserve"> úprava súvisí s vypustením úpravy § 19 ods. 5 </w:t>
      </w:r>
      <w:r>
        <w:t>z textu bodu 17</w:t>
      </w:r>
      <w:r w:rsidRPr="005D5777">
        <w:t xml:space="preserve"> (čl. X).</w:t>
      </w:r>
    </w:p>
    <w:p w:rsidR="00E45F65" w:rsidP="00E45F65">
      <w:pPr>
        <w:ind w:left="4253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 sa za bod 39 vkladajú nové body 40 a 41, ktoré znejú:</w:t>
      </w:r>
    </w:p>
    <w:p w:rsidR="00E45F65" w:rsidP="00E45F65">
      <w:pPr>
        <w:ind w:left="720"/>
        <w:contextualSpacing/>
        <w:jc w:val="both"/>
      </w:pPr>
      <w:r>
        <w:t xml:space="preserve">„40. V § 21 ods. 12 sa slová „až 12“ nahrádzajú slovami „až 11“ </w:t>
      </w:r>
      <w:r w:rsidRPr="005D5777">
        <w:t>a za slovom „zariadenia“ sa vypúšťa čiarka a slová „strediská praktického vyučovania alebo pracoviská praktického vyučovania“.</w:t>
      </w:r>
    </w:p>
    <w:p w:rsidR="00E45F65" w:rsidP="00E45F65">
      <w:pPr>
        <w:ind w:left="720"/>
        <w:contextualSpacing/>
        <w:jc w:val="both"/>
      </w:pPr>
      <w:r>
        <w:t xml:space="preserve"> 41. V nadpise § 22 sa slová „</w:t>
      </w:r>
      <w:r w:rsidRPr="005252F3">
        <w:t>školy, školského zariadenia, strediska praktického vyučovania a pracoviska praktického vyučovania</w:t>
      </w:r>
      <w:r>
        <w:t>“ nahrádzajú slovami „školy a školského zariadenia“.“.</w:t>
      </w:r>
    </w:p>
    <w:p w:rsidR="00E45F65" w:rsidP="00E45F65">
      <w:pPr>
        <w:ind w:left="720"/>
        <w:contextualSpacing/>
        <w:jc w:val="both"/>
      </w:pPr>
    </w:p>
    <w:p w:rsidR="00E45F65" w:rsidP="00E45F65">
      <w:pPr>
        <w:ind w:left="720"/>
        <w:contextualSpacing/>
        <w:jc w:val="both"/>
      </w:pPr>
      <w:r>
        <w:t>Účinnosť nových bodov 40 a 41 sa navrhuje 1. apríla 2015.</w:t>
      </w:r>
      <w:r w:rsidRPr="00F57480">
        <w:t xml:space="preserve"> </w:t>
      </w:r>
      <w:r>
        <w:t>Vloženie nových</w:t>
      </w:r>
      <w:r w:rsidRPr="000204F7">
        <w:t xml:space="preserve"> bod</w:t>
      </w:r>
      <w:r>
        <w:t>ov</w:t>
      </w:r>
      <w:r w:rsidRPr="000204F7">
        <w:t xml:space="preserve"> sa premietne do článku upravujúceho účinnosť zákona.</w:t>
      </w:r>
    </w:p>
    <w:p w:rsidR="00E45F65" w:rsidP="00E45F65">
      <w:pPr>
        <w:ind w:left="720"/>
        <w:contextualSpacing/>
        <w:jc w:val="both"/>
      </w:pPr>
      <w:r w:rsidRPr="000204F7">
        <w:t>Doterajšie body sa primerane prečíslujú</w:t>
      </w:r>
      <w:r>
        <w:t>.</w:t>
      </w:r>
    </w:p>
    <w:p w:rsidR="00E45F65" w:rsidP="00E45F65">
      <w:pPr>
        <w:ind w:left="4253"/>
        <w:contextualSpacing/>
        <w:jc w:val="both"/>
      </w:pPr>
    </w:p>
    <w:p w:rsidR="00E45F65" w:rsidP="00E45F65">
      <w:pPr>
        <w:ind w:left="4253"/>
        <w:contextualSpacing/>
        <w:jc w:val="both"/>
      </w:pPr>
      <w:r>
        <w:t>Legislatívno-technická úprava vnútorného odkazu v súvislosti s vypustením odseku 8 v § 21 (čl. X, bod 39)</w:t>
      </w:r>
      <w:r w:rsidRPr="005252F3">
        <w:t xml:space="preserve"> </w:t>
      </w:r>
      <w:r>
        <w:t xml:space="preserve">a </w:t>
      </w:r>
      <w:r w:rsidRPr="00EC0F35">
        <w:t>le</w:t>
      </w:r>
      <w:r w:rsidRPr="005252F3">
        <w:t>gislatívno-technická úprava v sú</w:t>
      </w:r>
      <w:r>
        <w:t>vislosti s potrebou</w:t>
      </w:r>
      <w:r w:rsidRPr="005252F3">
        <w:t xml:space="preserve"> úpravy </w:t>
      </w:r>
      <w:r>
        <w:t>nadpisu § 22</w:t>
      </w:r>
      <w:r w:rsidRPr="005252F3">
        <w:t xml:space="preserve"> v samostatnom novelizačnom bode</w:t>
      </w:r>
      <w:r>
        <w:t xml:space="preserve">; </w:t>
      </w:r>
      <w:r w:rsidRPr="005D5777">
        <w:t xml:space="preserve">úprava súvisí s vypustením úpravy </w:t>
      </w:r>
      <w:r>
        <w:t>nadpisu § 22 z bodu 19</w:t>
      </w:r>
      <w:r w:rsidRPr="005D5777">
        <w:t xml:space="preserve"> (čl. X).</w:t>
      </w:r>
    </w:p>
    <w:p w:rsidR="00E45F65" w:rsidP="00E45F65">
      <w:pPr>
        <w:ind w:left="4253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 41. bode sa na konci novelizačného bodu dopĺňa táto veta: „Poznámky pod čiarou k odkazom 78 a 79 sa vypúšťajú.“.</w:t>
      </w:r>
    </w:p>
    <w:p w:rsidR="00E45F65" w:rsidP="00E45F65">
      <w:pPr>
        <w:ind w:left="4253"/>
        <w:contextualSpacing/>
        <w:jc w:val="both"/>
      </w:pPr>
    </w:p>
    <w:p w:rsidR="00E45F65" w:rsidP="00E45F65">
      <w:pPr>
        <w:ind w:left="4253"/>
        <w:contextualSpacing/>
        <w:jc w:val="both"/>
      </w:pPr>
      <w:r>
        <w:t>V súvislosti s vypustením § 35 a odkazov 78 a 79 (41. bod, čl. X), je potrebné vypustiť aj poznámky pod čiarou k odkazom 78 a 79.</w:t>
      </w:r>
    </w:p>
    <w:p w:rsidR="00E45F65" w:rsidRPr="005D5777" w:rsidP="00E45F65">
      <w:pPr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XI sa dopĺňa nový bod 13, ktorý znie:</w:t>
      </w:r>
    </w:p>
    <w:p w:rsidR="00E45F65" w:rsidP="00E45F65">
      <w:pPr>
        <w:ind w:left="720"/>
        <w:contextualSpacing/>
        <w:jc w:val="both"/>
      </w:pPr>
      <w:r>
        <w:t xml:space="preserve">„13. </w:t>
      </w:r>
      <w:r w:rsidRPr="00750C22">
        <w:t>Slová „obvodný úrad v sídle kraja“ vo všetkých tvaroch sa v celom texte zákona nahrádzajú slovami „okresný úrad v sídle kraja“ v príslušnom tvare.</w:t>
      </w:r>
      <w:r>
        <w:t>“.</w:t>
      </w:r>
    </w:p>
    <w:p w:rsidR="00E45F65" w:rsidP="00E45F65">
      <w:pPr>
        <w:ind w:left="4111"/>
        <w:contextualSpacing/>
        <w:jc w:val="both"/>
      </w:pPr>
    </w:p>
    <w:p w:rsidR="00E45F65" w:rsidP="00E45F65">
      <w:pPr>
        <w:ind w:left="4111"/>
        <w:contextualSpacing/>
        <w:jc w:val="both"/>
      </w:pPr>
      <w:r w:rsidRPr="00750C22">
        <w:t>V nadväznosti na zákon č. 180/2013 Z. z. o organizácii miestnej štátnej správy a o zmene a doplnení niektorých zákonov sa upravuje názov „obvodného úradu v sídle kraja“ na „okresný úrad v sídle kraja“ v príslušnom tvare.</w:t>
      </w:r>
    </w:p>
    <w:p w:rsidR="00E45F65" w:rsidP="00E45F65">
      <w:pPr>
        <w:ind w:left="4111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XII 33. bode § 56 ods. 7 sa slová „nadväzujúceho štúdia“ nahrádzajú slovami „nadväzujúcej formy odborného vzdelávania a prípravy“.</w:t>
      </w:r>
    </w:p>
    <w:p w:rsidR="00E45F65" w:rsidP="00E45F65">
      <w:pPr>
        <w:ind w:left="4111"/>
        <w:contextualSpacing/>
        <w:jc w:val="both"/>
      </w:pPr>
    </w:p>
    <w:p w:rsidR="00E45F65" w:rsidP="00E45F65">
      <w:pPr>
        <w:ind w:left="4111"/>
        <w:contextualSpacing/>
        <w:jc w:val="both"/>
      </w:pPr>
      <w:r>
        <w:t>Formulačná precizácia ustanovenia za účelom zjednotenia zavedenej terminológie;  v školskom zákone nie je zavedený pojem „nadväzujúce štúdium“, ale podľa § 45 nadväzujúcimi formami odborného vzdelávania a prípravy sú nadstavbové štúdium, pomaturitné</w:t>
      </w:r>
      <w:r w:rsidRPr="00A64E67">
        <w:t xml:space="preserve"> štúdi</w:t>
      </w:r>
      <w:r>
        <w:t>um a skrátené štúdium (čl. XII, 29. bod).</w:t>
      </w: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XII 56. bode § 80 ods. 7 poznámke pod čiarou k odkazu 49a sa slovo „§ 29“ nahrádza slovom „§ 28“.</w:t>
      </w:r>
    </w:p>
    <w:p w:rsidR="00E45F65" w:rsidP="00E45F65">
      <w:pPr>
        <w:ind w:left="3969"/>
        <w:contextualSpacing/>
        <w:jc w:val="both"/>
      </w:pPr>
      <w:r>
        <w:t>Oprava nesprávneho vnútorného odkazu v poznámke pod čiarou k odkazu 49a; stavovská organizácia ako inštitúcia podieľajúca sa na koordinácii odborného vzdelávania je predmetom úpravy § 28 ods. 2 návrhu zákona o odbornom vzdelávaní, (čl. I).</w:t>
      </w:r>
    </w:p>
    <w:p w:rsidR="00E45F65" w:rsidRPr="005D5777" w:rsidP="00E45F65">
      <w:pPr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XII 57. bode § 80 ods. 15 piatom riadku sa slová „odbornej zložky maturitnej zložky“ nahrádzajú slovami „odbornej zložky maturitnej skúšky“.</w:t>
      </w:r>
    </w:p>
    <w:p w:rsidR="00E45F65" w:rsidP="00E45F65">
      <w:pPr>
        <w:ind w:left="720"/>
        <w:contextualSpacing/>
        <w:jc w:val="both"/>
      </w:pPr>
    </w:p>
    <w:p w:rsidR="00E45F65" w:rsidP="00E45F65">
      <w:pPr>
        <w:ind w:left="720" w:firstLine="3391"/>
        <w:contextualSpacing/>
        <w:jc w:val="both"/>
      </w:pPr>
      <w:r>
        <w:t>Formulačná úprava ustanovenia.</w:t>
      </w:r>
    </w:p>
    <w:p w:rsidR="00E45F65" w:rsidP="00E45F65">
      <w:pPr>
        <w:ind w:left="720" w:firstLine="3391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>V čl. XII 78. bod znie:</w:t>
      </w:r>
    </w:p>
    <w:p w:rsidR="00E45F65" w:rsidP="00E45F65">
      <w:pPr>
        <w:ind w:left="720"/>
        <w:contextualSpacing/>
        <w:jc w:val="both"/>
      </w:pPr>
      <w:r>
        <w:t>„78. V § 119 sa slová „centier voľného času, školských hospodárstiev a stredísk odbornej praxe,“ nahrádzajú slovami „centier voľného času a“.“.</w:t>
      </w:r>
    </w:p>
    <w:p w:rsidR="00E45F65" w:rsidP="00E45F65">
      <w:pPr>
        <w:ind w:left="567" w:firstLine="3402"/>
        <w:contextualSpacing/>
        <w:jc w:val="both"/>
      </w:pPr>
    </w:p>
    <w:p w:rsidR="00E45F65" w:rsidP="00E45F65">
      <w:pPr>
        <w:ind w:left="3969"/>
        <w:contextualSpacing/>
        <w:jc w:val="both"/>
      </w:pPr>
      <w:r w:rsidRPr="00376B0E">
        <w:t xml:space="preserve">Legislatívno-technická úprava </w:t>
      </w:r>
      <w:r>
        <w:t xml:space="preserve">a formulačná úprava </w:t>
      </w:r>
      <w:r w:rsidRPr="00376B0E">
        <w:t>bodu.</w:t>
      </w:r>
    </w:p>
    <w:p w:rsidR="00E45F65" w:rsidP="00E45F65">
      <w:pPr>
        <w:ind w:left="567" w:firstLine="3402"/>
        <w:contextualSpacing/>
        <w:jc w:val="both"/>
      </w:pPr>
    </w:p>
    <w:p w:rsidR="00E45F65" w:rsidP="001F5EE0">
      <w:pPr>
        <w:numPr>
          <w:ilvl w:val="0"/>
          <w:numId w:val="2"/>
        </w:numPr>
        <w:contextualSpacing/>
        <w:jc w:val="both"/>
      </w:pPr>
      <w:r>
        <w:t xml:space="preserve">V čl. XII 90. bode sa za slovo „nadpisu“ vkladá slovo „nad“ a nadpis pod § 161da  sa vkladá nad § 161da. </w:t>
      </w:r>
    </w:p>
    <w:p w:rsidR="00E45F65" w:rsidP="00E45F65">
      <w:pPr>
        <w:ind w:left="3969"/>
        <w:contextualSpacing/>
        <w:jc w:val="both"/>
      </w:pPr>
    </w:p>
    <w:p w:rsidR="00E45F65" w:rsidP="00E45F65">
      <w:pPr>
        <w:ind w:left="3969"/>
        <w:contextualSpacing/>
        <w:jc w:val="both"/>
      </w:pPr>
      <w:r>
        <w:t>Legislatívno-technická úprava bodu premiestnením nadpisu § 161da nad tento paragraf tak, aby bolo zrejmé, že prechodným ustanovením k úpravám účinným od 1. apríla 2015 je aj ustanovenie § 161db.</w:t>
      </w:r>
    </w:p>
    <w:p w:rsidR="00DA054B" w:rsidRPr="00DA054B" w:rsidP="00E45F65">
      <w:pPr>
        <w:rPr>
          <w:rFonts w:eastAsia="Calibri"/>
          <w:b/>
          <w:bCs w:val="0"/>
          <w:iCs/>
          <w:lang w:eastAsia="en-US"/>
        </w:rPr>
      </w:pPr>
    </w:p>
    <w:p w:rsidR="00DA054B" w:rsidRPr="00DA054B" w:rsidP="00E45F65">
      <w:pPr>
        <w:ind w:left="284" w:hanging="284"/>
        <w:rPr>
          <w:rFonts w:eastAsia="Calibri"/>
          <w:bCs w:val="0"/>
          <w:lang w:eastAsia="en-US"/>
        </w:rPr>
      </w:pPr>
    </w:p>
    <w:p w:rsidR="00DF6E6C" w:rsidP="00B84A9D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0B42">
      <w:rPr>
        <w:rStyle w:val="PageNumber"/>
        <w:noProof/>
      </w:rPr>
      <w:t>6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1">
    <w:nsid w:val="6D162152"/>
    <w:multiLevelType w:val="hybridMultilevel"/>
    <w:tmpl w:val="81FAB9F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04F7"/>
    <w:rsid w:val="00026345"/>
    <w:rsid w:val="0002666C"/>
    <w:rsid w:val="0003066D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56003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402D"/>
    <w:rsid w:val="000F796E"/>
    <w:rsid w:val="0010647C"/>
    <w:rsid w:val="001117D7"/>
    <w:rsid w:val="001139A4"/>
    <w:rsid w:val="0011524C"/>
    <w:rsid w:val="00117627"/>
    <w:rsid w:val="001212D5"/>
    <w:rsid w:val="00143F10"/>
    <w:rsid w:val="00150E37"/>
    <w:rsid w:val="00152B22"/>
    <w:rsid w:val="00153E1E"/>
    <w:rsid w:val="001545C9"/>
    <w:rsid w:val="00154E58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A8D"/>
    <w:rsid w:val="001926CE"/>
    <w:rsid w:val="00192864"/>
    <w:rsid w:val="001957AD"/>
    <w:rsid w:val="00196D38"/>
    <w:rsid w:val="001A602E"/>
    <w:rsid w:val="001A766B"/>
    <w:rsid w:val="001B1E93"/>
    <w:rsid w:val="001B1F2C"/>
    <w:rsid w:val="001B41F7"/>
    <w:rsid w:val="001C51E2"/>
    <w:rsid w:val="001C5BF3"/>
    <w:rsid w:val="001C6390"/>
    <w:rsid w:val="001D1076"/>
    <w:rsid w:val="001D3CC5"/>
    <w:rsid w:val="001D5926"/>
    <w:rsid w:val="001D6BE4"/>
    <w:rsid w:val="001E074E"/>
    <w:rsid w:val="001E540C"/>
    <w:rsid w:val="001E6E4A"/>
    <w:rsid w:val="001E6F56"/>
    <w:rsid w:val="001E78A6"/>
    <w:rsid w:val="001F1FB7"/>
    <w:rsid w:val="001F5EE0"/>
    <w:rsid w:val="002012D0"/>
    <w:rsid w:val="00201AC9"/>
    <w:rsid w:val="00205C7B"/>
    <w:rsid w:val="0020683C"/>
    <w:rsid w:val="00210542"/>
    <w:rsid w:val="00213659"/>
    <w:rsid w:val="00214BD9"/>
    <w:rsid w:val="00221F40"/>
    <w:rsid w:val="00232F32"/>
    <w:rsid w:val="00240CF7"/>
    <w:rsid w:val="002461A5"/>
    <w:rsid w:val="00254F23"/>
    <w:rsid w:val="00255E78"/>
    <w:rsid w:val="002629D4"/>
    <w:rsid w:val="00271448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2DF7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0DAB"/>
    <w:rsid w:val="00371F1B"/>
    <w:rsid w:val="00373CBB"/>
    <w:rsid w:val="00376B0E"/>
    <w:rsid w:val="0038060C"/>
    <w:rsid w:val="00380A1C"/>
    <w:rsid w:val="003916AC"/>
    <w:rsid w:val="00395F28"/>
    <w:rsid w:val="00397CB2"/>
    <w:rsid w:val="003A4A69"/>
    <w:rsid w:val="003A4FC0"/>
    <w:rsid w:val="003B1B33"/>
    <w:rsid w:val="003C2355"/>
    <w:rsid w:val="003C2C90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47DB0"/>
    <w:rsid w:val="00450C55"/>
    <w:rsid w:val="00452435"/>
    <w:rsid w:val="00452FCC"/>
    <w:rsid w:val="0046108E"/>
    <w:rsid w:val="00471356"/>
    <w:rsid w:val="0047332F"/>
    <w:rsid w:val="00474560"/>
    <w:rsid w:val="004770E8"/>
    <w:rsid w:val="00485AD3"/>
    <w:rsid w:val="00491556"/>
    <w:rsid w:val="00491867"/>
    <w:rsid w:val="004925DB"/>
    <w:rsid w:val="00493DCA"/>
    <w:rsid w:val="004A12F3"/>
    <w:rsid w:val="004A16FD"/>
    <w:rsid w:val="004A2D65"/>
    <w:rsid w:val="004A3E40"/>
    <w:rsid w:val="004B7312"/>
    <w:rsid w:val="004B77A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3399"/>
    <w:rsid w:val="004F45C8"/>
    <w:rsid w:val="00500C97"/>
    <w:rsid w:val="0050102D"/>
    <w:rsid w:val="00504177"/>
    <w:rsid w:val="0052115B"/>
    <w:rsid w:val="00522678"/>
    <w:rsid w:val="00524259"/>
    <w:rsid w:val="005252F3"/>
    <w:rsid w:val="00533661"/>
    <w:rsid w:val="005375F3"/>
    <w:rsid w:val="005458EF"/>
    <w:rsid w:val="00552BE1"/>
    <w:rsid w:val="005560C6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27D"/>
    <w:rsid w:val="00595842"/>
    <w:rsid w:val="00595B3A"/>
    <w:rsid w:val="005960B3"/>
    <w:rsid w:val="005A7352"/>
    <w:rsid w:val="005B36AB"/>
    <w:rsid w:val="005D03BE"/>
    <w:rsid w:val="005D04B9"/>
    <w:rsid w:val="005D1F0B"/>
    <w:rsid w:val="005D2E69"/>
    <w:rsid w:val="005D368F"/>
    <w:rsid w:val="005D5777"/>
    <w:rsid w:val="005D62EB"/>
    <w:rsid w:val="005D6BE4"/>
    <w:rsid w:val="005E0E12"/>
    <w:rsid w:val="005E26FF"/>
    <w:rsid w:val="005E27AA"/>
    <w:rsid w:val="005E3A80"/>
    <w:rsid w:val="005E3D70"/>
    <w:rsid w:val="005E63ED"/>
    <w:rsid w:val="005F2A14"/>
    <w:rsid w:val="00602C1F"/>
    <w:rsid w:val="00602FF8"/>
    <w:rsid w:val="006107BB"/>
    <w:rsid w:val="00611469"/>
    <w:rsid w:val="006117C7"/>
    <w:rsid w:val="00622525"/>
    <w:rsid w:val="006229BF"/>
    <w:rsid w:val="00624DDC"/>
    <w:rsid w:val="0063617C"/>
    <w:rsid w:val="0063749C"/>
    <w:rsid w:val="00642D4E"/>
    <w:rsid w:val="006437A1"/>
    <w:rsid w:val="00643E57"/>
    <w:rsid w:val="006443CB"/>
    <w:rsid w:val="00645139"/>
    <w:rsid w:val="0065582E"/>
    <w:rsid w:val="0066101D"/>
    <w:rsid w:val="00665A38"/>
    <w:rsid w:val="0066682E"/>
    <w:rsid w:val="00670BE9"/>
    <w:rsid w:val="00671D55"/>
    <w:rsid w:val="006732DF"/>
    <w:rsid w:val="00686261"/>
    <w:rsid w:val="006A3283"/>
    <w:rsid w:val="006A3C85"/>
    <w:rsid w:val="006A6D97"/>
    <w:rsid w:val="006A749F"/>
    <w:rsid w:val="006B5E31"/>
    <w:rsid w:val="006C19B0"/>
    <w:rsid w:val="006C72E6"/>
    <w:rsid w:val="006D0A0A"/>
    <w:rsid w:val="006D0B42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1BBB"/>
    <w:rsid w:val="007451AB"/>
    <w:rsid w:val="007460EC"/>
    <w:rsid w:val="0074684C"/>
    <w:rsid w:val="0075013C"/>
    <w:rsid w:val="00750C22"/>
    <w:rsid w:val="00753D13"/>
    <w:rsid w:val="00754367"/>
    <w:rsid w:val="00765E92"/>
    <w:rsid w:val="00766B24"/>
    <w:rsid w:val="00766EB1"/>
    <w:rsid w:val="00766ECD"/>
    <w:rsid w:val="00771DBB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7E270F"/>
    <w:rsid w:val="0081158D"/>
    <w:rsid w:val="008141BA"/>
    <w:rsid w:val="00816B93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972CA"/>
    <w:rsid w:val="008A2AEF"/>
    <w:rsid w:val="008A65D4"/>
    <w:rsid w:val="008B2507"/>
    <w:rsid w:val="008C2619"/>
    <w:rsid w:val="008C471D"/>
    <w:rsid w:val="008C606C"/>
    <w:rsid w:val="008D037B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61C3"/>
    <w:rsid w:val="00940FE9"/>
    <w:rsid w:val="009434CE"/>
    <w:rsid w:val="00943700"/>
    <w:rsid w:val="00945E30"/>
    <w:rsid w:val="0094789F"/>
    <w:rsid w:val="009534E4"/>
    <w:rsid w:val="00965A46"/>
    <w:rsid w:val="009673E9"/>
    <w:rsid w:val="00972CAE"/>
    <w:rsid w:val="00981DBD"/>
    <w:rsid w:val="00985280"/>
    <w:rsid w:val="00987E19"/>
    <w:rsid w:val="00990B21"/>
    <w:rsid w:val="009940AF"/>
    <w:rsid w:val="00996EF0"/>
    <w:rsid w:val="009A5069"/>
    <w:rsid w:val="009B1A9B"/>
    <w:rsid w:val="009B307C"/>
    <w:rsid w:val="009B39C7"/>
    <w:rsid w:val="009B629D"/>
    <w:rsid w:val="009B77B1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7E8"/>
    <w:rsid w:val="00A13BFD"/>
    <w:rsid w:val="00A22570"/>
    <w:rsid w:val="00A26DE4"/>
    <w:rsid w:val="00A353BC"/>
    <w:rsid w:val="00A42717"/>
    <w:rsid w:val="00A44797"/>
    <w:rsid w:val="00A45E0F"/>
    <w:rsid w:val="00A46F21"/>
    <w:rsid w:val="00A64B15"/>
    <w:rsid w:val="00A64E67"/>
    <w:rsid w:val="00A73ECD"/>
    <w:rsid w:val="00A76F2A"/>
    <w:rsid w:val="00A80718"/>
    <w:rsid w:val="00A8165F"/>
    <w:rsid w:val="00A8705A"/>
    <w:rsid w:val="00AA25C0"/>
    <w:rsid w:val="00AC1772"/>
    <w:rsid w:val="00AC22E2"/>
    <w:rsid w:val="00AC2960"/>
    <w:rsid w:val="00AC3E23"/>
    <w:rsid w:val="00AC65F9"/>
    <w:rsid w:val="00AC7EC3"/>
    <w:rsid w:val="00AD0864"/>
    <w:rsid w:val="00AE3087"/>
    <w:rsid w:val="00AE69DF"/>
    <w:rsid w:val="00AF0917"/>
    <w:rsid w:val="00AF7145"/>
    <w:rsid w:val="00B07F36"/>
    <w:rsid w:val="00B10B89"/>
    <w:rsid w:val="00B16CED"/>
    <w:rsid w:val="00B17563"/>
    <w:rsid w:val="00B40606"/>
    <w:rsid w:val="00B55EBB"/>
    <w:rsid w:val="00B614DE"/>
    <w:rsid w:val="00B64787"/>
    <w:rsid w:val="00B71E6A"/>
    <w:rsid w:val="00B73982"/>
    <w:rsid w:val="00B774DD"/>
    <w:rsid w:val="00B84A9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1686E"/>
    <w:rsid w:val="00C20BCB"/>
    <w:rsid w:val="00C2409D"/>
    <w:rsid w:val="00C3180D"/>
    <w:rsid w:val="00C34FB0"/>
    <w:rsid w:val="00C37D3C"/>
    <w:rsid w:val="00C40208"/>
    <w:rsid w:val="00C511AD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1164"/>
    <w:rsid w:val="00C91FDA"/>
    <w:rsid w:val="00C93F38"/>
    <w:rsid w:val="00CA02CA"/>
    <w:rsid w:val="00CA0E04"/>
    <w:rsid w:val="00CA2872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6CFD"/>
    <w:rsid w:val="00D60D33"/>
    <w:rsid w:val="00D64717"/>
    <w:rsid w:val="00D72E6C"/>
    <w:rsid w:val="00D77944"/>
    <w:rsid w:val="00D876EB"/>
    <w:rsid w:val="00D93A8F"/>
    <w:rsid w:val="00DA054B"/>
    <w:rsid w:val="00DA4A4E"/>
    <w:rsid w:val="00DA5FF4"/>
    <w:rsid w:val="00DB14FA"/>
    <w:rsid w:val="00DB15FF"/>
    <w:rsid w:val="00DC342A"/>
    <w:rsid w:val="00DC38D0"/>
    <w:rsid w:val="00DC587F"/>
    <w:rsid w:val="00DC6DC4"/>
    <w:rsid w:val="00DD72DC"/>
    <w:rsid w:val="00DE311B"/>
    <w:rsid w:val="00DF00E6"/>
    <w:rsid w:val="00DF6E6C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45F65"/>
    <w:rsid w:val="00E54D4F"/>
    <w:rsid w:val="00E564B4"/>
    <w:rsid w:val="00E56CEF"/>
    <w:rsid w:val="00E63375"/>
    <w:rsid w:val="00E70960"/>
    <w:rsid w:val="00E72140"/>
    <w:rsid w:val="00E76309"/>
    <w:rsid w:val="00E8666A"/>
    <w:rsid w:val="00E906AB"/>
    <w:rsid w:val="00E92427"/>
    <w:rsid w:val="00E95310"/>
    <w:rsid w:val="00E95866"/>
    <w:rsid w:val="00E97E3F"/>
    <w:rsid w:val="00EA2888"/>
    <w:rsid w:val="00EA6751"/>
    <w:rsid w:val="00EA7E4D"/>
    <w:rsid w:val="00EC0F35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62CE"/>
    <w:rsid w:val="00F57480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58B77-BDBA-49DF-9EC0-253691B9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6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369</cp:revision>
  <cp:lastPrinted>2014-09-04T10:39:00Z</cp:lastPrinted>
  <dcterms:created xsi:type="dcterms:W3CDTF">2003-06-05T11:59:00Z</dcterms:created>
  <dcterms:modified xsi:type="dcterms:W3CDTF">2015-03-05T11:34:00Z</dcterms:modified>
</cp:coreProperties>
</file>