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E0F39" w:rsidRPr="002E0F39" w:rsidP="002E0F39">
      <w:pPr>
        <w:pStyle w:val="Heading2"/>
        <w:bidi w:val="0"/>
        <w:ind w:hanging="3649"/>
        <w:rPr>
          <w:rFonts w:hint="default"/>
        </w:rPr>
      </w:pPr>
      <w:r w:rsidR="00296777">
        <w:t xml:space="preserve"> </w:t>
      </w:r>
      <w:r w:rsidRPr="002E0F39">
        <w:rPr>
          <w:rFonts w:hint="default"/>
        </w:rPr>
        <w:t>Ú</w:t>
      </w:r>
      <w:r w:rsidRPr="002E0F39">
        <w:rPr>
          <w:rFonts w:hint="default"/>
        </w:rPr>
        <w:t>STAVNOPRÁ</w:t>
      </w:r>
      <w:r w:rsidRPr="002E0F39">
        <w:rPr>
          <w:rFonts w:hint="default"/>
        </w:rPr>
        <w:t>VNY VÝ</w:t>
      </w:r>
      <w:r w:rsidRPr="002E0F39">
        <w:rPr>
          <w:rFonts w:hint="default"/>
        </w:rPr>
        <w:t>BOR</w:t>
      </w:r>
    </w:p>
    <w:p w:rsidR="002E0F39" w:rsidP="002E0F39">
      <w:pPr>
        <w:bidi w:val="0"/>
        <w:spacing w:line="360" w:lineRule="auto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NÁRODNEJ RADY SLOVENSKEJ REPUBLIKY</w:t>
      </w:r>
    </w:p>
    <w:p w:rsidR="00296777" w:rsidP="002E0F39">
      <w:pPr>
        <w:bidi w:val="0"/>
        <w:spacing w:line="360" w:lineRule="auto"/>
        <w:rPr>
          <w:rFonts w:ascii="Times New Roman" w:hAnsi="Times New Roman"/>
          <w:b/>
        </w:rPr>
      </w:pPr>
    </w:p>
    <w:p w:rsidR="002E0F39" w:rsidRPr="002E0F39" w:rsidP="002E0F39">
      <w:pPr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 w:rsidR="00F02EE6">
        <w:rPr>
          <w:rFonts w:ascii="Times New Roman" w:hAnsi="Times New Roman"/>
        </w:rPr>
        <w:t>9</w:t>
      </w:r>
      <w:r w:rsidR="006F5224">
        <w:rPr>
          <w:rFonts w:ascii="Times New Roman" w:hAnsi="Times New Roman"/>
        </w:rPr>
        <w:t>8</w:t>
      </w:r>
      <w:r w:rsidR="0068156B">
        <w:rPr>
          <w:rFonts w:ascii="Times New Roman" w:hAnsi="Times New Roman"/>
        </w:rPr>
        <w:t>.</w:t>
      </w:r>
      <w:r w:rsidRPr="002E0F39">
        <w:rPr>
          <w:rFonts w:ascii="Times New Roman" w:hAnsi="Times New Roman"/>
        </w:rPr>
        <w:t xml:space="preserve"> schôdza</w:t>
      </w:r>
    </w:p>
    <w:p w:rsidR="00D73B41" w:rsidP="00FC2785">
      <w:pPr>
        <w:bidi w:val="0"/>
        <w:ind w:left="5592" w:hanging="12"/>
        <w:rPr>
          <w:rFonts w:ascii="Times New Roman" w:hAnsi="Times New Roman"/>
        </w:rPr>
      </w:pPr>
      <w:r w:rsidRPr="002E0F39" w:rsidR="002E0F39">
        <w:rPr>
          <w:rFonts w:ascii="Times New Roman" w:hAnsi="Times New Roman"/>
        </w:rPr>
        <w:t xml:space="preserve"> </w:t>
        <w:tab/>
        <w:tab/>
        <w:t xml:space="preserve"> Číslo</w:t>
      </w:r>
      <w:r w:rsidRPr="006F5224" w:rsidR="002E0F39">
        <w:rPr>
          <w:rFonts w:ascii="Times New Roman" w:hAnsi="Times New Roman"/>
        </w:rPr>
        <w:t xml:space="preserve">: </w:t>
      </w:r>
      <w:r w:rsidRPr="006F5224" w:rsidR="00FC0ABB">
        <w:rPr>
          <w:rFonts w:ascii="Times New Roman" w:hAnsi="Times New Roman"/>
        </w:rPr>
        <w:t>CRD-</w:t>
      </w:r>
      <w:r w:rsidRPr="006F5224" w:rsidR="000F667E">
        <w:rPr>
          <w:rFonts w:ascii="Times New Roman" w:hAnsi="Times New Roman"/>
        </w:rPr>
        <w:t>2483</w:t>
      </w:r>
      <w:r w:rsidRPr="006F5224" w:rsidR="00FC0ABB">
        <w:rPr>
          <w:rFonts w:ascii="Times New Roman" w:hAnsi="Times New Roman"/>
        </w:rPr>
        <w:t>/201</w:t>
      </w:r>
      <w:r w:rsidRPr="006F5224" w:rsidR="000F667E">
        <w:rPr>
          <w:rFonts w:ascii="Times New Roman" w:hAnsi="Times New Roman"/>
        </w:rPr>
        <w:t>4</w:t>
      </w:r>
    </w:p>
    <w:p w:rsidR="00E95582" w:rsidRPr="006F5224" w:rsidP="00FC2785">
      <w:pPr>
        <w:bidi w:val="0"/>
        <w:ind w:left="5592" w:hanging="12"/>
        <w:rPr>
          <w:rFonts w:ascii="Times New Roman" w:hAnsi="Times New Roman"/>
        </w:rPr>
      </w:pPr>
    </w:p>
    <w:p w:rsidR="00FC2785" w:rsidP="00FC2785">
      <w:pPr>
        <w:bidi w:val="0"/>
        <w:ind w:left="5592" w:hanging="12"/>
        <w:rPr>
          <w:rFonts w:ascii="Times New Roman" w:hAnsi="Times New Roman"/>
        </w:rPr>
      </w:pPr>
    </w:p>
    <w:p w:rsidR="006F5224" w:rsidRPr="00E95582" w:rsidP="001B548E">
      <w:pPr>
        <w:bidi w:val="0"/>
        <w:jc w:val="center"/>
        <w:rPr>
          <w:rFonts w:ascii="Times New Roman" w:hAnsi="Times New Roman"/>
          <w:sz w:val="36"/>
        </w:rPr>
      </w:pPr>
      <w:r w:rsidRPr="00E95582" w:rsidR="00E95582">
        <w:rPr>
          <w:rFonts w:ascii="Times New Roman" w:hAnsi="Times New Roman"/>
          <w:sz w:val="36"/>
        </w:rPr>
        <w:t>561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U z n e s e n i e</w:t>
      </w:r>
    </w:p>
    <w:p w:rsidR="002E0F39" w:rsidRPr="002E0F39" w:rsidP="006F5224">
      <w:pPr>
        <w:bidi w:val="0"/>
        <w:spacing w:line="276" w:lineRule="auto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Ústavnoprávneho výboru Národnej rady Slovenskej republiky</w:t>
      </w:r>
    </w:p>
    <w:p w:rsidR="002E0F39" w:rsidRPr="00D76361" w:rsidP="00937E90">
      <w:pPr>
        <w:bidi w:val="0"/>
        <w:jc w:val="center"/>
        <w:rPr>
          <w:rFonts w:ascii="Times New Roman" w:hAnsi="Times New Roman"/>
          <w:b/>
        </w:rPr>
      </w:pPr>
      <w:r w:rsidRPr="00D76361" w:rsidR="00B252E1">
        <w:rPr>
          <w:rFonts w:ascii="Times New Roman" w:hAnsi="Times New Roman"/>
          <w:b/>
        </w:rPr>
        <w:t>z</w:t>
      </w:r>
      <w:r w:rsidRPr="00D76361" w:rsidR="00B50DA3">
        <w:rPr>
          <w:rFonts w:ascii="Times New Roman" w:hAnsi="Times New Roman"/>
          <w:b/>
        </w:rPr>
        <w:t> 2</w:t>
      </w:r>
      <w:r w:rsidR="00D76361">
        <w:rPr>
          <w:rFonts w:ascii="Times New Roman" w:hAnsi="Times New Roman"/>
          <w:b/>
        </w:rPr>
        <w:t>6</w:t>
      </w:r>
      <w:r w:rsidRPr="00D76361" w:rsidR="00B50DA3">
        <w:rPr>
          <w:rFonts w:ascii="Times New Roman" w:hAnsi="Times New Roman"/>
          <w:b/>
        </w:rPr>
        <w:t>. februára</w:t>
      </w:r>
      <w:r w:rsidRPr="00D76361">
        <w:rPr>
          <w:rFonts w:ascii="Times New Roman" w:hAnsi="Times New Roman"/>
          <w:b/>
        </w:rPr>
        <w:t xml:space="preserve"> 201</w:t>
      </w:r>
      <w:r w:rsidRPr="00D76361" w:rsidR="00F02EE6">
        <w:rPr>
          <w:rFonts w:ascii="Times New Roman" w:hAnsi="Times New Roman"/>
          <w:b/>
        </w:rPr>
        <w:t>5</w:t>
      </w:r>
    </w:p>
    <w:p w:rsidR="002E0F39" w:rsidRPr="007E2431" w:rsidP="00937E90">
      <w:pPr>
        <w:pStyle w:val="BodyText"/>
        <w:bidi w:val="0"/>
        <w:rPr>
          <w:rFonts w:ascii="Times New Roman" w:hAnsi="Times New Roman"/>
        </w:rPr>
      </w:pPr>
    </w:p>
    <w:p w:rsidR="000F667E" w:rsidRPr="000F667E" w:rsidP="000F667E">
      <w:pPr>
        <w:pStyle w:val="ListParagraph"/>
        <w:bidi w:val="0"/>
        <w:ind w:left="0"/>
        <w:jc w:val="both"/>
        <w:rPr>
          <w:rFonts w:ascii="Times New Roman" w:hAnsi="Times New Roman" w:cs="Arial"/>
          <w:noProof/>
        </w:rPr>
      </w:pPr>
      <w:r w:rsidRPr="000F667E" w:rsidR="00556936">
        <w:rPr>
          <w:rFonts w:ascii="Times New Roman" w:hAnsi="Times New Roman" w:cs="Arial"/>
          <w:noProof/>
        </w:rPr>
        <w:t>k</w:t>
      </w:r>
      <w:r w:rsidRPr="000F667E" w:rsidR="007E2431">
        <w:rPr>
          <w:rFonts w:ascii="Times New Roman" w:hAnsi="Times New Roman" w:cs="Arial"/>
          <w:noProof/>
        </w:rPr>
        <w:t xml:space="preserve"> vládnemu </w:t>
      </w:r>
      <w:r w:rsidRPr="000F667E">
        <w:rPr>
          <w:rFonts w:ascii="Times New Roman" w:hAnsi="Times New Roman"/>
        </w:rPr>
        <w:t>návrhu zákona o občianskoprávnej zodpovednosti za jadrovú škodu a o jej finančnom krytí a o zmene a doplnení niektorých zákonov (tlač 1329)</w:t>
      </w:r>
    </w:p>
    <w:p w:rsidR="007E2431" w:rsidP="00721D32">
      <w:pPr>
        <w:pStyle w:val="ListParagraph"/>
        <w:bidi w:val="0"/>
        <w:ind w:left="0"/>
        <w:jc w:val="both"/>
        <w:rPr>
          <w:rFonts w:ascii="Times New Roman" w:hAnsi="Times New Roman" w:cs="Arial"/>
          <w:noProof/>
        </w:rPr>
      </w:pPr>
    </w:p>
    <w:p w:rsidR="00721D32" w:rsidRPr="00F914C4" w:rsidP="00FE4076">
      <w:pPr>
        <w:pStyle w:val="ListParagraph"/>
        <w:bidi w:val="0"/>
        <w:ind w:left="360"/>
        <w:jc w:val="both"/>
        <w:rPr>
          <w:rFonts w:ascii="Times New Roman" w:hAnsi="Times New Roman"/>
          <w:i/>
        </w:rPr>
      </w:pPr>
    </w:p>
    <w:p w:rsidR="002E0F39" w:rsidRPr="00F914C4" w:rsidP="002E0F39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F914C4">
        <w:rPr>
          <w:rFonts w:ascii="Times New Roman" w:hAnsi="Times New Roman"/>
          <w:color w:val="auto"/>
        </w:rPr>
        <w:tab/>
      </w:r>
      <w:r w:rsidRPr="00F914C4">
        <w:rPr>
          <w:rFonts w:ascii="Times New Roman" w:hAnsi="Times New Roman" w:hint="default"/>
          <w:color w:val="auto"/>
        </w:rPr>
        <w:t>Ú</w:t>
      </w:r>
      <w:r w:rsidRPr="00F914C4">
        <w:rPr>
          <w:rFonts w:ascii="Times New Roman" w:hAnsi="Times New Roman" w:hint="default"/>
          <w:color w:val="auto"/>
        </w:rPr>
        <w:t>stavnoprá</w:t>
      </w:r>
      <w:r w:rsidRPr="00F914C4">
        <w:rPr>
          <w:rFonts w:ascii="Times New Roman" w:hAnsi="Times New Roman" w:hint="default"/>
          <w:color w:val="auto"/>
        </w:rPr>
        <w:t>vny vý</w:t>
      </w:r>
      <w:r w:rsidRPr="00F914C4">
        <w:rPr>
          <w:rFonts w:ascii="Times New Roman" w:hAnsi="Times New Roman" w:hint="default"/>
          <w:color w:val="auto"/>
        </w:rPr>
        <w:t>bor Ná</w:t>
      </w:r>
      <w:r w:rsidRPr="00F914C4">
        <w:rPr>
          <w:rFonts w:ascii="Times New Roman" w:hAnsi="Times New Roman" w:hint="default"/>
          <w:color w:val="auto"/>
        </w:rPr>
        <w:t>rodnej rady Slovenskej republiky</w:t>
      </w:r>
    </w:p>
    <w:p w:rsidR="002E0F39" w:rsidRPr="00F914C4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2E0F39" w:rsidRPr="00F914C4" w:rsidP="002E0F39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F914C4">
        <w:rPr>
          <w:rFonts w:ascii="Times New Roman" w:hAnsi="Times New Roman"/>
          <w:b/>
        </w:rPr>
        <w:t>s ú h l a s í</w:t>
      </w:r>
    </w:p>
    <w:p w:rsidR="002E0F39" w:rsidRPr="00F914C4" w:rsidP="002E0F39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520EAC" w:rsidRPr="000F667E" w:rsidP="00520EAC">
      <w:pPr>
        <w:pStyle w:val="ListParagraph"/>
        <w:bidi w:val="0"/>
        <w:ind w:left="0" w:firstLine="1134"/>
        <w:jc w:val="both"/>
        <w:rPr>
          <w:rFonts w:ascii="Times New Roman" w:hAnsi="Times New Roman" w:cs="Arial"/>
          <w:noProof/>
        </w:rPr>
      </w:pPr>
      <w:r w:rsidRPr="00F914C4" w:rsidR="00397B4E">
        <w:rPr>
          <w:rFonts w:ascii="Times New Roman" w:hAnsi="Times New Roman" w:cs="Arial"/>
          <w:noProof/>
        </w:rPr>
        <w:t>s</w:t>
      </w:r>
      <w:r w:rsidRPr="00F914C4" w:rsidR="00C516A7">
        <w:rPr>
          <w:rFonts w:ascii="Times New Roman" w:hAnsi="Times New Roman" w:cs="Arial"/>
          <w:noProof/>
        </w:rPr>
        <w:t> </w:t>
      </w:r>
      <w:r w:rsidRPr="00F914C4" w:rsidR="008F6FDE">
        <w:rPr>
          <w:rFonts w:ascii="Times New Roman" w:hAnsi="Times New Roman" w:cs="Arial"/>
          <w:noProof/>
        </w:rPr>
        <w:t xml:space="preserve">vládnym návrhom </w:t>
      </w:r>
      <w:r w:rsidRPr="000F667E">
        <w:rPr>
          <w:rFonts w:ascii="Times New Roman" w:hAnsi="Times New Roman"/>
        </w:rPr>
        <w:t>zákona o občianskoprávnej zodpovednosti za jadrovú škodu a o jej finančnom krytí a o zmene a doplnení niektorých zákonov (tlač 1329)</w:t>
      </w:r>
      <w:r>
        <w:rPr>
          <w:rFonts w:ascii="Times New Roman" w:hAnsi="Times New Roman"/>
        </w:rPr>
        <w:t>;</w:t>
      </w:r>
    </w:p>
    <w:p w:rsidR="00520EAC" w:rsidP="00520EAC">
      <w:pPr>
        <w:pStyle w:val="ListParagraph"/>
        <w:bidi w:val="0"/>
        <w:ind w:left="4956" w:hanging="703"/>
        <w:rPr>
          <w:rFonts w:ascii="Times New Roman" w:hAnsi="Times New Roman"/>
        </w:rPr>
      </w:pPr>
    </w:p>
    <w:p w:rsidR="002C748C" w:rsidRPr="00F914C4" w:rsidP="002C748C">
      <w:pPr>
        <w:pStyle w:val="TxBrp9"/>
        <w:bidi w:val="0"/>
        <w:spacing w:line="240" w:lineRule="auto"/>
        <w:ind w:left="3402"/>
        <w:rPr>
          <w:rFonts w:ascii="Times New Roman" w:hAnsi="Times New Roman"/>
          <w:sz w:val="24"/>
        </w:rPr>
      </w:pPr>
    </w:p>
    <w:p w:rsidR="002E0F39" w:rsidRPr="00F914C4" w:rsidP="002E0F39">
      <w:pPr>
        <w:bidi w:val="0"/>
        <w:rPr>
          <w:rFonts w:ascii="Times New Roman" w:hAnsi="Times New Roman"/>
          <w:b/>
        </w:rPr>
      </w:pPr>
      <w:r w:rsidRPr="00F914C4">
        <w:rPr>
          <w:rFonts w:ascii="Times New Roman" w:hAnsi="Times New Roman"/>
        </w:rPr>
        <w:tab/>
      </w:r>
      <w:r w:rsidRPr="00F914C4">
        <w:rPr>
          <w:rFonts w:ascii="Times New Roman" w:hAnsi="Times New Roman"/>
          <w:b/>
        </w:rPr>
        <w:t>B.   o d p o r ú č a</w:t>
      </w:r>
    </w:p>
    <w:p w:rsidR="002E0F39" w:rsidRPr="00F914C4" w:rsidP="002E0F39">
      <w:pPr>
        <w:bidi w:val="0"/>
        <w:rPr>
          <w:rFonts w:ascii="Times New Roman" w:hAnsi="Times New Roman"/>
        </w:rPr>
      </w:pPr>
    </w:p>
    <w:p w:rsidR="002E0F39" w:rsidRPr="00F914C4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F914C4">
        <w:rPr>
          <w:rFonts w:ascii="Times New Roman" w:hAnsi="Times New Roman"/>
        </w:rPr>
        <w:tab/>
        <w:t>Národnej rade Slovenskej republiky</w:t>
      </w:r>
    </w:p>
    <w:p w:rsidR="002D7999" w:rsidRPr="00F914C4" w:rsidP="002D7999">
      <w:pPr>
        <w:bidi w:val="0"/>
        <w:jc w:val="both"/>
        <w:rPr>
          <w:rFonts w:ascii="Times New Roman" w:hAnsi="Times New Roman"/>
        </w:rPr>
      </w:pPr>
    </w:p>
    <w:p w:rsidR="002E0F39" w:rsidRPr="00520EAC" w:rsidP="00520EAC">
      <w:pPr>
        <w:pStyle w:val="ListParagraph"/>
        <w:bidi w:val="0"/>
        <w:ind w:left="0" w:firstLine="1134"/>
        <w:jc w:val="both"/>
        <w:rPr>
          <w:rFonts w:ascii="Times New Roman" w:hAnsi="Times New Roman" w:cs="Arial"/>
          <w:noProof/>
        </w:rPr>
      </w:pPr>
      <w:r w:rsidRPr="00F914C4" w:rsidR="008F6FDE">
        <w:rPr>
          <w:rFonts w:ascii="Times New Roman" w:hAnsi="Times New Roman" w:cs="Arial"/>
          <w:noProof/>
        </w:rPr>
        <w:t>vládny návrh zákona</w:t>
      </w:r>
      <w:r w:rsidR="00520EAC">
        <w:rPr>
          <w:rFonts w:ascii="Times New Roman" w:hAnsi="Times New Roman" w:cs="Arial"/>
          <w:noProof/>
        </w:rPr>
        <w:t xml:space="preserve"> </w:t>
      </w:r>
      <w:r w:rsidRPr="000F667E" w:rsidR="00520EAC">
        <w:rPr>
          <w:rFonts w:ascii="Times New Roman" w:hAnsi="Times New Roman"/>
        </w:rPr>
        <w:t>o občianskoprávnej zodpovednosti za jadrovú škodu a o jej finančnom krytí a o zmene a doplnení niektorých zákonov (tlač 1329)</w:t>
      </w:r>
      <w:r w:rsidR="00520EAC">
        <w:rPr>
          <w:rFonts w:ascii="Times New Roman" w:hAnsi="Times New Roman"/>
        </w:rPr>
        <w:t xml:space="preserve"> </w:t>
      </w:r>
      <w:r w:rsidRPr="00520EAC">
        <w:rPr>
          <w:rFonts w:ascii="Times New Roman" w:hAnsi="Times New Roman"/>
          <w:b/>
        </w:rPr>
        <w:t>schváliť</w:t>
      </w:r>
      <w:r w:rsidRPr="00F914C4">
        <w:rPr>
          <w:rFonts w:ascii="Times New Roman" w:hAnsi="Times New Roman"/>
        </w:rPr>
        <w:t xml:space="preserve"> so zmenami a doplnkami uvedenými v prílohe tohto uznesenia;  </w:t>
      </w:r>
    </w:p>
    <w:p w:rsidR="00AD570A" w:rsidP="002E0F39">
      <w:pPr>
        <w:bidi w:val="0"/>
        <w:jc w:val="both"/>
        <w:rPr>
          <w:rFonts w:ascii="Times New Roman" w:hAnsi="Times New Roman"/>
        </w:rPr>
      </w:pPr>
    </w:p>
    <w:p w:rsidR="00520EAC" w:rsidRPr="00F914C4" w:rsidP="002E0F39">
      <w:pPr>
        <w:bidi w:val="0"/>
        <w:jc w:val="both"/>
        <w:rPr>
          <w:rFonts w:ascii="Times New Roman" w:hAnsi="Times New Roman"/>
        </w:rPr>
      </w:pPr>
    </w:p>
    <w:p w:rsidR="002E0F39" w:rsidRPr="00F914C4" w:rsidP="002E0F39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F914C4">
        <w:rPr>
          <w:rFonts w:ascii="Times New Roman" w:hAnsi="Times New Roman"/>
          <w:b/>
        </w:rPr>
        <w:t>C.</w:t>
        <w:tab/>
        <w:t>p o v e r u j e</w:t>
      </w:r>
    </w:p>
    <w:p w:rsidR="002E0F39" w:rsidRPr="00F914C4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F914C4">
        <w:rPr>
          <w:rFonts w:ascii="Times New Roman" w:hAnsi="Times New Roman"/>
        </w:rPr>
        <w:tab/>
      </w:r>
    </w:p>
    <w:p w:rsidR="002E0F39" w:rsidRPr="00F914C4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F914C4">
        <w:rPr>
          <w:rFonts w:ascii="Times New Roman" w:hAnsi="Times New Roman"/>
        </w:rPr>
        <w:tab/>
        <w:t xml:space="preserve">predsedu výboru </w:t>
      </w:r>
    </w:p>
    <w:p w:rsidR="002E0F39" w:rsidRPr="00F914C4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B7137E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F914C4" w:rsidR="002E0F39">
        <w:rPr>
          <w:rFonts w:ascii="Times New Roman" w:hAnsi="Times New Roman"/>
        </w:rPr>
        <w:tab/>
        <w:t>predložiť stanovisko výboru k uvedenému návrhu zákona predsedovi gestorského Výboru Národnej rady Slovenskej republiky pre</w:t>
      </w:r>
      <w:r w:rsidRPr="00F914C4" w:rsidR="00654129">
        <w:rPr>
          <w:rFonts w:ascii="Times New Roman" w:hAnsi="Times New Roman"/>
        </w:rPr>
        <w:t xml:space="preserve"> </w:t>
      </w:r>
      <w:r w:rsidR="00520EAC">
        <w:rPr>
          <w:rFonts w:ascii="Times New Roman" w:hAnsi="Times New Roman"/>
        </w:rPr>
        <w:t xml:space="preserve">hospodárske záležitosti. </w:t>
      </w:r>
    </w:p>
    <w:p w:rsidR="00520EAC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520EAC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520EAC" w:rsidRPr="00F914C4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327612" w:rsidRPr="00F914C4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2E0F39" w:rsidRPr="00F914C4" w:rsidP="002E0F39">
      <w:pPr>
        <w:bidi w:val="0"/>
        <w:jc w:val="both"/>
        <w:rPr>
          <w:rFonts w:ascii="Times New Roman" w:hAnsi="Times New Roman"/>
        </w:rPr>
      </w:pPr>
      <w:r w:rsidRPr="00F914C4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2E0F39" w:rsidRPr="00F914C4" w:rsidP="002E0F39">
      <w:pPr>
        <w:bidi w:val="0"/>
        <w:ind w:left="2124" w:firstLine="4989"/>
        <w:jc w:val="both"/>
        <w:rPr>
          <w:rFonts w:ascii="Times New Roman" w:hAnsi="Times New Roman"/>
        </w:rPr>
      </w:pPr>
      <w:r w:rsidRPr="00F914C4">
        <w:rPr>
          <w:rFonts w:ascii="Times New Roman" w:hAnsi="Times New Roman"/>
        </w:rPr>
        <w:t xml:space="preserve">  predseda výboru</w:t>
      </w:r>
    </w:p>
    <w:p w:rsidR="002E0F39" w:rsidRPr="00F914C4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F914C4">
        <w:rPr>
          <w:rFonts w:ascii="Times New Roman" w:hAnsi="Times New Roman"/>
        </w:rPr>
        <w:t>overovatelia výboru:</w:t>
      </w:r>
    </w:p>
    <w:p w:rsidR="002E0F39" w:rsidRPr="00F914C4" w:rsidP="002E0F39">
      <w:pPr>
        <w:bidi w:val="0"/>
        <w:ind w:left="6480" w:hanging="6480"/>
        <w:jc w:val="both"/>
        <w:rPr>
          <w:rFonts w:ascii="Times New Roman" w:hAnsi="Times New Roman"/>
        </w:rPr>
      </w:pPr>
      <w:r w:rsidRPr="00F914C4">
        <w:rPr>
          <w:rFonts w:ascii="Times New Roman" w:hAnsi="Times New Roman"/>
        </w:rPr>
        <w:t>Anton Martvoň</w:t>
      </w:r>
    </w:p>
    <w:p w:rsidR="008F6FDE" w:rsidRPr="00F914C4" w:rsidP="008F6FDE">
      <w:pPr>
        <w:bidi w:val="0"/>
        <w:ind w:left="6480" w:hanging="6480"/>
        <w:jc w:val="both"/>
        <w:rPr>
          <w:rFonts w:ascii="Times New Roman" w:hAnsi="Times New Roman"/>
        </w:rPr>
      </w:pPr>
      <w:r w:rsidRPr="00F914C4">
        <w:rPr>
          <w:rFonts w:ascii="Times New Roman" w:hAnsi="Times New Roman"/>
        </w:rPr>
        <w:t>Miroslav Kadúc</w:t>
      </w:r>
    </w:p>
    <w:p w:rsidR="00600AA7" w:rsidP="00455EBD">
      <w:pPr>
        <w:bidi w:val="0"/>
        <w:ind w:left="4923" w:firstLine="708"/>
        <w:jc w:val="both"/>
        <w:rPr>
          <w:rFonts w:ascii="Times New Roman" w:hAnsi="Times New Roman"/>
          <w:b/>
        </w:rPr>
      </w:pPr>
    </w:p>
    <w:p w:rsidR="002E0F39" w:rsidRPr="002E0F39" w:rsidP="00455EBD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P r í l o h a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 w:rsidRPr="002E0F39">
        <w:rPr>
          <w:rFonts w:ascii="Times New Roman" w:hAnsi="Times New Roman"/>
          <w:b/>
          <w:bCs/>
        </w:rPr>
        <w:t xml:space="preserve">k uzneseniu Ústavnoprávneho 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 xml:space="preserve">výboru Národnej rady SR č. </w:t>
      </w:r>
      <w:r w:rsidR="00E95582">
        <w:rPr>
          <w:rFonts w:ascii="Times New Roman" w:hAnsi="Times New Roman"/>
          <w:b/>
        </w:rPr>
        <w:t>561</w:t>
      </w:r>
    </w:p>
    <w:p w:rsidR="002E0F39" w:rsidRPr="00D76361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D76361" w:rsidR="00B252E1">
        <w:rPr>
          <w:rFonts w:ascii="Times New Roman" w:hAnsi="Times New Roman"/>
          <w:b/>
        </w:rPr>
        <w:t>z</w:t>
      </w:r>
      <w:r w:rsidRPr="00D76361" w:rsidR="00E67422">
        <w:rPr>
          <w:rFonts w:ascii="Times New Roman" w:hAnsi="Times New Roman"/>
          <w:b/>
        </w:rPr>
        <w:t> 2</w:t>
      </w:r>
      <w:r w:rsidRPr="00D76361" w:rsidR="00D76361">
        <w:rPr>
          <w:rFonts w:ascii="Times New Roman" w:hAnsi="Times New Roman"/>
          <w:b/>
        </w:rPr>
        <w:t>6</w:t>
      </w:r>
      <w:r w:rsidRPr="00D76361" w:rsidR="00E67422">
        <w:rPr>
          <w:rFonts w:ascii="Times New Roman" w:hAnsi="Times New Roman"/>
          <w:b/>
        </w:rPr>
        <w:t>. februára</w:t>
      </w:r>
      <w:r w:rsidRPr="00D76361" w:rsidR="00F02EE6">
        <w:rPr>
          <w:rFonts w:ascii="Times New Roman" w:hAnsi="Times New Roman"/>
          <w:b/>
        </w:rPr>
        <w:t xml:space="preserve"> 2015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 w:rsidRPr="002E0F39">
        <w:rPr>
          <w:rFonts w:ascii="Times New Roman" w:hAnsi="Times New Roman"/>
          <w:b/>
          <w:bCs/>
        </w:rPr>
        <w:t>___________________________</w:t>
      </w:r>
      <w:r w:rsidR="00386D14">
        <w:rPr>
          <w:rFonts w:ascii="Times New Roman" w:hAnsi="Times New Roman"/>
          <w:b/>
          <w:bCs/>
        </w:rPr>
        <w:t>_</w:t>
      </w:r>
    </w:p>
    <w:p w:rsidR="002E0F39" w:rsidRP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8E676A" w:rsidP="00950A54">
      <w:pPr>
        <w:bidi w:val="0"/>
        <w:rPr>
          <w:rFonts w:ascii="Times New Roman" w:hAnsi="Times New Roman"/>
          <w:lang w:eastAsia="en-US"/>
        </w:rPr>
      </w:pPr>
    </w:p>
    <w:p w:rsidR="008E676A" w:rsidRP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RP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RPr="002E0F39" w:rsidP="002E0F39">
      <w:pPr>
        <w:pStyle w:val="Heading2"/>
        <w:bidi w:val="0"/>
        <w:ind w:left="0" w:firstLine="0"/>
        <w:jc w:val="center"/>
        <w:rPr>
          <w:rFonts w:hint="default"/>
        </w:rPr>
      </w:pPr>
      <w:r w:rsidRPr="002E0F39">
        <w:rPr>
          <w:rFonts w:hint="default"/>
        </w:rPr>
        <w:t>Pozmeň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a </w:t>
      </w:r>
      <w:r w:rsidRPr="002E0F39">
        <w:rPr>
          <w:rFonts w:hint="default"/>
        </w:rPr>
        <w:t>doplň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ná</w:t>
      </w:r>
      <w:r w:rsidRPr="002E0F39">
        <w:rPr>
          <w:rFonts w:hint="default"/>
        </w:rPr>
        <w:t>vrhy</w:t>
      </w:r>
    </w:p>
    <w:p w:rsidR="002E0F39" w:rsidRPr="0015407E" w:rsidP="002E0F39">
      <w:pPr>
        <w:bidi w:val="0"/>
        <w:rPr>
          <w:rFonts w:ascii="Times New Roman" w:hAnsi="Times New Roman"/>
          <w:b/>
          <w:lang w:eastAsia="en-US"/>
        </w:rPr>
      </w:pPr>
      <w:r w:rsidRPr="002E0F39">
        <w:rPr>
          <w:rFonts w:ascii="Times New Roman" w:hAnsi="Times New Roman"/>
          <w:b/>
          <w:lang w:eastAsia="en-US"/>
        </w:rPr>
        <w:t xml:space="preserve"> </w:t>
      </w:r>
    </w:p>
    <w:p w:rsidR="00520EAC" w:rsidRPr="00520EAC" w:rsidP="00520EAC">
      <w:pPr>
        <w:pStyle w:val="ListParagraph"/>
        <w:bidi w:val="0"/>
        <w:ind w:left="0"/>
        <w:jc w:val="both"/>
        <w:rPr>
          <w:rFonts w:ascii="Times New Roman" w:hAnsi="Times New Roman" w:cs="Arial"/>
          <w:b/>
          <w:noProof/>
        </w:rPr>
      </w:pPr>
      <w:r w:rsidRPr="00520EAC" w:rsidR="0011659C">
        <w:rPr>
          <w:rFonts w:ascii="Times New Roman" w:eastAsia="Arial Unicode MS" w:hAnsi="Times New Roman"/>
          <w:b/>
          <w:bCs/>
          <w:lang w:eastAsia="en-US"/>
        </w:rPr>
        <w:t>k</w:t>
      </w:r>
      <w:r w:rsidRPr="00520EAC" w:rsidR="00413C8B">
        <w:rPr>
          <w:rFonts w:ascii="Times New Roman" w:eastAsia="Arial Unicode MS" w:hAnsi="Times New Roman"/>
          <w:b/>
          <w:bCs/>
          <w:lang w:eastAsia="en-US"/>
        </w:rPr>
        <w:t> </w:t>
      </w:r>
      <w:r w:rsidRPr="00520EAC" w:rsidR="008F6FDE">
        <w:rPr>
          <w:rFonts w:ascii="Times New Roman" w:eastAsia="Arial Unicode MS" w:hAnsi="Times New Roman" w:hint="default"/>
          <w:b/>
          <w:bCs/>
          <w:lang w:eastAsia="en-US"/>
        </w:rPr>
        <w:t>vlá</w:t>
      </w:r>
      <w:r w:rsidRPr="00520EAC" w:rsidR="008F6FDE">
        <w:rPr>
          <w:rFonts w:ascii="Times New Roman" w:eastAsia="Arial Unicode MS" w:hAnsi="Times New Roman" w:hint="default"/>
          <w:b/>
          <w:bCs/>
          <w:lang w:eastAsia="en-US"/>
        </w:rPr>
        <w:t>dnemu ná</w:t>
      </w:r>
      <w:r w:rsidRPr="00520EAC" w:rsidR="008F6FDE">
        <w:rPr>
          <w:rFonts w:ascii="Times New Roman" w:eastAsia="Arial Unicode MS" w:hAnsi="Times New Roman" w:hint="default"/>
          <w:b/>
          <w:bCs/>
          <w:lang w:eastAsia="en-US"/>
        </w:rPr>
        <w:t xml:space="preserve">vrhu </w:t>
      </w:r>
      <w:r w:rsidRPr="00520EAC">
        <w:rPr>
          <w:rFonts w:ascii="Times New Roman" w:eastAsia="Arial Unicode MS" w:hAnsi="Times New Roman" w:hint="default"/>
          <w:b/>
          <w:bCs/>
          <w:lang w:eastAsia="en-US"/>
        </w:rPr>
        <w:t>zá</w:t>
      </w:r>
      <w:r w:rsidRPr="00520EAC">
        <w:rPr>
          <w:rFonts w:ascii="Times New Roman" w:eastAsia="Arial Unicode MS" w:hAnsi="Times New Roman" w:hint="default"/>
          <w:b/>
          <w:bCs/>
          <w:lang w:eastAsia="en-US"/>
        </w:rPr>
        <w:t xml:space="preserve">kona </w:t>
      </w:r>
      <w:r w:rsidRPr="00520EAC">
        <w:rPr>
          <w:rFonts w:ascii="Times New Roman" w:hAnsi="Times New Roman"/>
          <w:b/>
        </w:rPr>
        <w:t>o občianskoprávnej zodpovednosti za jadrovú škodu a o jej finančnom krytí a o zmene a doplnení niektorých zákonov (tlač 1329)</w:t>
      </w:r>
    </w:p>
    <w:p w:rsidR="00A937C3" w:rsidRPr="00F02EE6" w:rsidP="00F02EE6">
      <w:pPr>
        <w:bidi w:val="0"/>
        <w:jc w:val="both"/>
        <w:rPr>
          <w:rFonts w:ascii="Times New Roman" w:eastAsia="Arial Unicode MS" w:hAnsi="Times New Roman"/>
          <w:b/>
          <w:bCs/>
          <w:lang w:eastAsia="en-US"/>
        </w:rPr>
      </w:pPr>
      <w:r w:rsidRPr="00F02EE6">
        <w:rPr>
          <w:rFonts w:ascii="Times New Roman" w:eastAsia="Arial Unicode MS" w:hAnsi="Times New Roman"/>
          <w:b/>
          <w:bCs/>
          <w:lang w:eastAsia="en-US"/>
        </w:rPr>
        <w:t>___________________________________________________________________________</w:t>
      </w:r>
    </w:p>
    <w:p w:rsidR="002E0F39" w:rsidP="002E0F39">
      <w:pPr>
        <w:bidi w:val="0"/>
        <w:jc w:val="both"/>
        <w:rPr>
          <w:rFonts w:ascii="Times New Roman" w:eastAsia="Arial Unicode MS" w:hAnsi="Times New Roman"/>
          <w:b/>
          <w:bCs/>
          <w:lang w:eastAsia="en-US"/>
        </w:rPr>
      </w:pPr>
    </w:p>
    <w:p w:rsidR="001B2E52" w:rsidP="002E0F39">
      <w:pPr>
        <w:bidi w:val="0"/>
        <w:jc w:val="both"/>
        <w:rPr>
          <w:rFonts w:ascii="Times New Roman" w:eastAsia="Arial Unicode MS" w:hAnsi="Times New Roman"/>
          <w:b/>
          <w:bCs/>
          <w:lang w:eastAsia="en-US"/>
        </w:rPr>
      </w:pPr>
    </w:p>
    <w:p w:rsidR="001B2E52" w:rsidP="001B2E52">
      <w:pPr>
        <w:bidi w:val="0"/>
        <w:spacing w:line="360" w:lineRule="auto"/>
        <w:ind w:left="360"/>
        <w:jc w:val="center"/>
        <w:rPr>
          <w:rFonts w:ascii="Times New Roman" w:hAnsi="Times New Roman"/>
          <w:b/>
        </w:rPr>
      </w:pPr>
    </w:p>
    <w:p w:rsidR="001B2E52" w:rsidP="001B2E52">
      <w:pPr>
        <w:pStyle w:val="BodyText"/>
        <w:numPr>
          <w:ilvl w:val="0"/>
          <w:numId w:val="10"/>
        </w:numPr>
        <w:suppressAutoHyphens/>
        <w:bidi w:val="0"/>
        <w:spacing w:line="360" w:lineRule="auto"/>
        <w:ind w:hanging="1070"/>
        <w:rPr>
          <w:rFonts w:ascii="Times New Roman" w:hAnsi="Times New Roman"/>
          <w:color w:val="000000"/>
          <w:shd w:val="clear" w:color="auto" w:fill="00FF00"/>
        </w:rPr>
      </w:pPr>
      <w:r>
        <w:rPr>
          <w:rFonts w:ascii="Times New Roman" w:hAnsi="Times New Roman"/>
          <w:color w:val="000000"/>
        </w:rPr>
        <w:t xml:space="preserve">V čl. I, § 4 ods. 3 sa vypúšťajú slová „zmluvným alebo iným spôsobom“.   </w:t>
      </w:r>
    </w:p>
    <w:p w:rsidR="001B2E52" w:rsidP="001B2E52">
      <w:pPr>
        <w:pStyle w:val="Textkomentra1"/>
        <w:bidi w:val="0"/>
        <w:spacing w:after="0" w:line="240" w:lineRule="auto"/>
        <w:ind w:left="3969"/>
        <w:rPr>
          <w:rStyle w:val="Emphasis"/>
          <w:i w:val="0"/>
          <w:iCs w:val="0"/>
          <w:sz w:val="24"/>
          <w:szCs w:val="24"/>
          <w:lang w:val="sk-SK"/>
        </w:rPr>
      </w:pPr>
    </w:p>
    <w:p w:rsidR="001B2E52" w:rsidP="001B2E52">
      <w:pPr>
        <w:pStyle w:val="Textkomentra1"/>
        <w:bidi w:val="0"/>
        <w:spacing w:after="0" w:line="240" w:lineRule="auto"/>
        <w:ind w:left="3969"/>
        <w:rPr>
          <w:rStyle w:val="Emphasis"/>
          <w:i w:val="0"/>
          <w:iCs w:val="0"/>
          <w:sz w:val="22"/>
          <w:szCs w:val="22"/>
          <w:shd w:val="clear" w:color="auto" w:fill="00FF00"/>
          <w:lang w:val="sk-SK"/>
        </w:rPr>
      </w:pPr>
      <w:r>
        <w:rPr>
          <w:rStyle w:val="Emphasis"/>
          <w:i w:val="0"/>
          <w:iCs w:val="0"/>
          <w:sz w:val="24"/>
          <w:szCs w:val="24"/>
        </w:rPr>
        <w:t>Ide o legislatívno-technickú úpravu; ustanovenie sa precizuje</w:t>
      </w:r>
      <w:r>
        <w:rPr>
          <w:rStyle w:val="Emphasis"/>
          <w:i w:val="0"/>
          <w:iCs w:val="0"/>
          <w:sz w:val="24"/>
          <w:szCs w:val="24"/>
          <w:lang w:val="sk-SK"/>
        </w:rPr>
        <w:t xml:space="preserve"> s v kontexte návrhu zákona </w:t>
      </w:r>
      <w:r>
        <w:rPr>
          <w:rStyle w:val="Emphasis"/>
          <w:iCs w:val="0"/>
          <w:sz w:val="24"/>
          <w:szCs w:val="24"/>
          <w:lang w:val="sk-SK"/>
        </w:rPr>
        <w:t>(</w:t>
      </w:r>
      <w:r>
        <w:rPr>
          <w:rStyle w:val="Emphasis"/>
          <w:iCs w:val="0"/>
          <w:sz w:val="22"/>
          <w:szCs w:val="22"/>
          <w:lang w:val="sk-SK"/>
        </w:rPr>
        <w:t>napr.§ 4 ods. 4)</w:t>
      </w:r>
      <w:r>
        <w:rPr>
          <w:rStyle w:val="Emphasis"/>
          <w:i w:val="0"/>
          <w:iCs w:val="0"/>
          <w:sz w:val="22"/>
          <w:szCs w:val="22"/>
          <w:lang w:val="sk-SK"/>
        </w:rPr>
        <w:t xml:space="preserve">. </w:t>
      </w:r>
    </w:p>
    <w:p w:rsidR="001B2E52" w:rsidP="001B2E52">
      <w:pPr>
        <w:pStyle w:val="Textkomentra1"/>
        <w:bidi w:val="0"/>
        <w:spacing w:after="0" w:line="240" w:lineRule="auto"/>
        <w:ind w:left="3969"/>
        <w:rPr>
          <w:rStyle w:val="Emphasis"/>
          <w:i w:val="0"/>
          <w:iCs w:val="0"/>
          <w:sz w:val="24"/>
          <w:szCs w:val="24"/>
          <w:shd w:val="clear" w:color="auto" w:fill="00FF00"/>
          <w:lang w:val="sk-SK"/>
        </w:rPr>
      </w:pPr>
    </w:p>
    <w:p w:rsidR="001B2E52" w:rsidP="001B2E52">
      <w:pPr>
        <w:pStyle w:val="PlainText"/>
        <w:numPr>
          <w:ilvl w:val="0"/>
          <w:numId w:val="10"/>
        </w:numPr>
        <w:bidi w:val="0"/>
        <w:spacing w:line="360" w:lineRule="auto"/>
        <w:ind w:left="284" w:hanging="284"/>
        <w:jc w:val="both"/>
        <w:rPr>
          <w:b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 čl. I, § 4 ods. 4 prvej vete sa za slová „jadrového zariadenia“ vkladajú slová „a na základe zmluvy medzi dopravcom a prevádzkovateľom jadrového zariadenia“. </w:t>
      </w:r>
    </w:p>
    <w:p w:rsidR="001B2E52" w:rsidP="001B2E52">
      <w:pPr>
        <w:pStyle w:val="PlainText"/>
        <w:bidi w:val="0"/>
        <w:ind w:left="284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1B2E52" w:rsidP="001B2E52">
      <w:pPr>
        <w:pStyle w:val="Textkomentra1"/>
        <w:bidi w:val="0"/>
        <w:spacing w:after="0" w:line="240" w:lineRule="auto"/>
        <w:ind w:left="3969"/>
        <w:rPr>
          <w:rStyle w:val="Emphasis"/>
          <w:i w:val="0"/>
          <w:iCs w:val="0"/>
          <w:sz w:val="22"/>
          <w:szCs w:val="22"/>
          <w:shd w:val="clear" w:color="auto" w:fill="00FF00"/>
          <w:lang w:val="sk-SK"/>
        </w:rPr>
      </w:pPr>
      <w:r>
        <w:rPr>
          <w:rStyle w:val="Emphasis"/>
          <w:i w:val="0"/>
          <w:iCs w:val="0"/>
          <w:sz w:val="24"/>
          <w:szCs w:val="24"/>
        </w:rPr>
        <w:t>Ide o legislatívno-technickú úpravu; ustanovenie sa precizuje</w:t>
      </w:r>
      <w:r>
        <w:rPr>
          <w:rStyle w:val="Emphasis"/>
          <w:i w:val="0"/>
          <w:iCs w:val="0"/>
          <w:sz w:val="24"/>
          <w:szCs w:val="24"/>
          <w:lang w:val="sk-SK"/>
        </w:rPr>
        <w:t xml:space="preserve"> s v kontexte návrhu zákona </w:t>
      </w:r>
      <w:r>
        <w:rPr>
          <w:rStyle w:val="Emphasis"/>
          <w:iCs w:val="0"/>
          <w:sz w:val="22"/>
          <w:szCs w:val="22"/>
          <w:lang w:val="sk-SK"/>
        </w:rPr>
        <w:t>(napr.§ 4 ods. 3).</w:t>
      </w:r>
      <w:r>
        <w:rPr>
          <w:rStyle w:val="Emphasis"/>
          <w:i w:val="0"/>
          <w:iCs w:val="0"/>
          <w:sz w:val="22"/>
          <w:szCs w:val="22"/>
          <w:lang w:val="sk-SK"/>
        </w:rPr>
        <w:t xml:space="preserve"> </w:t>
      </w:r>
    </w:p>
    <w:p w:rsidR="001B2E52" w:rsidP="001B2E52">
      <w:pPr>
        <w:pStyle w:val="Textkomentra1"/>
        <w:bidi w:val="0"/>
        <w:spacing w:after="0" w:line="240" w:lineRule="auto"/>
        <w:ind w:left="1070"/>
        <w:rPr>
          <w:rStyle w:val="Emphasis"/>
          <w:i w:val="0"/>
          <w:iCs w:val="0"/>
          <w:sz w:val="24"/>
          <w:szCs w:val="24"/>
          <w:shd w:val="clear" w:color="auto" w:fill="00FF00"/>
          <w:lang w:val="sk-SK"/>
        </w:rPr>
      </w:pPr>
    </w:p>
    <w:p w:rsidR="001B2E52" w:rsidP="001B2E52">
      <w:pPr>
        <w:numPr>
          <w:ilvl w:val="0"/>
          <w:numId w:val="10"/>
        </w:numPr>
        <w:suppressAutoHyphens/>
        <w:bidi w:val="0"/>
        <w:spacing w:line="360" w:lineRule="auto"/>
        <w:ind w:left="284" w:hanging="28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V čl. I, § 4 ods. 6 sa slová  „okrem toho ak je splnená podmienka podľa odseku 7“ nahrádzajú slovami „ak nejde o jedno jadrové zariadenie podľa odseku 7“.  </w:t>
      </w:r>
    </w:p>
    <w:p w:rsidR="001B2E52" w:rsidP="001B2E52">
      <w:pPr>
        <w:pStyle w:val="Textkomentra1"/>
        <w:bidi w:val="0"/>
        <w:spacing w:after="0" w:line="240" w:lineRule="auto"/>
        <w:ind w:left="720"/>
      </w:pPr>
    </w:p>
    <w:p w:rsidR="001B2E52" w:rsidP="001B2E52">
      <w:pPr>
        <w:pStyle w:val="Textkomentra1"/>
        <w:bidi w:val="0"/>
        <w:spacing w:after="0" w:line="240" w:lineRule="auto"/>
        <w:ind w:left="3969"/>
        <w:rPr>
          <w:rStyle w:val="Emphasis"/>
          <w:i w:val="0"/>
          <w:iCs w:val="0"/>
          <w:sz w:val="24"/>
          <w:szCs w:val="24"/>
        </w:rPr>
      </w:pPr>
      <w:r>
        <w:rPr>
          <w:rStyle w:val="Emphasis"/>
          <w:i w:val="0"/>
          <w:iCs w:val="0"/>
          <w:sz w:val="24"/>
          <w:szCs w:val="24"/>
        </w:rPr>
        <w:t>Ide o legislatívno-technickú úpravu; ustanovenie sa precizuje s ohľadom na</w:t>
      </w:r>
      <w:r>
        <w:rPr>
          <w:rStyle w:val="Emphasis"/>
          <w:i w:val="0"/>
          <w:iCs w:val="0"/>
          <w:sz w:val="24"/>
          <w:szCs w:val="24"/>
          <w:lang w:val="sk-SK"/>
        </w:rPr>
        <w:t xml:space="preserve"> úpravu v</w:t>
      </w:r>
      <w:r>
        <w:rPr>
          <w:rStyle w:val="Emphasis"/>
          <w:i w:val="0"/>
          <w:iCs w:val="0"/>
          <w:sz w:val="24"/>
          <w:szCs w:val="24"/>
        </w:rPr>
        <w:t xml:space="preserve"> odsek</w:t>
      </w:r>
      <w:r>
        <w:rPr>
          <w:rStyle w:val="Emphasis"/>
          <w:i w:val="0"/>
          <w:iCs w:val="0"/>
          <w:sz w:val="24"/>
          <w:szCs w:val="24"/>
          <w:lang w:val="sk-SK"/>
        </w:rPr>
        <w:t>u</w:t>
      </w:r>
      <w:r>
        <w:rPr>
          <w:rStyle w:val="Emphasis"/>
          <w:i w:val="0"/>
          <w:iCs w:val="0"/>
          <w:sz w:val="24"/>
          <w:szCs w:val="24"/>
        </w:rPr>
        <w:t xml:space="preserve"> 7 </w:t>
      </w:r>
      <w:r>
        <w:rPr>
          <w:rStyle w:val="Emphasis"/>
          <w:iCs w:val="0"/>
          <w:sz w:val="24"/>
          <w:szCs w:val="24"/>
        </w:rPr>
        <w:t>(§ 4)</w:t>
      </w:r>
      <w:r>
        <w:rPr>
          <w:rStyle w:val="Emphasis"/>
          <w:iCs w:val="0"/>
          <w:sz w:val="24"/>
          <w:szCs w:val="24"/>
          <w:lang w:val="sk-SK"/>
        </w:rPr>
        <w:t>.</w:t>
      </w:r>
      <w:r>
        <w:rPr>
          <w:rStyle w:val="Emphasis"/>
          <w:i w:val="0"/>
          <w:iCs w:val="0"/>
          <w:sz w:val="24"/>
          <w:szCs w:val="24"/>
        </w:rPr>
        <w:t xml:space="preserve">   </w:t>
      </w:r>
    </w:p>
    <w:p w:rsidR="001B2E52" w:rsidP="001B2E52">
      <w:pPr>
        <w:bidi w:val="0"/>
        <w:ind w:left="284"/>
        <w:jc w:val="both"/>
        <w:rPr>
          <w:rFonts w:ascii="Times New Roman" w:hAnsi="Times New Roman"/>
        </w:rPr>
      </w:pPr>
    </w:p>
    <w:p w:rsidR="001B2E52" w:rsidP="001B2E52">
      <w:pPr>
        <w:numPr>
          <w:ilvl w:val="0"/>
          <w:numId w:val="10"/>
        </w:numPr>
        <w:suppressAutoHyphens/>
        <w:bidi w:val="0"/>
        <w:spacing w:line="360" w:lineRule="auto"/>
        <w:ind w:left="284" w:hanging="284"/>
        <w:jc w:val="both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V  čl. I, § 4 odsek 7 znie: </w:t>
      </w:r>
    </w:p>
    <w:p w:rsidR="001B2E52" w:rsidP="001B2E52">
      <w:pPr>
        <w:bidi w:val="0"/>
        <w:spacing w:line="36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„(7) Ak má jeden prevádzkovateľ viac jadrových zariadení s rovnakým alebo rozdielnym určením alebo životným cyklom a zároveň je pre tieto jadrové zariadenia schválený spoločný vnútorný havarijný plán,</w:t>
      </w:r>
      <w:r>
        <w:rPr>
          <w:rFonts w:ascii="Times New Roman" w:hAnsi="Times New Roman"/>
          <w:vertAlign w:val="superscript"/>
        </w:rPr>
        <w:t>9</w:t>
      </w:r>
      <w:r>
        <w:rPr>
          <w:rFonts w:ascii="Times New Roman" w:hAnsi="Times New Roman"/>
        </w:rPr>
        <w:t>)  považujú sa tieto jadrové zariadenia za jedno jadrové zariadenie.“.</w:t>
      </w:r>
    </w:p>
    <w:p w:rsidR="001B2E52" w:rsidP="001B2E52">
      <w:pPr>
        <w:pStyle w:val="Textkomentra1"/>
        <w:bidi w:val="0"/>
        <w:spacing w:after="0" w:line="240" w:lineRule="auto"/>
        <w:ind w:left="3969"/>
        <w:jc w:val="both"/>
        <w:rPr>
          <w:rStyle w:val="Emphasis"/>
          <w:iCs w:val="0"/>
          <w:sz w:val="24"/>
          <w:szCs w:val="24"/>
        </w:rPr>
      </w:pPr>
      <w:r>
        <w:rPr>
          <w:rStyle w:val="Emphasis"/>
          <w:i w:val="0"/>
          <w:iCs w:val="0"/>
          <w:sz w:val="24"/>
          <w:szCs w:val="24"/>
        </w:rPr>
        <w:t>Ide o legislatívno-technickú úpravu</w:t>
      </w:r>
      <w:r>
        <w:rPr>
          <w:rStyle w:val="Emphasis"/>
          <w:i w:val="0"/>
          <w:iCs w:val="0"/>
        </w:rPr>
        <w:t xml:space="preserve">; </w:t>
      </w:r>
      <w:r>
        <w:rPr>
          <w:rStyle w:val="Emphasis"/>
          <w:i w:val="0"/>
          <w:iCs w:val="0"/>
          <w:sz w:val="24"/>
          <w:szCs w:val="24"/>
        </w:rPr>
        <w:t>ustanovenie sa</w:t>
      </w:r>
      <w:r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  <w:sz w:val="24"/>
          <w:szCs w:val="24"/>
        </w:rPr>
        <w:t xml:space="preserve"> gramaticky upravuje a spresňuje v kontexte </w:t>
      </w:r>
      <w:r>
        <w:rPr>
          <w:rStyle w:val="Emphasis"/>
          <w:i w:val="0"/>
          <w:iCs w:val="0"/>
          <w:sz w:val="24"/>
          <w:szCs w:val="24"/>
          <w:lang w:val="sk-SK"/>
        </w:rPr>
        <w:t xml:space="preserve">návrhu </w:t>
      </w:r>
      <w:r>
        <w:rPr>
          <w:rStyle w:val="Emphasis"/>
          <w:i w:val="0"/>
          <w:iCs w:val="0"/>
          <w:sz w:val="24"/>
          <w:szCs w:val="24"/>
        </w:rPr>
        <w:t xml:space="preserve"> zákona</w:t>
      </w:r>
      <w:r>
        <w:rPr>
          <w:rStyle w:val="Emphasis"/>
          <w:i w:val="0"/>
          <w:iCs w:val="0"/>
          <w:sz w:val="24"/>
          <w:szCs w:val="24"/>
          <w:lang w:val="sk-SK"/>
        </w:rPr>
        <w:t xml:space="preserve"> a atómového zákona</w:t>
      </w:r>
      <w:r>
        <w:rPr>
          <w:rStyle w:val="Emphasis"/>
          <w:i w:val="0"/>
          <w:iCs w:val="0"/>
          <w:sz w:val="24"/>
          <w:szCs w:val="24"/>
        </w:rPr>
        <w:t xml:space="preserve"> (</w:t>
      </w:r>
      <w:r>
        <w:rPr>
          <w:rStyle w:val="Emphasis"/>
          <w:iCs w:val="0"/>
          <w:sz w:val="24"/>
          <w:szCs w:val="24"/>
          <w:lang w:val="sk-SK"/>
        </w:rPr>
        <w:t>zákon</w:t>
      </w:r>
      <w:r>
        <w:rPr>
          <w:rStyle w:val="Emphasis"/>
          <w:i w:val="0"/>
          <w:iCs w:val="0"/>
          <w:sz w:val="24"/>
          <w:szCs w:val="24"/>
          <w:lang w:val="sk-SK"/>
        </w:rPr>
        <w:t xml:space="preserve"> </w:t>
      </w:r>
      <w:r>
        <w:rPr>
          <w:rStyle w:val="Emphasis"/>
          <w:iCs w:val="0"/>
          <w:sz w:val="24"/>
          <w:szCs w:val="24"/>
        </w:rPr>
        <w:t xml:space="preserve">č. 541/2004 Z. z.)    </w:t>
      </w:r>
    </w:p>
    <w:p w:rsidR="001B2E52" w:rsidP="001B2E52">
      <w:pPr>
        <w:bidi w:val="0"/>
        <w:rPr>
          <w:rFonts w:ascii="Times New Roman" w:hAnsi="Times New Roman"/>
        </w:rPr>
      </w:pPr>
    </w:p>
    <w:p w:rsidR="001B2E52" w:rsidP="001B2E52">
      <w:pPr>
        <w:numPr>
          <w:ilvl w:val="0"/>
          <w:numId w:val="10"/>
        </w:numPr>
        <w:suppressAutoHyphens/>
        <w:bidi w:val="0"/>
        <w:spacing w:line="360" w:lineRule="auto"/>
        <w:ind w:left="426" w:hanging="426"/>
        <w:jc w:val="both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V čl. I, § 4 ods. 8 sa slová „</w:t>
      </w:r>
      <w:r>
        <w:rPr>
          <w:rFonts w:ascii="Times New Roman" w:hAnsi="Times New Roman"/>
          <w:color w:val="000000"/>
        </w:rPr>
        <w:t>podľa odseku 7 považovaných za jedno jadrové zariadenie“  nahrádzajú slovami „považovaných za jedno jadrové zariadenie</w:t>
      </w:r>
      <w:r>
        <w:rPr>
          <w:rStyle w:val="Emphasis"/>
          <w:i w:val="0"/>
          <w:iCs w:val="0"/>
        </w:rPr>
        <w:t> </w:t>
      </w:r>
      <w:r>
        <w:rPr>
          <w:rFonts w:ascii="Times New Roman" w:hAnsi="Times New Roman"/>
          <w:color w:val="000000"/>
        </w:rPr>
        <w:t>podľa odseku 7,“</w:t>
      </w:r>
      <w:r>
        <w:rPr>
          <w:rStyle w:val="Emphasis"/>
          <w:i w:val="0"/>
          <w:iCs w:val="0"/>
        </w:rPr>
        <w:t xml:space="preserve">. </w:t>
      </w:r>
    </w:p>
    <w:p w:rsidR="001B2E52" w:rsidP="001B2E52">
      <w:pPr>
        <w:bidi w:val="0"/>
        <w:ind w:left="3969"/>
        <w:jc w:val="both"/>
        <w:rPr>
          <w:rFonts w:ascii="Times New Roman" w:hAnsi="Times New Roman"/>
        </w:rPr>
      </w:pPr>
    </w:p>
    <w:p w:rsidR="001B2E52" w:rsidP="001B2E52">
      <w:pPr>
        <w:bidi w:val="0"/>
        <w:ind w:left="3969"/>
        <w:jc w:val="both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Ide o legislatívno-technickú úpravu; ustanovenie sa precizuje.  </w:t>
      </w:r>
    </w:p>
    <w:p w:rsidR="001B2E52" w:rsidP="001B2E52">
      <w:pPr>
        <w:bidi w:val="0"/>
        <w:ind w:left="3969"/>
        <w:jc w:val="both"/>
        <w:rPr>
          <w:rStyle w:val="Emphasis"/>
          <w:i w:val="0"/>
          <w:iCs w:val="0"/>
        </w:rPr>
      </w:pPr>
    </w:p>
    <w:p w:rsidR="001B2E52" w:rsidP="001B2E52">
      <w:pPr>
        <w:bidi w:val="0"/>
        <w:ind w:left="3402"/>
        <w:rPr>
          <w:rFonts w:ascii="Times New Roman" w:hAnsi="Times New Roman"/>
        </w:rPr>
      </w:pPr>
    </w:p>
    <w:p w:rsidR="001B2E52" w:rsidP="001B2E52">
      <w:pPr>
        <w:numPr>
          <w:ilvl w:val="0"/>
          <w:numId w:val="10"/>
        </w:numPr>
        <w:suppressAutoHyphens/>
        <w:bidi w:val="0"/>
        <w:spacing w:line="36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I, § 5 odsek 1 znie: </w:t>
      </w:r>
    </w:p>
    <w:p w:rsidR="001B2E52" w:rsidP="001B2E52">
      <w:pPr>
        <w:pStyle w:val="BodyText"/>
        <w:bidi w:val="0"/>
        <w:spacing w:line="360" w:lineRule="auto"/>
        <w:ind w:left="284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„(1) </w:t>
      </w:r>
      <w:r>
        <w:rPr>
          <w:rFonts w:ascii="Times New Roman" w:hAnsi="Times New Roman"/>
          <w:color w:val="000000"/>
        </w:rPr>
        <w:t>Prevádzkovateľ zodpovedá za každú jadrovú udalosť v dôsledku ktorej vznikla jadrová škoda počas uvádzania do prevádzky</w:t>
      </w:r>
      <w:r>
        <w:rPr>
          <w:rFonts w:ascii="Times New Roman" w:hAnsi="Times New Roman"/>
          <w:color w:val="000000"/>
          <w:vertAlign w:val="superscript"/>
        </w:rPr>
        <w:t>10</w:t>
      </w:r>
      <w:r>
        <w:rPr>
          <w:rFonts w:ascii="Times New Roman" w:hAnsi="Times New Roman"/>
          <w:color w:val="000000"/>
        </w:rPr>
        <w:t>) a počas prevádzky</w:t>
      </w:r>
      <w:r>
        <w:rPr>
          <w:rFonts w:ascii="Times New Roman" w:hAnsi="Times New Roman"/>
          <w:color w:val="000000"/>
          <w:vertAlign w:val="superscript"/>
        </w:rPr>
        <w:t>10</w:t>
      </w:r>
      <w:r>
        <w:rPr>
          <w:rFonts w:ascii="Times New Roman" w:hAnsi="Times New Roman"/>
          <w:color w:val="000000"/>
        </w:rPr>
        <w:t xml:space="preserve">) každého jadrového zariadenia </w:t>
      </w:r>
    </w:p>
    <w:p w:rsidR="001B2E52" w:rsidP="001B2E52">
      <w:pPr>
        <w:pStyle w:val="BodyText"/>
        <w:numPr>
          <w:numId w:val="11"/>
        </w:numPr>
        <w:tabs>
          <w:tab w:val="num" w:pos="567"/>
        </w:tabs>
        <w:bidi w:val="0"/>
        <w:spacing w:line="360" w:lineRule="auto"/>
        <w:ind w:left="567" w:hanging="28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 jadrovým reaktorom alebo jadrovými reaktormi</w:t>
      </w:r>
      <w:r>
        <w:rPr>
          <w:rFonts w:ascii="Times New Roman" w:hAnsi="Times New Roman"/>
          <w:color w:val="000000"/>
          <w:vertAlign w:val="superscript"/>
        </w:rPr>
        <w:t>11</w:t>
      </w:r>
      <w:r>
        <w:rPr>
          <w:rFonts w:ascii="Times New Roman" w:hAnsi="Times New Roman"/>
          <w:color w:val="000000"/>
        </w:rPr>
        <w:t xml:space="preserve">) slúžiacimi na energetické účely najviac do 300 000 000 eur, </w:t>
      </w:r>
    </w:p>
    <w:p w:rsidR="001B2E52" w:rsidP="001B2E52">
      <w:pPr>
        <w:pStyle w:val="BodyText"/>
        <w:numPr>
          <w:numId w:val="11"/>
        </w:numPr>
        <w:tabs>
          <w:tab w:val="num" w:pos="567"/>
        </w:tabs>
        <w:bidi w:val="0"/>
        <w:spacing w:line="360" w:lineRule="auto"/>
        <w:ind w:left="567" w:hanging="28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 jadrovým reaktorom alebo jadrovými reaktormi</w:t>
      </w:r>
      <w:r>
        <w:rPr>
          <w:rFonts w:ascii="Times New Roman" w:hAnsi="Times New Roman"/>
          <w:color w:val="000000"/>
          <w:vertAlign w:val="superscript"/>
        </w:rPr>
        <w:t>11</w:t>
      </w:r>
      <w:r>
        <w:rPr>
          <w:rFonts w:ascii="Times New Roman" w:hAnsi="Times New Roman"/>
          <w:color w:val="000000"/>
        </w:rPr>
        <w:t>) slúžiacimi výlučne na vedecké, pedagogické alebo výskumné účely najviac do 185 000 000 eur,</w:t>
      </w:r>
    </w:p>
    <w:p w:rsidR="001B2E52" w:rsidP="001B2E52">
      <w:pPr>
        <w:pStyle w:val="BodyText"/>
        <w:numPr>
          <w:numId w:val="11"/>
        </w:numPr>
        <w:tabs>
          <w:tab w:val="num" w:pos="567"/>
        </w:tabs>
        <w:bidi w:val="0"/>
        <w:spacing w:line="360" w:lineRule="auto"/>
        <w:ind w:left="567" w:hanging="28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na nakladanie s jadrovými materiálmi, na nakladanie s vyhoretým jadrovým palivom</w:t>
      </w:r>
      <w:r>
        <w:rPr>
          <w:rFonts w:ascii="Times New Roman" w:hAnsi="Times New Roman"/>
          <w:color w:val="000000"/>
          <w:vertAlign w:val="superscript"/>
        </w:rPr>
        <w:t>12</w:t>
      </w:r>
      <w:r>
        <w:rPr>
          <w:rFonts w:ascii="Times New Roman" w:hAnsi="Times New Roman"/>
          <w:color w:val="000000"/>
        </w:rPr>
        <w:t>) alebo na skladovanie, úpravu, spracovanie rádioaktívnych odpadov</w:t>
      </w:r>
      <w:r>
        <w:rPr>
          <w:rFonts w:ascii="Times New Roman" w:hAnsi="Times New Roman"/>
          <w:color w:val="000000"/>
          <w:vertAlign w:val="superscript"/>
        </w:rPr>
        <w:t>13</w:t>
      </w:r>
      <w:r>
        <w:rPr>
          <w:rFonts w:ascii="Times New Roman" w:hAnsi="Times New Roman"/>
          <w:color w:val="000000"/>
        </w:rPr>
        <w:t>) najviac do 185 </w:t>
      </w:r>
      <w:r>
        <w:rPr>
          <w:rFonts w:ascii="Times New Roman" w:hAnsi="Times New Roman"/>
          <w:color w:val="000000"/>
        </w:rPr>
        <w:t>000 000 eur.“.</w:t>
      </w:r>
    </w:p>
    <w:p w:rsidR="001B2E52" w:rsidP="001B2E52">
      <w:pPr>
        <w:pStyle w:val="BodyText"/>
        <w:bidi w:val="0"/>
        <w:ind w:left="567"/>
        <w:rPr>
          <w:rFonts w:ascii="Times New Roman" w:hAnsi="Times New Roman"/>
          <w:color w:val="000000"/>
        </w:rPr>
      </w:pPr>
    </w:p>
    <w:p w:rsidR="001B2E52" w:rsidP="001B2E52">
      <w:pPr>
        <w:pStyle w:val="BodyText"/>
        <w:bidi w:val="0"/>
        <w:ind w:left="3969"/>
        <w:rPr>
          <w:rFonts w:ascii="Times New Roman" w:hAnsi="Times New Roman"/>
          <w:color w:val="000000"/>
        </w:rPr>
      </w:pPr>
      <w:r>
        <w:rPr>
          <w:rStyle w:val="Emphasis"/>
          <w:i w:val="0"/>
          <w:iCs w:val="0"/>
        </w:rPr>
        <w:t xml:space="preserve">Ide o legislatívno-technickú úpravu; ustanovenie sa spresňuje a upravuje v súlade so zaužívanou legislatívnou technikou. </w:t>
      </w:r>
    </w:p>
    <w:p w:rsidR="001B2E52" w:rsidP="001B2E52">
      <w:pPr>
        <w:pStyle w:val="BodyText"/>
        <w:bidi w:val="0"/>
        <w:ind w:left="567"/>
        <w:rPr>
          <w:rFonts w:ascii="Times New Roman" w:hAnsi="Times New Roman"/>
          <w:color w:val="000000"/>
          <w:lang w:val="x-none"/>
        </w:rPr>
      </w:pPr>
    </w:p>
    <w:p w:rsidR="001B2E52" w:rsidP="001B2E52">
      <w:pPr>
        <w:pStyle w:val="BodyText"/>
        <w:numPr>
          <w:ilvl w:val="0"/>
          <w:numId w:val="10"/>
        </w:numPr>
        <w:bidi w:val="0"/>
        <w:spacing w:line="360" w:lineRule="auto"/>
        <w:ind w:left="284" w:hanging="284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V Čl. I, § 5 odseky 2 a 3 znejú:</w:t>
      </w:r>
    </w:p>
    <w:p w:rsidR="001B2E52" w:rsidP="001B2E52">
      <w:pPr>
        <w:pStyle w:val="BodyText"/>
        <w:bidi w:val="0"/>
        <w:spacing w:line="360" w:lineRule="auto"/>
        <w:ind w:left="426"/>
        <w:rPr>
          <w:rFonts w:ascii="Times New Roman" w:hAnsi="Times New Roman"/>
          <w:color w:val="000000"/>
          <w:lang w:val="x-none"/>
        </w:rPr>
      </w:pPr>
      <w:r>
        <w:rPr>
          <w:rFonts w:ascii="Times New Roman" w:hAnsi="Times New Roman"/>
          <w:color w:val="000000"/>
        </w:rPr>
        <w:t>„(2) Prevádzkovateľ zodpovedá za každú jadrovú udalosť, v dôsledku ktorej vznikla jadrová škoda v etape vyraďovania</w:t>
      </w:r>
      <w:r>
        <w:rPr>
          <w:rFonts w:ascii="Times New Roman" w:hAnsi="Times New Roman"/>
          <w:color w:val="000000"/>
          <w:vertAlign w:val="superscript"/>
        </w:rPr>
        <w:t>14</w:t>
      </w:r>
      <w:r>
        <w:rPr>
          <w:rFonts w:ascii="Times New Roman" w:hAnsi="Times New Roman"/>
          <w:color w:val="000000"/>
        </w:rPr>
        <w:t>) každého jadrového zariadenia podľa odseku 1 najviac do 185 000 000 eur.</w:t>
      </w:r>
    </w:p>
    <w:p w:rsidR="001B2E52" w:rsidP="001B2E52">
      <w:pPr>
        <w:bidi w:val="0"/>
        <w:spacing w:line="36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(3) Prevádzkovateľ zodpovedá za každú jadrovú udalosť, v dôsledku ktorej vznikla jadrová škoda pri každej preprave rádioaktívnych materiálov najviac do 185 000 000 eur.“.</w:t>
      </w:r>
    </w:p>
    <w:p w:rsidR="001B2E52" w:rsidP="001B2E52">
      <w:pPr>
        <w:pStyle w:val="BodyText"/>
        <w:bidi w:val="0"/>
        <w:ind w:left="3969"/>
        <w:rPr>
          <w:rFonts w:ascii="Times New Roman" w:hAnsi="Times New Roman"/>
          <w:color w:val="000000"/>
        </w:rPr>
      </w:pPr>
      <w:r>
        <w:rPr>
          <w:rStyle w:val="Emphasis"/>
          <w:i w:val="0"/>
          <w:iCs w:val="0"/>
        </w:rPr>
        <w:t xml:space="preserve">Ide o legislatívno-technickú úpravu; ustanovenia sa upravujú v nadväznosti na úpravu </w:t>
      </w:r>
      <w:r>
        <w:rPr>
          <w:rStyle w:val="Emphasis"/>
          <w:iCs w:val="0"/>
        </w:rPr>
        <w:t>(napr.§ 5 ods. 1)</w:t>
      </w:r>
      <w:r>
        <w:rPr>
          <w:rStyle w:val="Emphasis"/>
          <w:i w:val="0"/>
          <w:iCs w:val="0"/>
        </w:rPr>
        <w:t xml:space="preserve">. </w:t>
      </w:r>
    </w:p>
    <w:p w:rsidR="001B2E52" w:rsidP="001B2E52">
      <w:pPr>
        <w:bidi w:val="0"/>
        <w:jc w:val="both"/>
        <w:rPr>
          <w:rStyle w:val="Emphasis"/>
          <w:i w:val="0"/>
          <w:iCs w:val="0"/>
          <w:shd w:val="clear" w:color="auto" w:fill="FFFF00"/>
        </w:rPr>
      </w:pPr>
    </w:p>
    <w:p w:rsidR="000829D2" w:rsidP="001B2E52">
      <w:pPr>
        <w:bidi w:val="0"/>
        <w:jc w:val="both"/>
        <w:rPr>
          <w:rStyle w:val="Emphasis"/>
          <w:i w:val="0"/>
          <w:iCs w:val="0"/>
          <w:shd w:val="clear" w:color="auto" w:fill="FFFF00"/>
        </w:rPr>
      </w:pPr>
    </w:p>
    <w:p w:rsidR="001B2E52" w:rsidP="001B2E52">
      <w:pPr>
        <w:numPr>
          <w:ilvl w:val="0"/>
          <w:numId w:val="10"/>
        </w:numPr>
        <w:suppressAutoHyphens/>
        <w:bidi w:val="0"/>
        <w:spacing w:line="360" w:lineRule="auto"/>
        <w:ind w:left="426" w:hanging="426"/>
        <w:jc w:val="both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V čl. I, § 6 ods. 3 a 11 sa slovo „krytie“ nahrádza slovami „finančné krytie“.</w:t>
      </w:r>
    </w:p>
    <w:p w:rsidR="001B2E52" w:rsidP="001B2E52">
      <w:pPr>
        <w:bidi w:val="0"/>
        <w:ind w:left="3969"/>
        <w:jc w:val="both"/>
        <w:rPr>
          <w:rStyle w:val="Emphasis"/>
          <w:i w:val="0"/>
          <w:iCs w:val="0"/>
        </w:rPr>
      </w:pPr>
    </w:p>
    <w:p w:rsidR="001B2E52" w:rsidP="001B2E52">
      <w:pPr>
        <w:bidi w:val="0"/>
        <w:ind w:left="3969"/>
        <w:jc w:val="both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Ide e o legislatívno-technickú úpravu; ustanovenia sa upravujú v záujme terminologickej jednoty návrhu zákona. </w:t>
      </w:r>
    </w:p>
    <w:p w:rsidR="001B2E52" w:rsidP="001B2E52">
      <w:pPr>
        <w:bidi w:val="0"/>
        <w:ind w:left="3969"/>
        <w:jc w:val="both"/>
        <w:rPr>
          <w:rStyle w:val="Emphasis"/>
          <w:i w:val="0"/>
          <w:iCs w:val="0"/>
        </w:rPr>
      </w:pPr>
    </w:p>
    <w:p w:rsidR="001B2E52" w:rsidP="001B2E52">
      <w:pPr>
        <w:numPr>
          <w:ilvl w:val="0"/>
          <w:numId w:val="10"/>
        </w:numPr>
        <w:suppressAutoHyphens/>
        <w:bidi w:val="0"/>
        <w:spacing w:line="360" w:lineRule="auto"/>
        <w:ind w:left="426" w:hanging="426"/>
        <w:jc w:val="both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V čl. I, § 6 ods. 4 sa slovo „krytie“ nahrádza slovami „finančné krytie“, slová „poskytuje oprávnený poskytovateľ poistenia“ sa nahrádzajú slovami „poskytuje poskytovateľ poistenia“. </w:t>
      </w:r>
    </w:p>
    <w:p w:rsidR="001B2E52" w:rsidP="001B2E52">
      <w:pPr>
        <w:bidi w:val="0"/>
        <w:ind w:left="3969"/>
        <w:jc w:val="both"/>
        <w:rPr>
          <w:rStyle w:val="Emphasis"/>
          <w:iCs w:val="0"/>
        </w:rPr>
      </w:pPr>
      <w:r>
        <w:rPr>
          <w:rStyle w:val="Emphasis"/>
          <w:i w:val="0"/>
          <w:iCs w:val="0"/>
        </w:rPr>
        <w:t xml:space="preserve">Ide o legislatívno-technickú úpravu; ustanovenie sa precizuje v kontexte návrhu zákona vrátane zavedenej legislatívnej skratky </w:t>
      </w:r>
      <w:r>
        <w:rPr>
          <w:rStyle w:val="Emphasis"/>
          <w:iCs w:val="0"/>
        </w:rPr>
        <w:t>[§ 3 ods. 4 písm. b)].</w:t>
      </w:r>
    </w:p>
    <w:p w:rsidR="001B2E52" w:rsidP="001B2E52">
      <w:pPr>
        <w:bidi w:val="0"/>
        <w:ind w:left="426"/>
        <w:jc w:val="both"/>
        <w:rPr>
          <w:rStyle w:val="Emphasis"/>
          <w:i w:val="0"/>
          <w:iCs w:val="0"/>
          <w:color w:val="000000"/>
        </w:rPr>
      </w:pPr>
    </w:p>
    <w:p w:rsidR="001B2E52" w:rsidP="001B2E52">
      <w:pPr>
        <w:bidi w:val="0"/>
        <w:ind w:left="426"/>
        <w:jc w:val="both"/>
        <w:rPr>
          <w:rStyle w:val="Emphasis"/>
          <w:i w:val="0"/>
          <w:iCs w:val="0"/>
          <w:color w:val="000000"/>
        </w:rPr>
      </w:pPr>
    </w:p>
    <w:p w:rsidR="001B2E52" w:rsidP="001B2E52">
      <w:pPr>
        <w:numPr>
          <w:ilvl w:val="0"/>
          <w:numId w:val="10"/>
        </w:numPr>
        <w:suppressAutoHyphens/>
        <w:bidi w:val="0"/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Style w:val="Emphasis"/>
          <w:i w:val="0"/>
          <w:iCs w:val="0"/>
        </w:rPr>
        <w:t>V čl. I, § 6 ods. 5 prvej vete sa slovo „krytie“ nahrádza slovami „finančné krytie“ a slová „</w:t>
      </w:r>
      <w:r>
        <w:rPr>
          <w:rFonts w:ascii="Times New Roman" w:hAnsi="Times New Roman"/>
          <w:color w:val="000000"/>
        </w:rPr>
        <w:t>nezávislou právnickou osobou na to oprávnenou podľa osobitného predpisu.</w:t>
      </w:r>
      <w:r>
        <w:rPr>
          <w:rFonts w:ascii="Times New Roman" w:hAnsi="Times New Roman"/>
          <w:color w:val="000000"/>
          <w:vertAlign w:val="superscript"/>
        </w:rPr>
        <w:t>5</w:t>
      </w:r>
      <w:r>
        <w:rPr>
          <w:rFonts w:ascii="Times New Roman" w:hAnsi="Times New Roman"/>
          <w:color w:val="000000"/>
        </w:rPr>
        <w:t>)“ sa nahrádzajú slovami „nezávislým poskytovateľom poistenia.“</w:t>
      </w:r>
    </w:p>
    <w:p w:rsidR="001B2E52" w:rsidP="001B2E52">
      <w:pPr>
        <w:bidi w:val="0"/>
        <w:ind w:left="3969"/>
        <w:jc w:val="both"/>
        <w:rPr>
          <w:rStyle w:val="Emphasis"/>
          <w:rFonts w:eastAsia="Calibri"/>
          <w:i w:val="0"/>
          <w:iCs w:val="0"/>
        </w:rPr>
      </w:pPr>
    </w:p>
    <w:p w:rsidR="001B2E52" w:rsidP="001B2E52">
      <w:pPr>
        <w:bidi w:val="0"/>
        <w:ind w:left="3969"/>
        <w:jc w:val="both"/>
        <w:rPr>
          <w:rStyle w:val="Emphasis"/>
          <w:iCs w:val="0"/>
        </w:rPr>
      </w:pPr>
      <w:r>
        <w:rPr>
          <w:rStyle w:val="Emphasis"/>
          <w:i w:val="0"/>
          <w:iCs w:val="0"/>
        </w:rPr>
        <w:t xml:space="preserve">Ide o legislatívno-technickú úpravu; ustanovenie sa precizuje v kontexte návrhu zákona vrátane  zavedenej legislatívnej skratky </w:t>
      </w:r>
      <w:r>
        <w:rPr>
          <w:rStyle w:val="Emphasis"/>
          <w:iCs w:val="0"/>
        </w:rPr>
        <w:t>[§ 3 ods. 4 písm. b)].</w:t>
      </w:r>
    </w:p>
    <w:p w:rsidR="001B2E52" w:rsidP="001B2E52">
      <w:pPr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1B2E52" w:rsidP="001B2E52">
      <w:pPr>
        <w:numPr>
          <w:ilvl w:val="0"/>
          <w:numId w:val="10"/>
        </w:numPr>
        <w:tabs>
          <w:tab w:val="clear" w:pos="284"/>
          <w:tab w:val="num" w:pos="426"/>
        </w:tabs>
        <w:suppressAutoHyphens/>
        <w:bidi w:val="0"/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 § 6 ods. 6 a  8 sa za slová „zodpovednosť prevádzkovateľa“ vkladajú slová „za         jadrovú škodu“.</w:t>
      </w:r>
    </w:p>
    <w:p w:rsidR="001B2E52" w:rsidP="001B2E52">
      <w:pPr>
        <w:bidi w:val="0"/>
        <w:ind w:left="39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Ide o legislatívno-technickú pripomienku; právny text sa  terminologicky zjednocuje. </w:t>
      </w:r>
    </w:p>
    <w:p w:rsidR="001B2E52" w:rsidP="001B2E52">
      <w:pPr>
        <w:bidi w:val="0"/>
        <w:spacing w:line="360" w:lineRule="auto"/>
        <w:ind w:left="3969"/>
        <w:jc w:val="both"/>
        <w:rPr>
          <w:rFonts w:ascii="Times New Roman" w:hAnsi="Times New Roman"/>
        </w:rPr>
      </w:pPr>
    </w:p>
    <w:p w:rsidR="001B2E52" w:rsidP="001B2E52">
      <w:pPr>
        <w:numPr>
          <w:ilvl w:val="0"/>
          <w:numId w:val="10"/>
        </w:numPr>
        <w:suppressAutoHyphens/>
        <w:bidi w:val="0"/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Style w:val="Emphasis"/>
          <w:i w:val="0"/>
          <w:iCs w:val="0"/>
        </w:rPr>
        <w:t xml:space="preserve">V čl. I,  poznámke pod čiarou k odkazu 17 </w:t>
      </w:r>
      <w:r>
        <w:rPr>
          <w:rStyle w:val="Emphasis"/>
          <w:iCs w:val="0"/>
        </w:rPr>
        <w:t>(§ 6 ods. 5)</w:t>
      </w:r>
      <w:r>
        <w:rPr>
          <w:rStyle w:val="Emphasis"/>
          <w:i w:val="0"/>
          <w:iCs w:val="0"/>
        </w:rPr>
        <w:t xml:space="preserve"> sa slová „</w:t>
      </w:r>
      <w:r>
        <w:rPr>
          <w:rFonts w:ascii="Times New Roman" w:hAnsi="Times New Roman"/>
        </w:rPr>
        <w:t>zákona č. 513/1991 Zb. Obchodný zákonník“ nahrádzajú slovami „Obchodného zákonníka“.</w:t>
      </w:r>
    </w:p>
    <w:p w:rsidR="001B2E52" w:rsidP="001B2E52">
      <w:pPr>
        <w:bidi w:val="0"/>
        <w:spacing w:line="360" w:lineRule="auto"/>
        <w:jc w:val="both"/>
        <w:rPr>
          <w:rFonts w:ascii="Times New Roman" w:hAnsi="Times New Roman"/>
        </w:rPr>
      </w:pPr>
    </w:p>
    <w:p w:rsidR="001B2E52" w:rsidP="001B2E52">
      <w:pPr>
        <w:bidi w:val="0"/>
        <w:ind w:left="3969"/>
        <w:jc w:val="both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Ide o legislatívno-technickú úpravu; text poznámky pod čiarou sa upravuje s ohľadom na zaužívané legislatívne pravidlá </w:t>
      </w:r>
      <w:r>
        <w:rPr>
          <w:rStyle w:val="Emphasis"/>
          <w:iCs w:val="0"/>
        </w:rPr>
        <w:t>(skrátený tvar citácie).</w:t>
      </w:r>
      <w:r>
        <w:rPr>
          <w:rStyle w:val="Emphasis"/>
          <w:i w:val="0"/>
          <w:iCs w:val="0"/>
        </w:rPr>
        <w:t xml:space="preserve">  </w:t>
      </w:r>
    </w:p>
    <w:p w:rsidR="001B2E52" w:rsidP="001B2E52">
      <w:pPr>
        <w:bidi w:val="0"/>
        <w:spacing w:line="360" w:lineRule="auto"/>
        <w:ind w:left="3969"/>
        <w:jc w:val="both"/>
        <w:rPr>
          <w:rStyle w:val="Emphasis"/>
          <w:i w:val="0"/>
          <w:iCs w:val="0"/>
        </w:rPr>
      </w:pPr>
    </w:p>
    <w:p w:rsidR="001B2E52" w:rsidP="001B2E52">
      <w:pPr>
        <w:numPr>
          <w:ilvl w:val="0"/>
          <w:numId w:val="10"/>
        </w:numPr>
        <w:tabs>
          <w:tab w:val="left" w:pos="426"/>
        </w:tabs>
        <w:suppressAutoHyphens/>
        <w:bidi w:val="0"/>
        <w:spacing w:line="36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čl. I, § 6 odsek 7 znie:</w:t>
      </w:r>
    </w:p>
    <w:p w:rsidR="001B2E52" w:rsidP="001B2E52">
      <w:pPr>
        <w:pStyle w:val="BodyText"/>
        <w:bidi w:val="0"/>
        <w:spacing w:line="360" w:lineRule="auto"/>
        <w:ind w:left="42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„(7) Poistenie musí kryť zodpovednosť prevádzkovateľa za jadrovú škodu do limitu zodpovednosti podľa § 5 ods. 1, 2 alebo 3 aj vzhľadom na nároky, ktoré budú uplatnené do desiatich rokov odo dňa vzniku jadrovej udalosti. Zabezpečenie finančnou zábezpekou do limitu zodpovednosti podľa § 5 ods. 1, 2 alebo 3 musí v deň jadrovej udalosti, v dôsledku ktorej vznikla jadrová škoda, trvať a  musí z nej byť možné uspokojiť nároky uplatnené do desiatich rokov odo dňa vzniku jadrovej udalosti.“.</w:t>
      </w:r>
    </w:p>
    <w:p w:rsidR="001B2E52" w:rsidP="001B2E52">
      <w:pPr>
        <w:pStyle w:val="Textkomentra1"/>
        <w:tabs>
          <w:tab w:val="left" w:pos="3969"/>
        </w:tabs>
        <w:bidi w:val="0"/>
        <w:spacing w:after="0" w:line="240" w:lineRule="auto"/>
        <w:ind w:left="3969"/>
        <w:jc w:val="both"/>
        <w:rPr>
          <w:rStyle w:val="Emphasis"/>
          <w:i w:val="0"/>
          <w:iCs w:val="0"/>
          <w:sz w:val="24"/>
          <w:szCs w:val="24"/>
        </w:rPr>
      </w:pPr>
      <w:r>
        <w:rPr>
          <w:rStyle w:val="Emphasis"/>
          <w:i w:val="0"/>
          <w:iCs w:val="0"/>
          <w:sz w:val="24"/>
          <w:szCs w:val="24"/>
        </w:rPr>
        <w:t xml:space="preserve">Ide o legislatívno-technickú úpravu; ustanovenie sa </w:t>
      </w:r>
      <w:r>
        <w:rPr>
          <w:rStyle w:val="Emphasis"/>
          <w:i w:val="0"/>
          <w:iCs w:val="0"/>
          <w:sz w:val="24"/>
          <w:szCs w:val="24"/>
          <w:lang w:val="sk-SK"/>
        </w:rPr>
        <w:t xml:space="preserve">spresňuje z hľadiska zrozumiteľnosti a gramatickej správnosti.  </w:t>
      </w:r>
      <w:r>
        <w:rPr>
          <w:rStyle w:val="Emphasis"/>
          <w:i w:val="0"/>
          <w:iCs w:val="0"/>
          <w:sz w:val="24"/>
          <w:szCs w:val="24"/>
        </w:rPr>
        <w:t xml:space="preserve">  </w:t>
      </w:r>
    </w:p>
    <w:p w:rsidR="001B2E52" w:rsidP="001B2E52">
      <w:pPr>
        <w:pStyle w:val="ListParagraph"/>
        <w:bidi w:val="0"/>
        <w:ind w:left="426"/>
        <w:jc w:val="both"/>
        <w:rPr>
          <w:rFonts w:ascii="Calibri" w:hAnsi="Calibri"/>
          <w:sz w:val="22"/>
          <w:szCs w:val="22"/>
        </w:rPr>
      </w:pPr>
    </w:p>
    <w:p w:rsidR="001B2E52" w:rsidP="001B2E52">
      <w:pPr>
        <w:pStyle w:val="ListParagraph"/>
        <w:numPr>
          <w:ilvl w:val="0"/>
          <w:numId w:val="10"/>
        </w:numPr>
        <w:suppressAutoHyphens/>
        <w:bidi w:val="0"/>
        <w:spacing w:line="360" w:lineRule="auto"/>
        <w:ind w:left="426" w:hanging="426"/>
        <w:contextualSpacing w:val="0"/>
        <w:jc w:val="both"/>
        <w:rPr>
          <w:rFonts w:ascii="Times New Roman" w:hAnsi="Times New Roman"/>
        </w:rPr>
      </w:pPr>
      <w:r>
        <w:rPr>
          <w:rStyle w:val="Emphasis"/>
          <w:i w:val="0"/>
          <w:iCs w:val="0"/>
        </w:rPr>
        <w:t>V čl. I, § 6 ods. 9 druhej vete sa slová „</w:t>
      </w:r>
      <w:r>
        <w:rPr>
          <w:rFonts w:ascii="Times New Roman" w:hAnsi="Times New Roman"/>
        </w:rPr>
        <w:t>poistnú zmluvu alebo inú finančnú zábezpeku“ sa nahrádzajú slovami „poistnú zmluvu alebo dohodnutú inú finančnú zábezpeku“.</w:t>
      </w:r>
    </w:p>
    <w:p w:rsidR="001B2E52" w:rsidP="001B2E52">
      <w:pPr>
        <w:pStyle w:val="Textkomentra1"/>
        <w:tabs>
          <w:tab w:val="left" w:pos="3969"/>
        </w:tabs>
        <w:bidi w:val="0"/>
        <w:spacing w:after="0" w:line="240" w:lineRule="auto"/>
        <w:ind w:left="3969"/>
        <w:rPr>
          <w:rStyle w:val="Emphasis"/>
          <w:i w:val="0"/>
          <w:iCs w:val="0"/>
        </w:rPr>
      </w:pPr>
    </w:p>
    <w:p w:rsidR="001B2E52" w:rsidP="001B2E52">
      <w:pPr>
        <w:pStyle w:val="Textkomentra1"/>
        <w:tabs>
          <w:tab w:val="left" w:pos="3969"/>
        </w:tabs>
        <w:bidi w:val="0"/>
        <w:spacing w:after="0" w:line="240" w:lineRule="auto"/>
        <w:ind w:left="3969"/>
        <w:rPr>
          <w:rStyle w:val="Emphasis"/>
          <w:i w:val="0"/>
          <w:iCs w:val="0"/>
          <w:sz w:val="24"/>
          <w:szCs w:val="24"/>
        </w:rPr>
      </w:pPr>
      <w:r>
        <w:rPr>
          <w:rStyle w:val="Emphasis"/>
          <w:i w:val="0"/>
          <w:iCs w:val="0"/>
          <w:sz w:val="24"/>
          <w:szCs w:val="24"/>
        </w:rPr>
        <w:t xml:space="preserve">Ide o legislatívno-technickú úpravu; ustanovenie sa precizuje.  </w:t>
      </w:r>
    </w:p>
    <w:p w:rsidR="001B2E52" w:rsidP="001B2E52">
      <w:pPr>
        <w:pStyle w:val="Textkomentra1"/>
        <w:tabs>
          <w:tab w:val="left" w:pos="3969"/>
        </w:tabs>
        <w:bidi w:val="0"/>
        <w:spacing w:after="0" w:line="240" w:lineRule="auto"/>
        <w:ind w:left="3969"/>
        <w:rPr>
          <w:rStyle w:val="Emphasis"/>
          <w:i w:val="0"/>
          <w:iCs w:val="0"/>
          <w:sz w:val="24"/>
          <w:szCs w:val="24"/>
        </w:rPr>
      </w:pPr>
      <w:r>
        <w:rPr>
          <w:rStyle w:val="Emphasis"/>
          <w:i w:val="0"/>
          <w:iCs w:val="0"/>
          <w:sz w:val="24"/>
          <w:szCs w:val="24"/>
        </w:rPr>
        <w:t xml:space="preserve"> </w:t>
      </w:r>
    </w:p>
    <w:p w:rsidR="001B2E52" w:rsidP="001B2E52">
      <w:pPr>
        <w:numPr>
          <w:ilvl w:val="0"/>
          <w:numId w:val="10"/>
        </w:numPr>
        <w:suppressAutoHyphens/>
        <w:bidi w:val="0"/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Style w:val="Emphasis"/>
          <w:i w:val="0"/>
          <w:iCs w:val="0"/>
        </w:rPr>
        <w:t xml:space="preserve">V čl. I,  poznámke pod čiarou k odkazu 18 </w:t>
      </w:r>
      <w:r>
        <w:rPr>
          <w:rStyle w:val="Emphasis"/>
          <w:iCs w:val="0"/>
        </w:rPr>
        <w:t>(§ 7 ods. 3)</w:t>
      </w:r>
      <w:r>
        <w:rPr>
          <w:rStyle w:val="Emphasis"/>
          <w:i w:val="0"/>
          <w:iCs w:val="0"/>
        </w:rPr>
        <w:t xml:space="preserve"> sa slová „</w:t>
      </w:r>
      <w:r>
        <w:rPr>
          <w:rFonts w:ascii="Times New Roman" w:hAnsi="Times New Roman"/>
        </w:rPr>
        <w:t>zákona č. 40/1964 Zb. Občiansky zákonník  v znení neskorších predpisov“ nahrádzajú slovami „Občianskeho  zákonníka“.</w:t>
      </w:r>
    </w:p>
    <w:p w:rsidR="001B2E52" w:rsidP="001B2E52">
      <w:pPr>
        <w:bidi w:val="0"/>
        <w:ind w:left="3969"/>
        <w:jc w:val="both"/>
        <w:rPr>
          <w:rStyle w:val="Emphasis"/>
          <w:iCs w:val="0"/>
        </w:rPr>
      </w:pPr>
      <w:r>
        <w:rPr>
          <w:rStyle w:val="Emphasis"/>
          <w:i w:val="0"/>
          <w:iCs w:val="0"/>
        </w:rPr>
        <w:t xml:space="preserve">Ide o legislatívno-technickú úpravu; text poznámky pod čiarou sa upravuje s ohľadom na zaužívané legislatívne pravidlá </w:t>
      </w:r>
      <w:r>
        <w:rPr>
          <w:rStyle w:val="Emphasis"/>
          <w:iCs w:val="0"/>
        </w:rPr>
        <w:t>(skrátený tvar citácie).</w:t>
      </w:r>
    </w:p>
    <w:p w:rsidR="001B2E52" w:rsidP="001B2E52">
      <w:pPr>
        <w:bidi w:val="0"/>
        <w:ind w:left="3969"/>
        <w:jc w:val="both"/>
        <w:rPr>
          <w:rStyle w:val="Emphasis"/>
          <w:iCs w:val="0"/>
        </w:rPr>
      </w:pPr>
    </w:p>
    <w:p w:rsidR="001B2E52" w:rsidP="001B2E52">
      <w:pPr>
        <w:numPr>
          <w:ilvl w:val="0"/>
          <w:numId w:val="10"/>
        </w:numPr>
        <w:suppressAutoHyphens/>
        <w:bidi w:val="0"/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  <w:iCs/>
        </w:rPr>
        <w:t>V čl. I, § 7 ods. 3 sa slová</w:t>
      </w:r>
      <w:r>
        <w:rPr>
          <w:rFonts w:ascii="Times New Roman" w:hAnsi="Times New Roman"/>
          <w:i/>
          <w:iCs/>
        </w:rPr>
        <w:t xml:space="preserve"> „</w:t>
      </w:r>
      <w:r>
        <w:rPr>
          <w:rFonts w:ascii="Times New Roman" w:hAnsi="Times New Roman"/>
          <w:color w:val="000000"/>
        </w:rPr>
        <w:t>platia primerane pre jeho dedičov</w:t>
      </w:r>
      <w:r>
        <w:rPr>
          <w:rStyle w:val="Znakyprepoznmkupodiarou"/>
        </w:rPr>
        <w:t>1</w:t>
      </w:r>
      <w:r>
        <w:rPr>
          <w:rFonts w:ascii="Times New Roman" w:hAnsi="Times New Roman"/>
          <w:vertAlign w:val="superscript"/>
        </w:rPr>
        <w:t>8</w:t>
      </w:r>
      <w:r>
        <w:rPr>
          <w:rFonts w:ascii="Times New Roman" w:hAnsi="Times New Roman"/>
          <w:color w:val="000000"/>
        </w:rPr>
        <w:t>)</w:t>
      </w:r>
      <w:r>
        <w:rPr>
          <w:rStyle w:val="Emphasis"/>
          <w:i w:val="0"/>
          <w:iCs w:val="0"/>
        </w:rPr>
        <w:t xml:space="preserve"> alebo právnych nástupcov“ nahrádzajú slovami „</w:t>
      </w:r>
      <w:r>
        <w:rPr>
          <w:rFonts w:ascii="Times New Roman" w:hAnsi="Times New Roman"/>
        </w:rPr>
        <w:t>sa primerane vzťahujú na dediča poškodeného</w:t>
      </w:r>
      <w:r>
        <w:rPr>
          <w:rFonts w:ascii="Times New Roman" w:hAnsi="Times New Roman"/>
          <w:vertAlign w:val="superscript"/>
        </w:rPr>
        <w:t>18</w:t>
      </w:r>
      <w:r>
        <w:rPr>
          <w:rFonts w:ascii="Times New Roman" w:hAnsi="Times New Roman"/>
        </w:rPr>
        <w:t xml:space="preserve">) alebo právneho nástupcu poškodeného“ .   </w:t>
      </w:r>
    </w:p>
    <w:p w:rsidR="001B2E52" w:rsidP="001B2E52">
      <w:pPr>
        <w:pStyle w:val="Textkomentra1"/>
        <w:tabs>
          <w:tab w:val="left" w:pos="3969"/>
        </w:tabs>
        <w:bidi w:val="0"/>
        <w:spacing w:after="0" w:line="240" w:lineRule="auto"/>
        <w:ind w:left="3969"/>
        <w:rPr>
          <w:rStyle w:val="Emphasis"/>
          <w:i w:val="0"/>
          <w:iCs w:val="0"/>
          <w:sz w:val="24"/>
          <w:szCs w:val="24"/>
        </w:rPr>
      </w:pPr>
    </w:p>
    <w:p w:rsidR="001B2E52" w:rsidP="001B2E52">
      <w:pPr>
        <w:pStyle w:val="Textkomentra1"/>
        <w:tabs>
          <w:tab w:val="left" w:pos="3969"/>
        </w:tabs>
        <w:bidi w:val="0"/>
        <w:spacing w:after="0" w:line="240" w:lineRule="auto"/>
        <w:ind w:left="3969"/>
        <w:rPr>
          <w:rStyle w:val="Emphasis"/>
          <w:i w:val="0"/>
          <w:iCs w:val="0"/>
          <w:sz w:val="24"/>
          <w:szCs w:val="24"/>
        </w:rPr>
      </w:pPr>
      <w:r>
        <w:rPr>
          <w:rStyle w:val="Emphasis"/>
          <w:i w:val="0"/>
          <w:iCs w:val="0"/>
          <w:sz w:val="24"/>
          <w:szCs w:val="24"/>
        </w:rPr>
        <w:t xml:space="preserve">Ide o legislatívno-technickú úpravu; ustanovenie sa precizuje.  </w:t>
      </w:r>
    </w:p>
    <w:p w:rsidR="001B2E52" w:rsidP="001B2E52">
      <w:pPr>
        <w:pStyle w:val="Textkomentra1"/>
        <w:tabs>
          <w:tab w:val="left" w:pos="3969"/>
        </w:tabs>
        <w:bidi w:val="0"/>
        <w:spacing w:after="0" w:line="240" w:lineRule="auto"/>
        <w:ind w:left="3969"/>
        <w:rPr>
          <w:lang w:val="sk-SK"/>
        </w:rPr>
      </w:pPr>
    </w:p>
    <w:p w:rsidR="000829D2" w:rsidRPr="000829D2" w:rsidP="001B2E52">
      <w:pPr>
        <w:pStyle w:val="Textkomentra1"/>
        <w:tabs>
          <w:tab w:val="left" w:pos="3969"/>
        </w:tabs>
        <w:bidi w:val="0"/>
        <w:spacing w:after="0" w:line="240" w:lineRule="auto"/>
        <w:ind w:left="3969"/>
        <w:rPr>
          <w:lang w:val="sk-SK"/>
        </w:rPr>
      </w:pPr>
    </w:p>
    <w:p w:rsidR="001B2E52" w:rsidP="001B2E52">
      <w:pPr>
        <w:pStyle w:val="ListParagraph"/>
        <w:numPr>
          <w:ilvl w:val="0"/>
          <w:numId w:val="10"/>
        </w:numPr>
        <w:tabs>
          <w:tab w:val="clear" w:pos="284"/>
          <w:tab w:val="num" w:pos="426"/>
        </w:tabs>
        <w:suppressAutoHyphens/>
        <w:bidi w:val="0"/>
        <w:spacing w:line="360" w:lineRule="auto"/>
        <w:ind w:left="426" w:hanging="426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  <w:iCs/>
        </w:rPr>
        <w:t>V čl. I, § 7 ods. 7 sa slová</w:t>
      </w:r>
      <w:r>
        <w:rPr>
          <w:rFonts w:ascii="Times New Roman" w:hAnsi="Times New Roman"/>
        </w:rPr>
        <w:t xml:space="preserve"> „poškodený alebo jeho </w:t>
      </w:r>
      <w:r>
        <w:rPr>
          <w:rFonts w:ascii="Times New Roman" w:hAnsi="Times New Roman"/>
          <w:color w:val="000000"/>
        </w:rPr>
        <w:t>dedič, alebo právnická osoba alebo jej právny nástupca, ktorá utrpela jadrovú škodu, neuplatnila právo na jej náhradu do troch rokov odo dňa, keď sa dozvedela alebo mohla dozvedieť</w:t>
      </w:r>
      <w:r>
        <w:rPr>
          <w:rFonts w:ascii="Times New Roman" w:hAnsi="Times New Roman"/>
        </w:rPr>
        <w:t>“ nahrádzajú slovami „poškodený alebo dedič poškodeného alebo</w:t>
      </w:r>
      <w:r>
        <w:rPr>
          <w:rFonts w:ascii="Times New Roman" w:hAnsi="Times New Roman"/>
          <w:color w:val="000000"/>
        </w:rPr>
        <w:t xml:space="preserve"> právny nástupca poškodeného, ktorý  utrpel jadrovú škodu, neuplatnil právo na jej náhradu do troch rokov odo dňa, keď sa dozvedel alebo mohol dozvedieť</w:t>
      </w:r>
      <w:r>
        <w:rPr>
          <w:rFonts w:ascii="Times New Roman" w:hAnsi="Times New Roman"/>
        </w:rPr>
        <w:t>“.</w:t>
      </w:r>
    </w:p>
    <w:p w:rsidR="001B2E52" w:rsidP="001B2E52">
      <w:pPr>
        <w:pStyle w:val="Textkomentra1"/>
        <w:tabs>
          <w:tab w:val="left" w:pos="3969"/>
        </w:tabs>
        <w:bidi w:val="0"/>
        <w:spacing w:after="0" w:line="240" w:lineRule="auto"/>
        <w:ind w:left="3969"/>
        <w:jc w:val="both"/>
        <w:rPr>
          <w:rStyle w:val="Emphasis"/>
          <w:i w:val="0"/>
          <w:iCs w:val="0"/>
        </w:rPr>
      </w:pPr>
      <w:r>
        <w:rPr>
          <w:rStyle w:val="Emphasis"/>
          <w:i w:val="0"/>
          <w:iCs w:val="0"/>
          <w:sz w:val="24"/>
          <w:szCs w:val="24"/>
        </w:rPr>
        <w:t>Ide o legislatívno-technickú úpravu; ustanovenie sa precizuje s ohľadom na úpravy podľa tohto stanoviska</w:t>
      </w:r>
      <w:r>
        <w:rPr>
          <w:rStyle w:val="Emphasis"/>
          <w:i w:val="0"/>
          <w:iCs w:val="0"/>
          <w:sz w:val="24"/>
          <w:szCs w:val="24"/>
          <w:lang w:val="sk-SK"/>
        </w:rPr>
        <w:t xml:space="preserve"> </w:t>
      </w:r>
      <w:r>
        <w:rPr>
          <w:rStyle w:val="Emphasis"/>
          <w:iCs w:val="0"/>
          <w:sz w:val="24"/>
          <w:szCs w:val="24"/>
          <w:lang w:val="sk-SK"/>
        </w:rPr>
        <w:t>(§ 7 ods. 3).</w:t>
      </w:r>
      <w:r>
        <w:rPr>
          <w:rStyle w:val="Emphasis"/>
          <w:i w:val="0"/>
          <w:iCs w:val="0"/>
          <w:sz w:val="24"/>
          <w:szCs w:val="24"/>
        </w:rPr>
        <w:t xml:space="preserve">    </w:t>
      </w:r>
    </w:p>
    <w:p w:rsidR="001B2E52" w:rsidP="001B2E52">
      <w:pPr>
        <w:pStyle w:val="Textkomentra1"/>
        <w:tabs>
          <w:tab w:val="left" w:pos="3969"/>
        </w:tabs>
        <w:bidi w:val="0"/>
        <w:spacing w:after="0" w:line="240" w:lineRule="auto"/>
        <w:ind w:left="3969"/>
        <w:rPr>
          <w:lang w:val="sk-SK"/>
        </w:rPr>
      </w:pPr>
    </w:p>
    <w:p w:rsidR="000829D2" w:rsidRPr="000829D2" w:rsidP="001B2E52">
      <w:pPr>
        <w:pStyle w:val="Textkomentra1"/>
        <w:tabs>
          <w:tab w:val="left" w:pos="3969"/>
        </w:tabs>
        <w:bidi w:val="0"/>
        <w:spacing w:after="0" w:line="240" w:lineRule="auto"/>
        <w:ind w:left="3969"/>
        <w:rPr>
          <w:lang w:val="sk-SK"/>
        </w:rPr>
      </w:pPr>
    </w:p>
    <w:p w:rsidR="001B2E52" w:rsidP="001B2E52">
      <w:pPr>
        <w:pStyle w:val="Textkomentra1"/>
        <w:numPr>
          <w:ilvl w:val="0"/>
          <w:numId w:val="10"/>
        </w:numPr>
        <w:tabs>
          <w:tab w:val="left" w:pos="426"/>
        </w:tabs>
        <w:bidi w:val="0"/>
        <w:spacing w:after="0" w:line="360" w:lineRule="auto"/>
        <w:ind w:left="426" w:hanging="426"/>
        <w:jc w:val="both"/>
        <w:rPr>
          <w:rStyle w:val="Emphasis"/>
          <w:i w:val="0"/>
          <w:iCs w:val="0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V čl. I, § 8 ods. 1</w:t>
      </w:r>
      <w:r>
        <w:rPr>
          <w:rStyle w:val="Emphasis"/>
          <w:i w:val="0"/>
          <w:iCs w:val="0"/>
          <w:sz w:val="24"/>
          <w:szCs w:val="24"/>
        </w:rPr>
        <w:t xml:space="preserve"> sa slová „spôsobmi podľa odseku 6“ nahrádza</w:t>
      </w:r>
      <w:r>
        <w:rPr>
          <w:rStyle w:val="Emphasis"/>
          <w:i w:val="0"/>
          <w:iCs w:val="0"/>
          <w:sz w:val="24"/>
          <w:szCs w:val="24"/>
          <w:lang w:val="sk-SK"/>
        </w:rPr>
        <w:t>jú</w:t>
      </w:r>
      <w:r>
        <w:rPr>
          <w:rStyle w:val="Emphasis"/>
          <w:i w:val="0"/>
          <w:iCs w:val="0"/>
          <w:sz w:val="24"/>
          <w:szCs w:val="24"/>
        </w:rPr>
        <w:t xml:space="preserve"> slovami „spôsobmi krytia podľa odseku </w:t>
      </w:r>
      <w:r>
        <w:rPr>
          <w:rStyle w:val="Emphasis"/>
          <w:i w:val="0"/>
          <w:iCs w:val="0"/>
          <w:sz w:val="24"/>
          <w:szCs w:val="24"/>
          <w:lang w:val="sk-SK"/>
        </w:rPr>
        <w:t>6“</w:t>
      </w:r>
      <w:r>
        <w:rPr>
          <w:rStyle w:val="Emphasis"/>
          <w:i w:val="0"/>
          <w:iCs w:val="0"/>
          <w:sz w:val="24"/>
          <w:szCs w:val="24"/>
        </w:rPr>
        <w:t xml:space="preserve">. </w:t>
      </w:r>
    </w:p>
    <w:p w:rsidR="001B2E52" w:rsidP="001B2E52">
      <w:pPr>
        <w:pStyle w:val="ListParagraph"/>
        <w:bidi w:val="0"/>
        <w:ind w:left="3969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Ide o legislatívno-technickú úpravu; ustanovenie sa spresňuje. </w:t>
      </w:r>
    </w:p>
    <w:p w:rsidR="001B2E52" w:rsidP="001B2E52">
      <w:pPr>
        <w:pStyle w:val="ListParagraph"/>
        <w:bidi w:val="0"/>
        <w:ind w:left="3969"/>
        <w:rPr>
          <w:rFonts w:ascii="Times New Roman" w:hAnsi="Times New Roman"/>
        </w:rPr>
      </w:pPr>
    </w:p>
    <w:p w:rsidR="000829D2" w:rsidP="001B2E52">
      <w:pPr>
        <w:pStyle w:val="ListParagraph"/>
        <w:bidi w:val="0"/>
        <w:ind w:left="3969"/>
        <w:rPr>
          <w:rFonts w:ascii="Times New Roman" w:hAnsi="Times New Roman"/>
        </w:rPr>
      </w:pPr>
    </w:p>
    <w:p w:rsidR="001B2E52" w:rsidP="001B2E52">
      <w:pPr>
        <w:pStyle w:val="ListParagraph"/>
        <w:numPr>
          <w:ilvl w:val="0"/>
          <w:numId w:val="10"/>
        </w:numPr>
        <w:tabs>
          <w:tab w:val="clear" w:pos="284"/>
          <w:tab w:val="left" w:pos="426"/>
        </w:tabs>
        <w:suppressAutoHyphens/>
        <w:bidi w:val="0"/>
        <w:spacing w:line="360" w:lineRule="auto"/>
        <w:ind w:left="426" w:hanging="426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  <w:iCs/>
        </w:rPr>
        <w:t xml:space="preserve">V čl. I, § 8 ods. 3 sa slová „vo finančnej zábezpeke spočívajúce najmä v ukončení“  nahrádzajú slovami „vo finančnej zábezpeke, najmä ak spočívajú v ukončení“, slová   „zmene doby poistenia“ sa nahrádzajú slovami „zmene  trvania poistenia“, </w:t>
      </w:r>
      <w:r>
        <w:rPr>
          <w:rFonts w:ascii="Times New Roman" w:hAnsi="Times New Roman"/>
        </w:rPr>
        <w:t>slová „zmene výšky limitu poistného“ sa nahrádzajú slovami „zmene limitu poistného“ a slová „vyplývajúcich z medzinárodných zmlúv, ktorými je Slovenská republika viazaná,</w:t>
      </w:r>
      <w:r>
        <w:rPr>
          <w:rFonts w:ascii="Times New Roman" w:hAnsi="Times New Roman"/>
          <w:vertAlign w:val="superscript"/>
        </w:rPr>
        <w:t>22</w:t>
      </w:r>
      <w:r>
        <w:rPr>
          <w:rFonts w:ascii="Times New Roman" w:hAnsi="Times New Roman"/>
        </w:rPr>
        <w:t>) písomným“ sa nahrádzajú slovami „vyplývajúcich z medzinárodnej zmluvy a z iného medzinárodného dohovoru, ktorým je Slovenská republika viazaná,</w:t>
      </w:r>
      <w:r>
        <w:rPr>
          <w:rFonts w:ascii="Times New Roman" w:hAnsi="Times New Roman"/>
          <w:vertAlign w:val="superscript"/>
        </w:rPr>
        <w:t>22</w:t>
      </w:r>
      <w:r>
        <w:rPr>
          <w:rFonts w:ascii="Times New Roman" w:hAnsi="Times New Roman"/>
        </w:rPr>
        <w:t xml:space="preserve">) a to písomným“. </w:t>
      </w:r>
    </w:p>
    <w:p w:rsidR="001B2E52" w:rsidP="001B2E52">
      <w:pPr>
        <w:pStyle w:val="Textkomentra1"/>
        <w:tabs>
          <w:tab w:val="left" w:pos="3969"/>
        </w:tabs>
        <w:bidi w:val="0"/>
        <w:spacing w:after="0" w:line="240" w:lineRule="auto"/>
        <w:ind w:left="3969"/>
        <w:jc w:val="both"/>
        <w:rPr>
          <w:rStyle w:val="Emphasis"/>
          <w:i w:val="0"/>
          <w:iCs w:val="0"/>
        </w:rPr>
      </w:pPr>
    </w:p>
    <w:p w:rsidR="001B2E52" w:rsidP="001B2E52">
      <w:pPr>
        <w:pStyle w:val="Textkomentra1"/>
        <w:tabs>
          <w:tab w:val="left" w:pos="3969"/>
        </w:tabs>
        <w:bidi w:val="0"/>
        <w:spacing w:after="0" w:line="240" w:lineRule="auto"/>
        <w:ind w:left="3969"/>
        <w:jc w:val="both"/>
        <w:rPr>
          <w:rStyle w:val="Emphasis"/>
          <w:i w:val="0"/>
          <w:iCs w:val="0"/>
          <w:sz w:val="24"/>
          <w:szCs w:val="24"/>
          <w:lang w:val="sk-SK"/>
        </w:rPr>
      </w:pPr>
      <w:r>
        <w:rPr>
          <w:rStyle w:val="Emphasis"/>
          <w:i w:val="0"/>
          <w:iCs w:val="0"/>
          <w:sz w:val="24"/>
          <w:szCs w:val="24"/>
        </w:rPr>
        <w:t xml:space="preserve">Ide o legislatívno-technickú úpravu; ustanovenie sa </w:t>
      </w:r>
      <w:r>
        <w:rPr>
          <w:rStyle w:val="Emphasis"/>
          <w:i w:val="0"/>
          <w:iCs w:val="0"/>
          <w:sz w:val="24"/>
          <w:szCs w:val="24"/>
          <w:lang w:val="sk-SK"/>
        </w:rPr>
        <w:t xml:space="preserve">spresňuje z hľadiska zrozumiteľnosti. </w:t>
      </w:r>
    </w:p>
    <w:p w:rsidR="001B2E52" w:rsidP="001B2E52">
      <w:pPr>
        <w:pStyle w:val="Textkomentra1"/>
        <w:tabs>
          <w:tab w:val="left" w:pos="3969"/>
        </w:tabs>
        <w:bidi w:val="0"/>
        <w:spacing w:after="0" w:line="240" w:lineRule="auto"/>
        <w:ind w:left="3969"/>
        <w:jc w:val="both"/>
        <w:rPr>
          <w:rStyle w:val="Emphasis"/>
          <w:i w:val="0"/>
          <w:iCs w:val="0"/>
          <w:sz w:val="24"/>
          <w:szCs w:val="24"/>
        </w:rPr>
      </w:pPr>
    </w:p>
    <w:p w:rsidR="001B2E52" w:rsidP="001B2E52">
      <w:pPr>
        <w:pStyle w:val="Textkomentra1"/>
        <w:tabs>
          <w:tab w:val="left" w:pos="3969"/>
        </w:tabs>
        <w:bidi w:val="0"/>
        <w:spacing w:after="0" w:line="240" w:lineRule="auto"/>
        <w:ind w:left="3969"/>
        <w:jc w:val="both"/>
        <w:rPr>
          <w:rStyle w:val="Emphasis"/>
          <w:iCs w:val="0"/>
          <w:sz w:val="24"/>
          <w:szCs w:val="24"/>
        </w:rPr>
      </w:pPr>
    </w:p>
    <w:p w:rsidR="001B2E52" w:rsidP="001B2E52">
      <w:pPr>
        <w:pStyle w:val="Textkomentra1"/>
        <w:numPr>
          <w:ilvl w:val="0"/>
          <w:numId w:val="10"/>
        </w:numPr>
        <w:tabs>
          <w:tab w:val="left" w:pos="426"/>
        </w:tabs>
        <w:bidi w:val="0"/>
        <w:spacing w:after="0" w:line="360" w:lineRule="auto"/>
        <w:ind w:left="426" w:hanging="426"/>
        <w:jc w:val="both"/>
        <w:rPr>
          <w:rStyle w:val="Emphasis"/>
          <w:i w:val="0"/>
          <w:iCs w:val="0"/>
          <w:sz w:val="24"/>
          <w:szCs w:val="24"/>
          <w:lang w:val="sk-SK"/>
        </w:rPr>
      </w:pPr>
      <w:r>
        <w:rPr>
          <w:rStyle w:val="Emphasis"/>
          <w:i w:val="0"/>
          <w:iCs w:val="0"/>
          <w:sz w:val="24"/>
          <w:szCs w:val="24"/>
          <w:lang w:val="sk-SK"/>
        </w:rPr>
        <w:t xml:space="preserve">V čl. I, § 8 ods. 4 sa slová „podľa s týmto zákonom“ nahrádzajú slovami „podľa tohto zákona“. </w:t>
      </w:r>
    </w:p>
    <w:p w:rsidR="001B2E52" w:rsidP="001B2E52">
      <w:pPr>
        <w:pStyle w:val="Textkomentra1"/>
        <w:tabs>
          <w:tab w:val="left" w:pos="3969"/>
        </w:tabs>
        <w:bidi w:val="0"/>
        <w:spacing w:after="0" w:line="240" w:lineRule="auto"/>
        <w:ind w:left="3969"/>
        <w:jc w:val="both"/>
        <w:rPr>
          <w:rStyle w:val="Emphasis"/>
          <w:i w:val="0"/>
          <w:iCs w:val="0"/>
          <w:sz w:val="24"/>
          <w:szCs w:val="24"/>
        </w:rPr>
      </w:pPr>
      <w:r>
        <w:rPr>
          <w:rStyle w:val="Emphasis"/>
          <w:i w:val="0"/>
          <w:iCs w:val="0"/>
          <w:sz w:val="24"/>
          <w:szCs w:val="24"/>
        </w:rPr>
        <w:t xml:space="preserve">Ide o legislatívno-technickú úpravu; ustanovenie sa </w:t>
      </w:r>
      <w:r>
        <w:rPr>
          <w:rStyle w:val="Emphasis"/>
          <w:i w:val="0"/>
          <w:iCs w:val="0"/>
          <w:sz w:val="24"/>
          <w:szCs w:val="24"/>
          <w:lang w:val="sk-SK"/>
        </w:rPr>
        <w:t>upravuje</w:t>
      </w:r>
      <w:r>
        <w:rPr>
          <w:rStyle w:val="Emphasis"/>
          <w:i w:val="0"/>
          <w:iCs w:val="0"/>
          <w:sz w:val="24"/>
          <w:szCs w:val="24"/>
        </w:rPr>
        <w:t xml:space="preserve"> z hľadiska zrozumiteľnosti.  </w:t>
      </w:r>
    </w:p>
    <w:p w:rsidR="001B2E52" w:rsidP="001B2E52">
      <w:pPr>
        <w:pStyle w:val="Textkomentra1"/>
        <w:tabs>
          <w:tab w:val="left" w:pos="3969"/>
        </w:tabs>
        <w:bidi w:val="0"/>
        <w:spacing w:after="0" w:line="240" w:lineRule="auto"/>
        <w:ind w:left="3969"/>
        <w:jc w:val="both"/>
        <w:rPr>
          <w:rStyle w:val="Emphasis"/>
          <w:i w:val="0"/>
          <w:iCs w:val="0"/>
          <w:sz w:val="24"/>
          <w:szCs w:val="24"/>
          <w:lang w:val="sk-SK"/>
        </w:rPr>
      </w:pPr>
    </w:p>
    <w:p w:rsidR="001B2E52" w:rsidP="001B2E52">
      <w:pPr>
        <w:pStyle w:val="Textkomentra1"/>
        <w:numPr>
          <w:ilvl w:val="0"/>
          <w:numId w:val="10"/>
        </w:numPr>
        <w:tabs>
          <w:tab w:val="left" w:pos="426"/>
        </w:tabs>
        <w:bidi w:val="0"/>
        <w:spacing w:after="0" w:line="360" w:lineRule="auto"/>
        <w:ind w:left="426" w:hanging="426"/>
        <w:jc w:val="both"/>
        <w:rPr>
          <w:rStyle w:val="Emphasis"/>
          <w:i w:val="0"/>
          <w:iCs w:val="0"/>
          <w:sz w:val="24"/>
          <w:szCs w:val="24"/>
          <w:shd w:val="clear" w:color="auto" w:fill="00FFFF"/>
        </w:rPr>
      </w:pPr>
      <w:r>
        <w:rPr>
          <w:rFonts w:ascii="Times New Roman" w:hAnsi="Times New Roman"/>
          <w:iCs/>
          <w:sz w:val="24"/>
          <w:szCs w:val="24"/>
        </w:rPr>
        <w:t>V čl. I, § 8 ods. 10</w:t>
      </w:r>
      <w:r>
        <w:rPr>
          <w:rStyle w:val="Emphasis"/>
          <w:b/>
          <w:i w:val="0"/>
          <w:iCs w:val="0"/>
          <w:sz w:val="24"/>
          <w:szCs w:val="24"/>
        </w:rPr>
        <w:t xml:space="preserve"> </w:t>
      </w:r>
      <w:r>
        <w:rPr>
          <w:rStyle w:val="Emphasis"/>
          <w:i w:val="0"/>
          <w:iCs w:val="0"/>
          <w:sz w:val="24"/>
          <w:szCs w:val="24"/>
        </w:rPr>
        <w:t>sa slová „</w:t>
      </w:r>
      <w:r>
        <w:rPr>
          <w:rFonts w:ascii="Times New Roman" w:hAnsi="Times New Roman"/>
          <w:color w:val="000000"/>
          <w:sz w:val="24"/>
          <w:szCs w:val="24"/>
        </w:rPr>
        <w:t>poskytovateľ poistenia alebo finančnej zábezpeky</w:t>
      </w:r>
      <w:r>
        <w:rPr>
          <w:rStyle w:val="Emphasis"/>
          <w:i w:val="0"/>
          <w:iCs w:val="0"/>
          <w:sz w:val="24"/>
          <w:szCs w:val="24"/>
        </w:rPr>
        <w:t>“ nahrádzajú slovami „</w:t>
      </w:r>
      <w:r>
        <w:rPr>
          <w:rFonts w:ascii="Times New Roman" w:hAnsi="Times New Roman"/>
          <w:color w:val="000000"/>
          <w:sz w:val="24"/>
          <w:szCs w:val="24"/>
        </w:rPr>
        <w:t>poskytovateľ poistenia alebo poskytovateľ finančnej zábezpeky</w:t>
      </w:r>
      <w:r>
        <w:rPr>
          <w:rStyle w:val="Emphasis"/>
          <w:i w:val="0"/>
          <w:iCs w:val="0"/>
          <w:sz w:val="24"/>
          <w:szCs w:val="24"/>
        </w:rPr>
        <w:t>“</w:t>
      </w:r>
      <w:r>
        <w:rPr>
          <w:rStyle w:val="Emphasis"/>
          <w:i w:val="0"/>
          <w:iCs w:val="0"/>
          <w:sz w:val="24"/>
          <w:szCs w:val="24"/>
          <w:lang w:val="sk-SK"/>
        </w:rPr>
        <w:t xml:space="preserve">. </w:t>
      </w:r>
    </w:p>
    <w:p w:rsidR="001B2E52" w:rsidP="001B2E52">
      <w:pPr>
        <w:pStyle w:val="Textkomentra1"/>
        <w:tabs>
          <w:tab w:val="left" w:pos="3969"/>
        </w:tabs>
        <w:bidi w:val="0"/>
        <w:spacing w:after="0" w:line="240" w:lineRule="auto"/>
        <w:ind w:left="3969"/>
        <w:jc w:val="both"/>
      </w:pPr>
    </w:p>
    <w:p w:rsidR="001B2E52" w:rsidP="001B2E52">
      <w:pPr>
        <w:pStyle w:val="ListParagraph"/>
        <w:bidi w:val="0"/>
        <w:ind w:left="3969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Ide o legislatívno-technickú úpravu; ustanovenie sa spresňuje. </w:t>
      </w:r>
    </w:p>
    <w:p w:rsidR="001B2E52" w:rsidP="001B2E52">
      <w:pPr>
        <w:pStyle w:val="ListParagraph"/>
        <w:bidi w:val="0"/>
        <w:ind w:left="3969"/>
        <w:rPr>
          <w:rStyle w:val="Emphasis"/>
          <w:i w:val="0"/>
          <w:iCs w:val="0"/>
        </w:rPr>
      </w:pPr>
    </w:p>
    <w:p w:rsidR="001B2E52" w:rsidP="001B2E52">
      <w:pPr>
        <w:pStyle w:val="ListParagraph"/>
        <w:numPr>
          <w:ilvl w:val="0"/>
          <w:numId w:val="10"/>
        </w:numPr>
        <w:tabs>
          <w:tab w:val="left" w:pos="426"/>
        </w:tabs>
        <w:suppressAutoHyphens/>
        <w:bidi w:val="0"/>
        <w:spacing w:line="360" w:lineRule="auto"/>
        <w:ind w:left="0" w:firstLine="0"/>
        <w:contextualSpacing w:val="0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V čl. I, § 9 ods. 1 a 2 sa vypúšťajú slová „na účely tohto zákona“. </w:t>
      </w:r>
    </w:p>
    <w:p w:rsidR="001B2E52" w:rsidP="001B2E52">
      <w:pPr>
        <w:pStyle w:val="ListParagraph"/>
        <w:bidi w:val="0"/>
        <w:ind w:left="3969"/>
        <w:jc w:val="both"/>
        <w:rPr>
          <w:rStyle w:val="Emphasis"/>
          <w:i w:val="0"/>
          <w:iCs w:val="0"/>
        </w:rPr>
      </w:pPr>
    </w:p>
    <w:p w:rsidR="001B2E52" w:rsidP="001B2E52">
      <w:pPr>
        <w:pStyle w:val="ListParagraph"/>
        <w:bidi w:val="0"/>
        <w:ind w:left="3969"/>
        <w:jc w:val="both"/>
        <w:rPr>
          <w:rFonts w:ascii="Times New Roman" w:hAnsi="Times New Roman"/>
        </w:rPr>
      </w:pPr>
      <w:r>
        <w:rPr>
          <w:rStyle w:val="Emphasis"/>
          <w:i w:val="0"/>
          <w:iCs w:val="0"/>
        </w:rPr>
        <w:t xml:space="preserve">Ide o legislatívno-technickú úpravu; z ustanovenia sa vypúšťajú nadbytočné slová, keďže všetky práva/povinnosti podľa návrhu zákona vrátane oznamovacej povinnosti  prevádzkovateľa smerujú k naplneniu účelu tejto úpravy. </w:t>
      </w:r>
    </w:p>
    <w:p w:rsidR="001B2E52" w:rsidP="001B2E52">
      <w:pPr>
        <w:pStyle w:val="ListParagraph"/>
        <w:bidi w:val="0"/>
        <w:spacing w:line="360" w:lineRule="auto"/>
        <w:rPr>
          <w:rFonts w:ascii="Times New Roman" w:hAnsi="Times New Roman"/>
          <w:shd w:val="clear" w:color="auto" w:fill="FFFF00"/>
        </w:rPr>
      </w:pPr>
    </w:p>
    <w:p w:rsidR="001B2E52" w:rsidP="001B2E52">
      <w:pPr>
        <w:pStyle w:val="ListParagraph"/>
        <w:numPr>
          <w:ilvl w:val="0"/>
          <w:numId w:val="10"/>
        </w:numPr>
        <w:suppressAutoHyphens/>
        <w:bidi w:val="0"/>
        <w:spacing w:line="360" w:lineRule="auto"/>
        <w:ind w:left="426" w:hanging="426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  <w:iCs/>
        </w:rPr>
        <w:t xml:space="preserve">V čl. I, </w:t>
      </w:r>
      <w:r>
        <w:rPr>
          <w:rFonts w:ascii="Times New Roman" w:hAnsi="Times New Roman"/>
        </w:rPr>
        <w:t xml:space="preserve"> § 9 ods. 3 sa slová „</w:t>
      </w:r>
      <w:r>
        <w:rPr>
          <w:rFonts w:ascii="Times New Roman" w:hAnsi="Times New Roman"/>
          <w:color w:val="000000"/>
        </w:rPr>
        <w:t>odseku 2 alebo odseku 3</w:t>
      </w:r>
      <w:r>
        <w:rPr>
          <w:rFonts w:ascii="Times New Roman" w:hAnsi="Times New Roman"/>
        </w:rPr>
        <w:t>“  nahrádzajú slovami „</w:t>
      </w:r>
      <w:r>
        <w:rPr>
          <w:rFonts w:ascii="Times New Roman" w:hAnsi="Times New Roman"/>
          <w:color w:val="000000"/>
        </w:rPr>
        <w:t>odseku 1 alebo 2“</w:t>
      </w:r>
      <w:r>
        <w:rPr>
          <w:rFonts w:ascii="Times New Roman" w:hAnsi="Times New Roman"/>
        </w:rPr>
        <w:t xml:space="preserve"> a slová </w:t>
      </w:r>
      <w:r>
        <w:rPr>
          <w:rFonts w:ascii="Times New Roman" w:hAnsi="Times New Roman"/>
          <w:color w:val="000000"/>
        </w:rPr>
        <w:t>„prevádzkovateľom  pri  jadrovej udalosti</w:t>
      </w:r>
      <w:r>
        <w:rPr>
          <w:rFonts w:ascii="Times New Roman" w:hAnsi="Times New Roman"/>
        </w:rPr>
        <w:t xml:space="preserve">“ sa nahrádzajú slovami </w:t>
      </w:r>
      <w:r>
        <w:rPr>
          <w:rFonts w:ascii="Times New Roman" w:hAnsi="Times New Roman"/>
          <w:color w:val="000000"/>
        </w:rPr>
        <w:t>„prevádzkovateľom počas  jadrovej udalosti</w:t>
      </w:r>
      <w:r>
        <w:rPr>
          <w:rFonts w:ascii="Times New Roman" w:hAnsi="Times New Roman"/>
        </w:rPr>
        <w:t xml:space="preserve">“. </w:t>
      </w:r>
    </w:p>
    <w:p w:rsidR="001B2E52" w:rsidP="001B2E52">
      <w:pPr>
        <w:pStyle w:val="ListParagraph"/>
        <w:bidi w:val="0"/>
        <w:ind w:left="0"/>
        <w:rPr>
          <w:rFonts w:ascii="Times New Roman" w:hAnsi="Times New Roman"/>
        </w:rPr>
      </w:pPr>
    </w:p>
    <w:p w:rsidR="001B2E52" w:rsidP="001B2E52">
      <w:pPr>
        <w:pStyle w:val="ListParagraph"/>
        <w:bidi w:val="0"/>
        <w:ind w:left="3969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Ide o legislatívno-technickú úpravu; ustanovenie sa spresňuje v kontexte návrhu zákona </w:t>
      </w:r>
      <w:r>
        <w:rPr>
          <w:rStyle w:val="Emphasis"/>
          <w:iCs w:val="0"/>
        </w:rPr>
        <w:t>(§ 9 ods. 1 a 2)</w:t>
      </w:r>
      <w:r>
        <w:rPr>
          <w:rStyle w:val="Emphasis"/>
          <w:i w:val="0"/>
          <w:iCs w:val="0"/>
        </w:rPr>
        <w:t xml:space="preserve">.  </w:t>
      </w:r>
    </w:p>
    <w:p w:rsidR="001B2E52" w:rsidP="001B2E52">
      <w:pPr>
        <w:pStyle w:val="ListParagraph"/>
        <w:bidi w:val="0"/>
        <w:ind w:left="0"/>
        <w:rPr>
          <w:rFonts w:ascii="Times New Roman" w:hAnsi="Times New Roman"/>
        </w:rPr>
      </w:pPr>
    </w:p>
    <w:p w:rsidR="001B2E52" w:rsidP="001B2E52">
      <w:pPr>
        <w:pStyle w:val="ListParagraph"/>
        <w:numPr>
          <w:ilvl w:val="0"/>
          <w:numId w:val="10"/>
        </w:numPr>
        <w:suppressAutoHyphens/>
        <w:bidi w:val="0"/>
        <w:spacing w:line="360" w:lineRule="auto"/>
        <w:ind w:left="426" w:hanging="426"/>
        <w:contextualSpacing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iCs/>
        </w:rPr>
        <w:t xml:space="preserve">V čl. I, </w:t>
      </w:r>
      <w:r>
        <w:rPr>
          <w:rFonts w:ascii="Times New Roman" w:hAnsi="Times New Roman"/>
        </w:rPr>
        <w:t xml:space="preserve"> § 9 ods. 4 sa slová </w:t>
      </w:r>
      <w:r>
        <w:rPr>
          <w:rFonts w:ascii="Times New Roman" w:hAnsi="Times New Roman"/>
          <w:color w:val="000000"/>
        </w:rPr>
        <w:t>„odseku 2 alebo odseku 3</w:t>
      </w:r>
      <w:r>
        <w:rPr>
          <w:rFonts w:ascii="Times New Roman" w:hAnsi="Times New Roman"/>
        </w:rPr>
        <w:t>“ nahrádzajú slovami „</w:t>
      </w:r>
      <w:r>
        <w:rPr>
          <w:rFonts w:ascii="Times New Roman" w:hAnsi="Times New Roman"/>
          <w:color w:val="000000"/>
        </w:rPr>
        <w:t>odseku 1 alebo 2“.</w:t>
      </w:r>
    </w:p>
    <w:p w:rsidR="001B2E52" w:rsidP="001B2E52">
      <w:pPr>
        <w:pStyle w:val="ListParagraph"/>
        <w:bidi w:val="0"/>
        <w:ind w:left="3969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Ide o legislatívno-technickú úpravu; ustanovenie sa spresňuje v kontexte návrhu zákona </w:t>
      </w:r>
      <w:r>
        <w:rPr>
          <w:rStyle w:val="Emphasis"/>
          <w:iCs w:val="0"/>
        </w:rPr>
        <w:t>(§ 9 ods. 1 a 2).</w:t>
      </w:r>
      <w:r>
        <w:rPr>
          <w:rStyle w:val="Emphasis"/>
          <w:i w:val="0"/>
          <w:iCs w:val="0"/>
        </w:rPr>
        <w:t xml:space="preserve">  </w:t>
      </w:r>
    </w:p>
    <w:p w:rsidR="001B2E52" w:rsidP="001B2E52">
      <w:pPr>
        <w:pStyle w:val="ListParagraph"/>
        <w:bidi w:val="0"/>
        <w:ind w:left="3969"/>
        <w:rPr>
          <w:rFonts w:ascii="Times New Roman" w:hAnsi="Times New Roman"/>
        </w:rPr>
      </w:pPr>
    </w:p>
    <w:p w:rsidR="001B2E52" w:rsidP="001B2E52">
      <w:pPr>
        <w:pStyle w:val="ListParagraph"/>
        <w:bidi w:val="0"/>
        <w:ind w:left="3969"/>
        <w:rPr>
          <w:rFonts w:ascii="Times New Roman" w:hAnsi="Times New Roman"/>
        </w:rPr>
      </w:pPr>
    </w:p>
    <w:p w:rsidR="001B2E52" w:rsidP="001B2E52">
      <w:pPr>
        <w:pStyle w:val="ListParagraph"/>
        <w:numPr>
          <w:ilvl w:val="0"/>
          <w:numId w:val="10"/>
        </w:numPr>
        <w:tabs>
          <w:tab w:val="left" w:pos="426"/>
        </w:tabs>
        <w:suppressAutoHyphens/>
        <w:bidi w:val="0"/>
        <w:spacing w:line="360" w:lineRule="auto"/>
        <w:ind w:left="426" w:hanging="426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  <w:iCs/>
        </w:rPr>
        <w:t xml:space="preserve">V čl. I, </w:t>
      </w:r>
      <w:r>
        <w:rPr>
          <w:rFonts w:ascii="Times New Roman" w:hAnsi="Times New Roman"/>
        </w:rPr>
        <w:t xml:space="preserve"> § 10 ods. 10 sa slová „všeobecného zákona o správnom konaní.“ nahrádzajú slovami „všeobecný predpis o správnom konaní.</w:t>
      </w:r>
      <w:r>
        <w:rPr>
          <w:rFonts w:ascii="Times New Roman" w:hAnsi="Times New Roman"/>
          <w:vertAlign w:val="superscript"/>
        </w:rPr>
        <w:t>30</w:t>
      </w:r>
      <w:r>
        <w:rPr>
          <w:rFonts w:ascii="Times New Roman" w:hAnsi="Times New Roman"/>
        </w:rPr>
        <w:t xml:space="preserve">)“.   </w:t>
      </w:r>
    </w:p>
    <w:p w:rsidR="001B2E52" w:rsidP="001B2E52">
      <w:pPr>
        <w:pStyle w:val="ListParagraph"/>
        <w:bidi w:val="0"/>
        <w:ind w:left="3969" w:hanging="3969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                                                                  </w:t>
      </w:r>
    </w:p>
    <w:p w:rsidR="001B2E52" w:rsidRPr="000829D2" w:rsidP="001B2E52">
      <w:pPr>
        <w:widowControl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Poznámka pod čiarou k </w:t>
      </w:r>
      <w:r w:rsidRPr="000829D2">
        <w:rPr>
          <w:rFonts w:ascii="Times New Roman" w:hAnsi="Times New Roman"/>
        </w:rPr>
        <w:t xml:space="preserve">odkazu 30 znie: </w:t>
      </w:r>
    </w:p>
    <w:p w:rsidR="001B2E52" w:rsidRPr="000829D2" w:rsidP="001B2E52">
      <w:pPr>
        <w:widowControl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</w:rPr>
      </w:pPr>
      <w:r w:rsidRPr="000829D2">
        <w:rPr>
          <w:rFonts w:ascii="Times New Roman" w:hAnsi="Times New Roman"/>
        </w:rPr>
        <w:t xml:space="preserve">       „</w:t>
      </w:r>
      <w:r w:rsidRPr="000829D2">
        <w:rPr>
          <w:rFonts w:ascii="Times New Roman" w:hAnsi="Times New Roman"/>
          <w:vertAlign w:val="superscript"/>
        </w:rPr>
        <w:t>30</w:t>
      </w:r>
      <w:r w:rsidRPr="000829D2">
        <w:rPr>
          <w:rFonts w:ascii="Times New Roman" w:hAnsi="Times New Roman"/>
        </w:rPr>
        <w:t xml:space="preserve">) Zákon č. </w:t>
      </w:r>
      <w:hyperlink r:id="rId5" w:history="1">
        <w:r w:rsidRPr="000829D2">
          <w:rPr>
            <w:rStyle w:val="Hyperlink"/>
            <w:rFonts w:ascii="Times New Roman" w:hAnsi="Times New Roman"/>
            <w:color w:val="auto"/>
            <w:u w:val="none"/>
          </w:rPr>
          <w:t>71/1967 Zb.</w:t>
        </w:r>
      </w:hyperlink>
      <w:r w:rsidRPr="000829D2">
        <w:rPr>
          <w:rFonts w:ascii="Times New Roman" w:hAnsi="Times New Roman"/>
        </w:rPr>
        <w:t xml:space="preserve"> o správnom konaní (správny poriadok) v znení neskorších  </w:t>
      </w:r>
    </w:p>
    <w:p w:rsidR="001B2E52" w:rsidP="001B2E52">
      <w:pPr>
        <w:widowControl w:val="0"/>
        <w:autoSpaceDE w:val="0"/>
        <w:autoSpaceDN w:val="0"/>
        <w:bidi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14"/>
          <w:szCs w:val="14"/>
        </w:rPr>
      </w:pPr>
      <w:r>
        <w:rPr>
          <w:rFonts w:ascii="Times New Roman" w:hAnsi="Times New Roman"/>
        </w:rPr>
        <w:t xml:space="preserve">        </w:t>
        <w:tab/>
        <w:t xml:space="preserve">   predpisov.".</w:t>
      </w:r>
    </w:p>
    <w:p w:rsidR="001B2E52" w:rsidP="001B2E52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    </w:t>
      </w:r>
    </w:p>
    <w:p w:rsidR="001B2E52" w:rsidP="001B2E52">
      <w:pPr>
        <w:widowControl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     V tejto súvislosti sa vykoná preznačenie doterajšej poznámky pod čiarou k odkazu 30        </w:t>
      </w:r>
    </w:p>
    <w:p w:rsidR="001B2E52" w:rsidP="001B2E52">
      <w:pPr>
        <w:widowControl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     vrátane označenia v § 11 nad slovom „predpisov“.</w:t>
      </w:r>
    </w:p>
    <w:p w:rsidR="001B2E52" w:rsidP="001B2E52">
      <w:pPr>
        <w:widowControl w:val="0"/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  <w:szCs w:val="22"/>
        </w:rPr>
      </w:pPr>
    </w:p>
    <w:p w:rsidR="001B2E52" w:rsidP="001B2E52">
      <w:pPr>
        <w:pStyle w:val="BodyText"/>
        <w:shd w:val="clear" w:color="auto" w:fill="FFFFFF"/>
        <w:bidi w:val="0"/>
        <w:ind w:left="3969"/>
        <w:rPr>
          <w:rStyle w:val="Emphasis"/>
          <w:i w:val="0"/>
          <w:iCs w:val="0"/>
          <w:lang w:eastAsia="ar-SA"/>
        </w:rPr>
      </w:pPr>
      <w:r>
        <w:rPr>
          <w:rStyle w:val="Emphasis"/>
          <w:i w:val="0"/>
          <w:iCs w:val="0"/>
        </w:rPr>
        <w:t xml:space="preserve">Ide o legislatívno-technickú úpravu; text sa upravuje s ohľadom na zaužívané legislatívne formulácie.  </w:t>
      </w:r>
    </w:p>
    <w:p w:rsidR="001B2E52" w:rsidP="001B2E52">
      <w:pPr>
        <w:pStyle w:val="ListParagraph"/>
        <w:bidi w:val="0"/>
        <w:ind w:left="3969" w:hanging="3969"/>
        <w:rPr>
          <w:rStyle w:val="Emphasis"/>
          <w:i w:val="0"/>
          <w:iCs w:val="0"/>
        </w:rPr>
      </w:pPr>
    </w:p>
    <w:p w:rsidR="001B2E52" w:rsidP="001B2E52">
      <w:pPr>
        <w:pStyle w:val="ListParagraph"/>
        <w:numPr>
          <w:ilvl w:val="0"/>
          <w:numId w:val="10"/>
        </w:numPr>
        <w:tabs>
          <w:tab w:val="left" w:pos="426"/>
        </w:tabs>
        <w:suppressAutoHyphens/>
        <w:bidi w:val="0"/>
        <w:spacing w:line="360" w:lineRule="auto"/>
        <w:ind w:left="426" w:hanging="426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  <w:iCs/>
        </w:rPr>
        <w:t xml:space="preserve">V čl. II, 5. bode 5 </w:t>
      </w:r>
      <w:r>
        <w:rPr>
          <w:rFonts w:ascii="Times New Roman" w:hAnsi="Times New Roman"/>
          <w:i/>
          <w:iCs/>
        </w:rPr>
        <w:t>(§ 8 ods. 9)</w:t>
      </w:r>
      <w:r>
        <w:rPr>
          <w:rFonts w:ascii="Times New Roman" w:hAnsi="Times New Roman"/>
          <w:iCs/>
        </w:rPr>
        <w:t xml:space="preserve"> sa </w:t>
      </w:r>
      <w:r>
        <w:rPr>
          <w:rFonts w:ascii="Times New Roman" w:hAnsi="Times New Roman"/>
        </w:rPr>
        <w:t>slová „</w:t>
      </w:r>
      <w:r>
        <w:rPr>
          <w:rFonts w:ascii="Times New Roman" w:hAnsi="Times New Roman"/>
          <w:bCs/>
          <w:color w:val="000000"/>
        </w:rPr>
        <w:t xml:space="preserve">alebo podľa vyjadrenia“ nahrádzajú slovami „alebo ak podľa vyjadrenia“ a slová  </w:t>
      </w:r>
      <w:r>
        <w:rPr>
          <w:rFonts w:ascii="Times New Roman" w:hAnsi="Times New Roman"/>
        </w:rPr>
        <w:t>„</w:t>
      </w:r>
      <w:r>
        <w:rPr>
          <w:rFonts w:ascii="Times New Roman" w:hAnsi="Times New Roman"/>
          <w:bCs/>
          <w:color w:val="000000"/>
        </w:rPr>
        <w:t xml:space="preserve">poskytovateľ poistenia alebo finančnej zábezpeky“    </w:t>
      </w:r>
      <w:r>
        <w:rPr>
          <w:rFonts w:ascii="Times New Roman" w:hAnsi="Times New Roman"/>
        </w:rPr>
        <w:t xml:space="preserve">   sa</w:t>
      </w:r>
      <w:r>
        <w:rPr>
          <w:rFonts w:ascii="Times New Roman" w:hAnsi="Times New Roman"/>
          <w:bCs/>
          <w:color w:val="000000"/>
        </w:rPr>
        <w:t xml:space="preserve"> nahrádzajú slovami „poskytovateľ poistenia alebo poskytovateľ finančnej zábezpeky</w:t>
      </w:r>
      <w:r>
        <w:rPr>
          <w:rFonts w:ascii="Times New Roman" w:hAnsi="Times New Roman"/>
        </w:rPr>
        <w:t xml:space="preserve">“.   </w:t>
      </w:r>
    </w:p>
    <w:p w:rsidR="001B2E52" w:rsidP="001B2E52">
      <w:pPr>
        <w:pStyle w:val="BodyText"/>
        <w:bidi w:val="0"/>
        <w:spacing w:line="360" w:lineRule="auto"/>
        <w:ind w:left="426"/>
        <w:rPr>
          <w:rFonts w:ascii="Times New Roman" w:hAnsi="Times New Roman"/>
          <w:bCs/>
          <w:color w:val="000000"/>
        </w:rPr>
      </w:pPr>
    </w:p>
    <w:p w:rsidR="001B2E52" w:rsidP="001B2E52">
      <w:pPr>
        <w:pStyle w:val="BodyText"/>
        <w:shd w:val="clear" w:color="auto" w:fill="FFFFFF"/>
        <w:bidi w:val="0"/>
        <w:ind w:left="3969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Ide o legislatívno-technickú úpravu; ustanovenie sa upravuje z</w:t>
      </w:r>
      <w:r w:rsidR="000829D2"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 hľadiska jednoznačnosti</w:t>
      </w:r>
      <w:r w:rsidR="000829D2">
        <w:rPr>
          <w:rStyle w:val="Emphasis"/>
          <w:i w:val="0"/>
          <w:iCs w:val="0"/>
        </w:rPr>
        <w:t xml:space="preserve"> a </w:t>
      </w:r>
      <w:r>
        <w:rPr>
          <w:rStyle w:val="Emphasis"/>
          <w:i w:val="0"/>
          <w:iCs w:val="0"/>
        </w:rPr>
        <w:t xml:space="preserve">zrozumiteľnosti.  </w:t>
      </w:r>
    </w:p>
    <w:p w:rsidR="001B2E52" w:rsidP="001B2E52">
      <w:pPr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1B2E52" w:rsidRPr="00327612" w:rsidP="002E0F39">
      <w:pPr>
        <w:bidi w:val="0"/>
        <w:jc w:val="both"/>
        <w:rPr>
          <w:rFonts w:ascii="Times New Roman" w:eastAsia="Arial Unicode MS" w:hAnsi="Times New Roman"/>
          <w:b/>
          <w:bCs/>
          <w:lang w:eastAsia="en-US"/>
        </w:rPr>
      </w:pPr>
    </w:p>
    <w:sectPr w:rsidSect="008467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1DAA4290"/>
    <w:lvl w:ilvl="0">
      <w:start w:val="1"/>
      <w:numFmt w:val="decimal"/>
      <w:lvlText w:val="%1."/>
      <w:lvlJc w:val="left"/>
      <w:pPr>
        <w:tabs>
          <w:tab w:val="num" w:pos="284"/>
        </w:tabs>
        <w:ind w:left="107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</w:abstractNum>
  <w:abstractNum w:abstractNumId="1">
    <w:nsid w:val="04904379"/>
    <w:multiLevelType w:val="hybridMultilevel"/>
    <w:tmpl w:val="76BC68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7F0CE1"/>
    <w:multiLevelType w:val="hybridMultilevel"/>
    <w:tmpl w:val="6FFCA4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BB51B47"/>
    <w:multiLevelType w:val="hybridMultilevel"/>
    <w:tmpl w:val="20F47A5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5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7">
    <w:nsid w:val="51BB3DB5"/>
    <w:multiLevelType w:val="hybridMultilevel"/>
    <w:tmpl w:val="D0584A0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  <w:rtl w:val="0"/>
        <w:cs w:val="0"/>
      </w:rPr>
    </w:lvl>
  </w:abstractNum>
  <w:abstractNum w:abstractNumId="8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num w:numId="1">
    <w:abstractNumId w:val="8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4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0F2C"/>
    <w:rsid w:val="00016D42"/>
    <w:rsid w:val="00017101"/>
    <w:rsid w:val="00026536"/>
    <w:rsid w:val="00036E37"/>
    <w:rsid w:val="0005344A"/>
    <w:rsid w:val="00080BDB"/>
    <w:rsid w:val="000829D2"/>
    <w:rsid w:val="000A27DF"/>
    <w:rsid w:val="000B57E9"/>
    <w:rsid w:val="000C238A"/>
    <w:rsid w:val="000D11D5"/>
    <w:rsid w:val="000F4A21"/>
    <w:rsid w:val="000F667E"/>
    <w:rsid w:val="00106E7E"/>
    <w:rsid w:val="00115D3B"/>
    <w:rsid w:val="0011659C"/>
    <w:rsid w:val="00117C6E"/>
    <w:rsid w:val="00137D1D"/>
    <w:rsid w:val="00142F27"/>
    <w:rsid w:val="00144A91"/>
    <w:rsid w:val="0015407E"/>
    <w:rsid w:val="00157ABA"/>
    <w:rsid w:val="00172E7C"/>
    <w:rsid w:val="00174702"/>
    <w:rsid w:val="00174955"/>
    <w:rsid w:val="00186B52"/>
    <w:rsid w:val="00186F61"/>
    <w:rsid w:val="00195B23"/>
    <w:rsid w:val="001B19FF"/>
    <w:rsid w:val="001B2E52"/>
    <w:rsid w:val="001B42EF"/>
    <w:rsid w:val="001B548E"/>
    <w:rsid w:val="001C1444"/>
    <w:rsid w:val="001D1D7B"/>
    <w:rsid w:val="001D7465"/>
    <w:rsid w:val="001E06A2"/>
    <w:rsid w:val="001E70BD"/>
    <w:rsid w:val="001E77B1"/>
    <w:rsid w:val="00224F3D"/>
    <w:rsid w:val="002271A1"/>
    <w:rsid w:val="0023079A"/>
    <w:rsid w:val="00236746"/>
    <w:rsid w:val="00252908"/>
    <w:rsid w:val="00293328"/>
    <w:rsid w:val="002945C1"/>
    <w:rsid w:val="00296777"/>
    <w:rsid w:val="002B6D17"/>
    <w:rsid w:val="002C748C"/>
    <w:rsid w:val="002D7999"/>
    <w:rsid w:val="002E0F39"/>
    <w:rsid w:val="002F58C9"/>
    <w:rsid w:val="002F611C"/>
    <w:rsid w:val="00303279"/>
    <w:rsid w:val="00327612"/>
    <w:rsid w:val="003514F3"/>
    <w:rsid w:val="0037354B"/>
    <w:rsid w:val="00386D14"/>
    <w:rsid w:val="0039460E"/>
    <w:rsid w:val="00396B2B"/>
    <w:rsid w:val="0039792F"/>
    <w:rsid w:val="00397B4E"/>
    <w:rsid w:val="003D2166"/>
    <w:rsid w:val="003F22CE"/>
    <w:rsid w:val="003F7533"/>
    <w:rsid w:val="00413C8B"/>
    <w:rsid w:val="0042443B"/>
    <w:rsid w:val="004400E6"/>
    <w:rsid w:val="00453FB8"/>
    <w:rsid w:val="00455EBD"/>
    <w:rsid w:val="00456DA2"/>
    <w:rsid w:val="0046544E"/>
    <w:rsid w:val="00475F91"/>
    <w:rsid w:val="00477087"/>
    <w:rsid w:val="004877F9"/>
    <w:rsid w:val="00494790"/>
    <w:rsid w:val="004A2E3F"/>
    <w:rsid w:val="004C7786"/>
    <w:rsid w:val="004D7C1D"/>
    <w:rsid w:val="004E6ADD"/>
    <w:rsid w:val="00502405"/>
    <w:rsid w:val="00520EAC"/>
    <w:rsid w:val="0052255B"/>
    <w:rsid w:val="0053517A"/>
    <w:rsid w:val="00541A50"/>
    <w:rsid w:val="00545A46"/>
    <w:rsid w:val="00556936"/>
    <w:rsid w:val="005757E5"/>
    <w:rsid w:val="005838F0"/>
    <w:rsid w:val="00593194"/>
    <w:rsid w:val="005A094E"/>
    <w:rsid w:val="005A4239"/>
    <w:rsid w:val="005B1E91"/>
    <w:rsid w:val="005D5DBC"/>
    <w:rsid w:val="005E1310"/>
    <w:rsid w:val="005E1EA8"/>
    <w:rsid w:val="005E2843"/>
    <w:rsid w:val="005F6D60"/>
    <w:rsid w:val="00600AA7"/>
    <w:rsid w:val="00625A09"/>
    <w:rsid w:val="006423F7"/>
    <w:rsid w:val="0065386C"/>
    <w:rsid w:val="00654129"/>
    <w:rsid w:val="00654497"/>
    <w:rsid w:val="006622BA"/>
    <w:rsid w:val="006709E5"/>
    <w:rsid w:val="0068156B"/>
    <w:rsid w:val="006820ED"/>
    <w:rsid w:val="006D4392"/>
    <w:rsid w:val="006E10D6"/>
    <w:rsid w:val="006E4115"/>
    <w:rsid w:val="006F5224"/>
    <w:rsid w:val="00703118"/>
    <w:rsid w:val="00721A4B"/>
    <w:rsid w:val="00721D32"/>
    <w:rsid w:val="00721DFB"/>
    <w:rsid w:val="00741BD4"/>
    <w:rsid w:val="007629EA"/>
    <w:rsid w:val="00780216"/>
    <w:rsid w:val="007B3E77"/>
    <w:rsid w:val="007B6BB9"/>
    <w:rsid w:val="007C14C9"/>
    <w:rsid w:val="007E2431"/>
    <w:rsid w:val="007F0517"/>
    <w:rsid w:val="007F3316"/>
    <w:rsid w:val="00802CCB"/>
    <w:rsid w:val="00816924"/>
    <w:rsid w:val="0082154D"/>
    <w:rsid w:val="00826955"/>
    <w:rsid w:val="00833478"/>
    <w:rsid w:val="00833C5D"/>
    <w:rsid w:val="0084672F"/>
    <w:rsid w:val="008549D2"/>
    <w:rsid w:val="00866249"/>
    <w:rsid w:val="00867155"/>
    <w:rsid w:val="00881487"/>
    <w:rsid w:val="008A450D"/>
    <w:rsid w:val="008B0DE0"/>
    <w:rsid w:val="008C5B0D"/>
    <w:rsid w:val="008C74B6"/>
    <w:rsid w:val="008C74F2"/>
    <w:rsid w:val="008D03F7"/>
    <w:rsid w:val="008D6220"/>
    <w:rsid w:val="008D68E8"/>
    <w:rsid w:val="008E01CB"/>
    <w:rsid w:val="008E1F93"/>
    <w:rsid w:val="008E676A"/>
    <w:rsid w:val="008F11D0"/>
    <w:rsid w:val="008F6FDE"/>
    <w:rsid w:val="008F7250"/>
    <w:rsid w:val="009032CB"/>
    <w:rsid w:val="00914060"/>
    <w:rsid w:val="009327B3"/>
    <w:rsid w:val="00937E90"/>
    <w:rsid w:val="00950A54"/>
    <w:rsid w:val="0095167C"/>
    <w:rsid w:val="009707B1"/>
    <w:rsid w:val="00977032"/>
    <w:rsid w:val="00985F91"/>
    <w:rsid w:val="0099334A"/>
    <w:rsid w:val="009A7AB4"/>
    <w:rsid w:val="009B6E47"/>
    <w:rsid w:val="009C01B7"/>
    <w:rsid w:val="009D34CE"/>
    <w:rsid w:val="00A2253A"/>
    <w:rsid w:val="00A24AF2"/>
    <w:rsid w:val="00A325D1"/>
    <w:rsid w:val="00A4576B"/>
    <w:rsid w:val="00A47C1C"/>
    <w:rsid w:val="00A62F29"/>
    <w:rsid w:val="00A64B0F"/>
    <w:rsid w:val="00A65A35"/>
    <w:rsid w:val="00A67A5B"/>
    <w:rsid w:val="00A70BB2"/>
    <w:rsid w:val="00A937C3"/>
    <w:rsid w:val="00AA6297"/>
    <w:rsid w:val="00AD570A"/>
    <w:rsid w:val="00AF3C7D"/>
    <w:rsid w:val="00B14682"/>
    <w:rsid w:val="00B1565D"/>
    <w:rsid w:val="00B15F4B"/>
    <w:rsid w:val="00B216BB"/>
    <w:rsid w:val="00B252E1"/>
    <w:rsid w:val="00B27EB6"/>
    <w:rsid w:val="00B401F3"/>
    <w:rsid w:val="00B50DA3"/>
    <w:rsid w:val="00B64950"/>
    <w:rsid w:val="00B7137E"/>
    <w:rsid w:val="00B73900"/>
    <w:rsid w:val="00B76C54"/>
    <w:rsid w:val="00B82844"/>
    <w:rsid w:val="00B8722D"/>
    <w:rsid w:val="00B95C7C"/>
    <w:rsid w:val="00B96FE8"/>
    <w:rsid w:val="00BC7941"/>
    <w:rsid w:val="00BD73AB"/>
    <w:rsid w:val="00BE2A9D"/>
    <w:rsid w:val="00BF23D2"/>
    <w:rsid w:val="00BF5636"/>
    <w:rsid w:val="00C14623"/>
    <w:rsid w:val="00C31E71"/>
    <w:rsid w:val="00C34375"/>
    <w:rsid w:val="00C352F8"/>
    <w:rsid w:val="00C516A7"/>
    <w:rsid w:val="00C5317B"/>
    <w:rsid w:val="00C97D6B"/>
    <w:rsid w:val="00CA331A"/>
    <w:rsid w:val="00CA5557"/>
    <w:rsid w:val="00CA61B5"/>
    <w:rsid w:val="00CB548A"/>
    <w:rsid w:val="00CE06F8"/>
    <w:rsid w:val="00CE2E18"/>
    <w:rsid w:val="00D00F9C"/>
    <w:rsid w:val="00D1764E"/>
    <w:rsid w:val="00D214CA"/>
    <w:rsid w:val="00D21E16"/>
    <w:rsid w:val="00D259F2"/>
    <w:rsid w:val="00D418FD"/>
    <w:rsid w:val="00D73B41"/>
    <w:rsid w:val="00D76361"/>
    <w:rsid w:val="00D908DD"/>
    <w:rsid w:val="00DA20F1"/>
    <w:rsid w:val="00DC2F88"/>
    <w:rsid w:val="00DC4441"/>
    <w:rsid w:val="00DD1A2C"/>
    <w:rsid w:val="00DE1017"/>
    <w:rsid w:val="00DE4D92"/>
    <w:rsid w:val="00DE7FC9"/>
    <w:rsid w:val="00E04F5E"/>
    <w:rsid w:val="00E17959"/>
    <w:rsid w:val="00E37EA3"/>
    <w:rsid w:val="00E4006E"/>
    <w:rsid w:val="00E43FC5"/>
    <w:rsid w:val="00E5361E"/>
    <w:rsid w:val="00E67422"/>
    <w:rsid w:val="00E917CF"/>
    <w:rsid w:val="00E95582"/>
    <w:rsid w:val="00EA3DF0"/>
    <w:rsid w:val="00EC5927"/>
    <w:rsid w:val="00EE706F"/>
    <w:rsid w:val="00EE709D"/>
    <w:rsid w:val="00EF5242"/>
    <w:rsid w:val="00F02EE6"/>
    <w:rsid w:val="00F06130"/>
    <w:rsid w:val="00F35942"/>
    <w:rsid w:val="00F40F75"/>
    <w:rsid w:val="00F570EA"/>
    <w:rsid w:val="00F84D47"/>
    <w:rsid w:val="00F914C4"/>
    <w:rsid w:val="00F93BC5"/>
    <w:rsid w:val="00FA2008"/>
    <w:rsid w:val="00FA36C9"/>
    <w:rsid w:val="00FC0ABB"/>
    <w:rsid w:val="00FC2785"/>
    <w:rsid w:val="00FC4657"/>
    <w:rsid w:val="00FC4DC4"/>
    <w:rsid w:val="00FE2A8D"/>
    <w:rsid w:val="00FE4076"/>
    <w:rsid w:val="00FE4FA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ppp-input-value1">
    <w:name w:val="ppp-input-value1"/>
    <w:uiPriority w:val="99"/>
    <w:rsid w:val="00C5317B"/>
    <w:rPr>
      <w:rFonts w:ascii="Tahoma" w:hAnsi="Tahoma" w:cs="Tahoma"/>
      <w:color w:val="837A73"/>
      <w:sz w:val="16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1565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1565D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1B2E52"/>
    <w:rPr>
      <w:rFonts w:cs="Times New Roman"/>
      <w:color w:val="0000FF" w:themeColor="hlink" w:themeShade="FF"/>
      <w:u w:val="single"/>
      <w:rtl w:val="0"/>
      <w:cs w:val="0"/>
    </w:rPr>
  </w:style>
  <w:style w:type="paragraph" w:styleId="PlainText">
    <w:name w:val="Plain Text"/>
    <w:basedOn w:val="Normal"/>
    <w:link w:val="ObyajntextChar"/>
    <w:uiPriority w:val="99"/>
    <w:semiHidden/>
    <w:unhideWhenUsed/>
    <w:rsid w:val="001B2E52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DefaultParagraphFont"/>
    <w:link w:val="PlainText"/>
    <w:uiPriority w:val="99"/>
    <w:semiHidden/>
    <w:locked/>
    <w:rsid w:val="001B2E52"/>
    <w:rPr>
      <w:rFonts w:ascii="Courier New" w:hAnsi="Courier New" w:cs="Courier New"/>
      <w:sz w:val="20"/>
      <w:szCs w:val="20"/>
      <w:rtl w:val="0"/>
      <w:cs w:val="0"/>
      <w:lang w:val="x-none" w:eastAsia="sk-SK"/>
    </w:rPr>
  </w:style>
  <w:style w:type="paragraph" w:customStyle="1" w:styleId="Textkomentra1">
    <w:name w:val="Text komentára1"/>
    <w:basedOn w:val="Normal"/>
    <w:rsid w:val="001B2E52"/>
    <w:pPr>
      <w:suppressAutoHyphens/>
      <w:spacing w:after="160" w:line="254" w:lineRule="auto"/>
      <w:jc w:val="left"/>
    </w:pPr>
    <w:rPr>
      <w:rFonts w:ascii="Calibri" w:hAnsi="Calibri"/>
      <w:sz w:val="20"/>
      <w:szCs w:val="20"/>
      <w:lang w:eastAsia="ar-SA"/>
    </w:rPr>
  </w:style>
  <w:style w:type="character" w:customStyle="1" w:styleId="Znakyprepoznmkupodiarou">
    <w:name w:val="Znaky pre poznámku pod čiarou"/>
    <w:rsid w:val="001B2E52"/>
    <w:rPr>
      <w:rFonts w:ascii="Times New Roman" w:hAnsi="Times New Roman"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aspi://module='ASPI'&amp;link='71/1967%20Zb.'&amp;ucin-k-dni='30.12.9999'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49BE1-0225-4450-9E88-FD914E423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17</TotalTime>
  <Pages>7</Pages>
  <Words>1620</Words>
  <Characters>9239</Characters>
  <Application>Microsoft Office Word</Application>
  <DocSecurity>0</DocSecurity>
  <Lines>0</Lines>
  <Paragraphs>0</Paragraphs>
  <ScaleCrop>false</ScaleCrop>
  <Company>Kancelaria NR SR</Company>
  <LinksUpToDate>false</LinksUpToDate>
  <CharactersWithSpaces>10838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25</cp:revision>
  <cp:lastPrinted>2015-02-24T11:18:00Z</cp:lastPrinted>
  <dcterms:created xsi:type="dcterms:W3CDTF">2014-12-12T11:43:00Z</dcterms:created>
  <dcterms:modified xsi:type="dcterms:W3CDTF">2015-02-24T12:31:00Z</dcterms:modified>
</cp:coreProperties>
</file>