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NÁRODNÁ RADA SLOVENSKEJ REPUBLIKY</w:t>
      </w: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________________________________________________________________________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VI. volebné obdobie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Materiál na rokovanie                                                               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Národnej rady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Slovenskej republiky                                                              </w:t>
      </w: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RPr="001E1584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sk-SK"/>
        </w:rPr>
        <w:t xml:space="preserve"> </w:t>
      </w:r>
      <w:r w:rsidRPr="001E1584" w:rsidR="001E1584">
        <w:rPr>
          <w:rFonts w:ascii="Times New Roman" w:hAnsi="Times New Roman"/>
          <w:b/>
          <w:sz w:val="28"/>
          <w:szCs w:val="28"/>
          <w:lang w:eastAsia="sk-SK"/>
        </w:rPr>
        <w:t>1393</w:t>
      </w: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Správa</w:t>
      </w: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Výboru Národnej rady Slovenskej republiky pre obranu a bezpečnosť o stave použitia informačno-technických prostriedkov za rok 2014</w:t>
      </w: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______________________________________________________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Cs w:val="24"/>
          <w:u w:val="single"/>
          <w:lang w:eastAsia="sk-SK"/>
        </w:rPr>
        <w:t>Návrh na uznesenie: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u w:val="single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Správa sa predkladá podľa § 9 ods. 1                          Národná rada Slovenskej republiky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zákona Národnej  rady Slovenskej                               </w:t>
      </w:r>
      <w:r>
        <w:rPr>
          <w:rFonts w:ascii="Times New Roman" w:hAnsi="Times New Roman"/>
          <w:b/>
          <w:szCs w:val="24"/>
          <w:lang w:eastAsia="sk-SK"/>
        </w:rPr>
        <w:t>b e r i e  n a  v e d o m i e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republiky č. 166/2003 Z. z. o ochrane                         Správu Výboru Národnej rady SR pre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súkromia pred neoprávneným                                      obranu a bezpečnosť o stave použitia</w:t>
      </w:r>
    </w:p>
    <w:p w:rsidR="006256FE" w:rsidP="006256FE">
      <w:pPr>
        <w:bidi w:val="0"/>
        <w:spacing w:after="0" w:line="240" w:lineRule="auto"/>
        <w:ind w:left="5040" w:hanging="504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použitím informačno-technických                               informačno-technických prostriedkov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prostriedkov a o zmene a doplnení                              za rok 2014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niektorých zákonov                                                         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(zákon o ochrane pred odpočúvaním)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Predkladá: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Jaroslav BAŠKA  v. r.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predseda </w:t>
      </w:r>
    </w:p>
    <w:p w:rsid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NR SR pre obranu a bezpečnosť</w:t>
      </w: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Bratislava,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február 2015</w:t>
      </w:r>
    </w:p>
    <w:p w:rsidR="006256FE" w:rsidP="006256FE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Správa výboru</w:t>
      </w: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 bezpečnosť (ďalej len výbor) predkladá v súlade s uznesením Národnej rady Slovenskej republiky číslo 33 zo 16. mája 2012 a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rok 2014.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Slovenskú informačnú službu, Ministerstvo vnútra SR - Policajný zbor, Ministerstvo obrany SR - Vojenské spravodajstvo, Ministerstvo spravodlivosti -  Zbor väzenskej a justičnej stráže, Ministerstvo financií – Finančná správa, v mesiaci január 2015 o zaslanie správy o použití informačno-technických prostriedkov  za rok 2014. 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a)  </w:t>
      </w:r>
      <w:r>
        <w:rPr>
          <w:rFonts w:ascii="Times New Roman" w:hAnsi="Times New Roman"/>
          <w:szCs w:val="24"/>
          <w:u w:val="single"/>
          <w:lang w:eastAsia="sk-SK"/>
        </w:rPr>
        <w:t>počet žiadostí na použitie ITP – § 4 ods.1, z toho: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povolených súhlasov/prípadov použitia ITP – vydané súhlasy (§ 6 ods.3 zákona)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nepovolených súhlasov/ prípadov použitia ITP – odmietnuté žiadosti (§ 6, ods.3 zákona)</w:t>
      </w:r>
    </w:p>
    <w:p w:rsidR="006256FE" w:rsidP="006256FE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  <w:lang w:eastAsia="sk-SK"/>
        </w:rPr>
        <w:t>počet prípadov,  v ktorých sa predložila opakovaná žiadosť  zákonnému  sudcovi na predlženie doby použitia  ITP (§ 4 ods. 2) v tom istom prípade, z toho: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povolených súhlasov/prípadov použitia ITP – vydané súhlasy (§ 6 ods. 3 zákona)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nepovolených súhlasov/ prípadov použitia ITP – odmietnuté žiadosti (§ 6 ods. 3 zákona),</w:t>
      </w:r>
    </w:p>
    <w:p w:rsidR="006256FE" w:rsidP="006256FE">
      <w:pPr>
        <w:bidi w:val="0"/>
        <w:spacing w:after="0" w:line="240" w:lineRule="auto"/>
        <w:ind w:left="1065" w:hanging="1065"/>
        <w:jc w:val="both"/>
        <w:rPr>
          <w:rFonts w:ascii="Times New Roman" w:hAnsi="Times New Roman"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c) </w:t>
        <w:tab/>
      </w:r>
      <w:r>
        <w:rPr>
          <w:rFonts w:ascii="Times New Roman" w:hAnsi="Times New Roman"/>
          <w:szCs w:val="24"/>
          <w:u w:val="single"/>
          <w:lang w:eastAsia="sk-SK"/>
        </w:rPr>
        <w:t>počty prípadov použitia ITP v zmysle § 5 ods. 1 a 2 zákona NR SR č.166/2003 Z.      z., z toho: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žiadostí o dodatočný súhlas, v ktorých zákonný sudca vydal súhlas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počet zákonným sudcom odmietnutých žiadostí o dodatočný súhlas 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počty prípadov, v ktorých informácie získané použitím ITP boli použité ako dôkaz v trestnom konaní</w:t>
      </w:r>
    </w:p>
    <w:p w:rsidR="006256FE" w:rsidP="006256FE">
      <w:pPr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zistených  prípadov nezákonného použitia ITP</w:t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Správu o použití informačno-technických prostriedkov  za rok 2014 predložili všetky dotknuté subjekty vo verzii neobsahujúcej utajované skutočnosti a niektoré z nich aj informácie vo verzii obsahujúcej utajované skutočnosti. </w:t>
      </w: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Údaje o použití informačno-technických prostriedkov neobsahujúce utajované skutočnosti, tak ako ich jednotlivé dotknuté subjekty predložili, sú uvedené v nasledujúcej časti správy. </w:t>
      </w: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</w:t>
        <w:tab/>
      </w: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6FE" w:rsidRPr="00BB1A71" w:rsidP="006256FE">
      <w:pPr>
        <w:numPr>
          <w:numId w:val="8"/>
        </w:num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BB1A71">
        <w:rPr>
          <w:rFonts w:ascii="Times New Roman" w:hAnsi="Times New Roman"/>
          <w:sz w:val="28"/>
          <w:szCs w:val="28"/>
          <w:u w:val="single"/>
          <w:lang w:eastAsia="sk-SK"/>
        </w:rPr>
        <w:t xml:space="preserve">Použitie informačno-technických prostriedkov </w:t>
      </w:r>
    </w:p>
    <w:p w:rsidR="006256FE" w:rsidRPr="00BB1A71" w:rsidP="006256FE">
      <w:pPr>
        <w:bidi w:val="0"/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BB1A71">
        <w:rPr>
          <w:rFonts w:ascii="Times New Roman" w:hAnsi="Times New Roman"/>
          <w:b/>
          <w:sz w:val="28"/>
          <w:szCs w:val="28"/>
          <w:lang w:eastAsia="sk-SK"/>
        </w:rPr>
        <w:t xml:space="preserve">     </w:t>
      </w:r>
      <w:r w:rsidRPr="00BB1A71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Slovenskou informačnou službou  </w:t>
      </w:r>
      <w:r w:rsidR="00BB1A71">
        <w:rPr>
          <w:rFonts w:ascii="Times New Roman" w:hAnsi="Times New Roman"/>
          <w:sz w:val="28"/>
          <w:szCs w:val="28"/>
          <w:u w:val="single"/>
          <w:lang w:eastAsia="sk-SK"/>
        </w:rPr>
        <w:t>za rok 2014</w:t>
      </w:r>
    </w:p>
    <w:p w:rsidR="00BB1A71" w:rsidP="006256FE">
      <w:pPr>
        <w:keepNext/>
        <w:bidi w:val="0"/>
        <w:spacing w:before="40" w:after="40" w:line="240" w:lineRule="auto"/>
        <w:outlineLvl w:val="5"/>
        <w:rPr>
          <w:rFonts w:ascii="Times New Roman" w:hAnsi="Times New Roman"/>
          <w:color w:val="FF0000"/>
          <w:sz w:val="28"/>
          <w:szCs w:val="28"/>
          <w:u w:val="single"/>
          <w:lang w:eastAsia="sk-SK"/>
        </w:rPr>
      </w:pPr>
    </w:p>
    <w:p w:rsidR="00BB1A71" w:rsidP="00BB1A71">
      <w:pPr>
        <w:pStyle w:val="Heading6"/>
        <w:bidi w:val="0"/>
      </w:pPr>
      <w:r w:rsidRPr="00B14CA3">
        <w:t>Zákonný rámec použ</w:t>
      </w:r>
      <w:r>
        <w:t>itia</w:t>
      </w:r>
      <w:r w:rsidRPr="00B14CA3">
        <w:t xml:space="preserve"> </w:t>
      </w:r>
      <w:r>
        <w:t>informačno-technických prostriedkov</w:t>
      </w:r>
    </w:p>
    <w:p w:rsidR="00F73EC7" w:rsidRPr="00F73EC7" w:rsidP="00F73EC7">
      <w:pPr>
        <w:bidi w:val="0"/>
        <w:rPr>
          <w:rFonts w:ascii="Times New Roman" w:hAnsi="Times New Roman"/>
          <w:lang w:eastAsia="sk-SK"/>
        </w:rPr>
      </w:pPr>
    </w:p>
    <w:p w:rsidR="00BB1A71" w:rsidP="00BB1A71">
      <w:pPr>
        <w:bidi w:val="0"/>
        <w:ind w:firstLine="708"/>
        <w:jc w:val="both"/>
        <w:rPr>
          <w:rFonts w:ascii="Times New Roman" w:hAnsi="Times New Roman"/>
        </w:rPr>
      </w:pPr>
      <w:r w:rsidRPr="001A0A8E">
        <w:rPr>
          <w:rFonts w:ascii="Times New Roman" w:hAnsi="Times New Roman"/>
        </w:rPr>
        <w:t>Slovenská informačná služba (</w:t>
      </w:r>
      <w:r>
        <w:rPr>
          <w:rFonts w:ascii="Times New Roman" w:hAnsi="Times New Roman"/>
        </w:rPr>
        <w:t>ďalej len „</w:t>
      </w:r>
      <w:r w:rsidRPr="001A0A8E">
        <w:rPr>
          <w:rFonts w:ascii="Times New Roman" w:hAnsi="Times New Roman"/>
        </w:rPr>
        <w:t>SIS</w:t>
      </w:r>
      <w:r>
        <w:rPr>
          <w:rFonts w:ascii="Times New Roman" w:hAnsi="Times New Roman"/>
        </w:rPr>
        <w:t>“</w:t>
      </w:r>
      <w:r w:rsidRPr="001A0A8E">
        <w:rPr>
          <w:rFonts w:ascii="Times New Roman" w:hAnsi="Times New Roman"/>
        </w:rPr>
        <w:t xml:space="preserve">) je </w:t>
      </w:r>
      <w:r>
        <w:rPr>
          <w:rFonts w:ascii="Times New Roman" w:hAnsi="Times New Roman"/>
        </w:rPr>
        <w:t>podľa</w:t>
      </w:r>
      <w:r w:rsidRPr="001A0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 ods. 1 písm. b)</w:t>
      </w:r>
      <w:r w:rsidRPr="001A0A8E">
        <w:rPr>
          <w:rFonts w:ascii="Times New Roman" w:hAnsi="Times New Roman"/>
        </w:rPr>
        <w:t xml:space="preserve"> zákona Národnej rady Slovenskej republiky č. 46/1993 Z.</w:t>
      </w:r>
      <w:r>
        <w:rPr>
          <w:rFonts w:ascii="Times New Roman" w:hAnsi="Times New Roman"/>
        </w:rPr>
        <w:t xml:space="preserve"> </w:t>
      </w:r>
      <w:r w:rsidRPr="001A0A8E">
        <w:rPr>
          <w:rFonts w:ascii="Times New Roman" w:hAnsi="Times New Roman"/>
        </w:rPr>
        <w:t>z. o</w:t>
      </w:r>
      <w:r>
        <w:rPr>
          <w:rFonts w:ascii="Times New Roman" w:hAnsi="Times New Roman"/>
        </w:rPr>
        <w:t> </w:t>
      </w:r>
      <w:r w:rsidRPr="001A0A8E">
        <w:rPr>
          <w:rFonts w:ascii="Times New Roman" w:hAnsi="Times New Roman"/>
        </w:rPr>
        <w:t>S</w:t>
      </w:r>
      <w:r>
        <w:rPr>
          <w:rFonts w:ascii="Times New Roman" w:hAnsi="Times New Roman"/>
        </w:rPr>
        <w:t>lovenskej informačnej službe</w:t>
      </w:r>
      <w:r w:rsidRPr="001A0A8E">
        <w:rPr>
          <w:rFonts w:ascii="Times New Roman" w:hAnsi="Times New Roman"/>
        </w:rPr>
        <w:t xml:space="preserve"> v znení neskorších predpisov a </w:t>
      </w:r>
      <w:r>
        <w:rPr>
          <w:rFonts w:ascii="Times New Roman" w:hAnsi="Times New Roman"/>
        </w:rPr>
        <w:t xml:space="preserve">§ 2 ods. 2 </w:t>
      </w:r>
      <w:r w:rsidRPr="001A0A8E">
        <w:rPr>
          <w:rFonts w:ascii="Times New Roman" w:hAnsi="Times New Roman"/>
        </w:rPr>
        <w:t>zákona č. 166/2003 Z.</w:t>
      </w:r>
      <w:r>
        <w:rPr>
          <w:rFonts w:ascii="Times New Roman" w:hAnsi="Times New Roman"/>
        </w:rPr>
        <w:t xml:space="preserve"> </w:t>
      </w:r>
      <w:r w:rsidRPr="001A0A8E">
        <w:rPr>
          <w:rFonts w:ascii="Times New Roman" w:hAnsi="Times New Roman"/>
        </w:rPr>
        <w:t>z. o ochrane súkromia pred neoprávneným použitím informačno-technických prostriedkov a o zmene a doplnení niektorých zákonov (zákon o ochrane pred odpočúvaním) v znení neskorších predpisov oprávnená používať pri plnení svojich zákonných úloh informačno-technické prostriedky (</w:t>
      </w:r>
      <w:r>
        <w:rPr>
          <w:rFonts w:ascii="Times New Roman" w:hAnsi="Times New Roman"/>
        </w:rPr>
        <w:t>ďalej len „</w:t>
      </w:r>
      <w:r w:rsidRPr="001A0A8E">
        <w:rPr>
          <w:rFonts w:ascii="Times New Roman" w:hAnsi="Times New Roman"/>
        </w:rPr>
        <w:t>ITP</w:t>
      </w:r>
      <w:r>
        <w:rPr>
          <w:rFonts w:ascii="Times New Roman" w:hAnsi="Times New Roman"/>
        </w:rPr>
        <w:t>“</w:t>
      </w:r>
      <w:r w:rsidRPr="001A0A8E">
        <w:rPr>
          <w:rFonts w:ascii="Times New Roman" w:hAnsi="Times New Roman"/>
        </w:rPr>
        <w:t xml:space="preserve">). Ich použitím je možné zasahovať do súkromia </w:t>
      </w:r>
      <w:r>
        <w:rPr>
          <w:rFonts w:ascii="Times New Roman" w:hAnsi="Times New Roman"/>
        </w:rPr>
        <w:t>fyzických osôb bez ich predchádzajúceho súhlasu</w:t>
      </w:r>
      <w:r w:rsidRPr="001A0A8E">
        <w:rPr>
          <w:rFonts w:ascii="Times New Roman" w:hAnsi="Times New Roman"/>
        </w:rPr>
        <w:t>, avšak len za podmienok ustanovený</w:t>
      </w:r>
      <w:r>
        <w:rPr>
          <w:rFonts w:ascii="Times New Roman" w:hAnsi="Times New Roman"/>
        </w:rPr>
        <w:t>ch</w:t>
      </w:r>
      <w:r w:rsidRPr="001A0A8E">
        <w:rPr>
          <w:rFonts w:ascii="Times New Roman" w:hAnsi="Times New Roman"/>
        </w:rPr>
        <w:t xml:space="preserve"> zákonom.</w:t>
      </w:r>
    </w:p>
    <w:p w:rsidR="00BB1A71" w:rsidP="00BB1A71">
      <w:pPr>
        <w:bidi w:val="0"/>
        <w:ind w:firstLine="708"/>
        <w:jc w:val="both"/>
        <w:rPr>
          <w:rFonts w:ascii="Times New Roman" w:hAnsi="Times New Roman"/>
          <w:spacing w:val="-2"/>
          <w:szCs w:val="24"/>
        </w:rPr>
      </w:pPr>
      <w:r w:rsidRPr="001A0A8E">
        <w:rPr>
          <w:rFonts w:ascii="Times New Roman" w:hAnsi="Times New Roman"/>
          <w:spacing w:val="-2"/>
          <w:szCs w:val="24"/>
        </w:rPr>
        <w:t xml:space="preserve">Toto </w:t>
      </w:r>
      <w:r>
        <w:rPr>
          <w:rFonts w:ascii="Times New Roman" w:hAnsi="Times New Roman"/>
          <w:spacing w:val="-2"/>
          <w:szCs w:val="24"/>
        </w:rPr>
        <w:t xml:space="preserve">zákonné </w:t>
      </w:r>
      <w:r w:rsidRPr="001A0A8E">
        <w:rPr>
          <w:rFonts w:ascii="Times New Roman" w:hAnsi="Times New Roman"/>
          <w:spacing w:val="-2"/>
          <w:szCs w:val="24"/>
        </w:rPr>
        <w:t>oprávnenie je podmienené predchádzajúcim písomným súhlasom</w:t>
      </w:r>
      <w:r>
        <w:rPr>
          <w:rFonts w:ascii="Times New Roman" w:hAnsi="Times New Roman"/>
          <w:spacing w:val="-2"/>
          <w:szCs w:val="24"/>
        </w:rPr>
        <w:t xml:space="preserve"> zákonného</w:t>
      </w:r>
      <w:r w:rsidRPr="001A0A8E">
        <w:rPr>
          <w:rFonts w:ascii="Times New Roman" w:hAnsi="Times New Roman"/>
          <w:spacing w:val="-2"/>
          <w:szCs w:val="24"/>
        </w:rPr>
        <w:t xml:space="preserve"> sudcu. ITP možno použiť len na nevyhnutný čas, najdlhšie na šesť mesiacov. Lehota začína plynúť dňom udelenia súhlasu sudcu. Ak je nevyhnutné použiť naraz alebo následne niekoľko druhov ITP, každý z nich možno použiť len v rozsahu výslovne udeleného súhlasu. Ak sa má ITP použiť v miestach, ktoré nie sú verejne prístupné, sudca, ktorý udeľuje písomný súhlas, rozhodne i o tom, či sa súhlas vzťahuje </w:t>
      </w:r>
      <w:r>
        <w:rPr>
          <w:rFonts w:ascii="Times New Roman" w:hAnsi="Times New Roman"/>
          <w:spacing w:val="-2"/>
          <w:szCs w:val="24"/>
        </w:rPr>
        <w:t xml:space="preserve">aj </w:t>
      </w:r>
      <w:r w:rsidRPr="001A0A8E">
        <w:rPr>
          <w:rFonts w:ascii="Times New Roman" w:hAnsi="Times New Roman"/>
          <w:spacing w:val="-2"/>
          <w:szCs w:val="24"/>
        </w:rPr>
        <w:t>na vstup na tieto miesta.</w:t>
      </w:r>
    </w:p>
    <w:p w:rsidR="00BB1A71" w:rsidRPr="001A0A8E" w:rsidP="00BB1A71">
      <w:pPr>
        <w:bidi w:val="0"/>
        <w:ind w:firstLine="708"/>
        <w:jc w:val="both"/>
        <w:rPr>
          <w:rFonts w:ascii="Times New Roman" w:hAnsi="Times New Roman"/>
        </w:rPr>
      </w:pPr>
    </w:p>
    <w:p w:rsidR="00BB1A71" w:rsidP="00BB1A71">
      <w:pPr>
        <w:pStyle w:val="Heading6"/>
        <w:bidi w:val="0"/>
      </w:pPr>
      <w:r w:rsidRPr="00B14CA3">
        <w:t>Použitie ITP v</w:t>
      </w:r>
      <w:r>
        <w:t xml:space="preserve"> roku </w:t>
      </w:r>
      <w:r w:rsidRPr="00B14CA3">
        <w:t>20</w:t>
      </w:r>
      <w:r>
        <w:t>14</w:t>
      </w:r>
    </w:p>
    <w:p w:rsidR="00BB1A71" w:rsidRPr="008910D4" w:rsidP="00BB1A71">
      <w:pPr>
        <w:bidi w:val="0"/>
        <w:ind w:firstLine="708"/>
        <w:jc w:val="both"/>
        <w:rPr>
          <w:rFonts w:ascii="Times New Roman" w:hAnsi="Times New Roman"/>
        </w:rPr>
      </w:pPr>
      <w:r w:rsidRPr="008910D4">
        <w:rPr>
          <w:rFonts w:ascii="Times New Roman" w:hAnsi="Times New Roman"/>
        </w:rPr>
        <w:t>SIS v roku 2014 podala 256 žiadostí o použitie ITP,</w:t>
      </w:r>
      <w:r>
        <w:rPr>
          <w:rStyle w:val="FootnoteReference"/>
          <w:rtl w:val="0"/>
        </w:rPr>
        <w:footnoteReference w:id="2"/>
      </w:r>
      <w:r w:rsidRPr="008910D4">
        <w:rPr>
          <w:rFonts w:ascii="Times New Roman" w:hAnsi="Times New Roman"/>
        </w:rPr>
        <w:t xml:space="preserve"> pričom sudcovia vydali 243 súhlasov na ich použitie a 13 žiadostí SIS o použitie ITP bolo odmietnutých. </w:t>
      </w:r>
    </w:p>
    <w:p w:rsidR="00BB1A71" w:rsidRPr="008910D4" w:rsidP="00BB1A71">
      <w:pPr>
        <w:bidi w:val="0"/>
        <w:ind w:firstLine="708"/>
        <w:jc w:val="both"/>
        <w:rPr>
          <w:rFonts w:ascii="Times New Roman" w:hAnsi="Times New Roman" w:cs="Arial"/>
        </w:rPr>
      </w:pPr>
      <w:r w:rsidRPr="008910D4">
        <w:rPr>
          <w:rFonts w:ascii="Times New Roman" w:hAnsi="Times New Roman" w:cs="Arial"/>
        </w:rPr>
        <w:t>Z realizovaných 243 použití ITP bolo v termíne predloženia správy z hľadiska dosiahnutia zákonom uznaného účelu a cieľa, na ktorý slúži, vyhodnotených 129 prípadov použitia ITP. Zákonom uznaný účel a cieľ bol dosiahnutý pri 124 prípadoch použitia ITP a nebol dosiahnutý v piatich prípadoch použitia ITP. K termínu predloženia správy nebolo možné vyhodnotiť zvyšných 114 prípadov použitia ITP.</w:t>
      </w:r>
      <w:r>
        <w:rPr>
          <w:rStyle w:val="FootnoteReference"/>
          <w:rFonts w:cs="Arial"/>
          <w:rtl w:val="0"/>
        </w:rPr>
        <w:footnoteReference w:id="3"/>
      </w:r>
      <w:r w:rsidRPr="008910D4">
        <w:rPr>
          <w:rFonts w:ascii="Times New Roman" w:hAnsi="Times New Roman" w:cs="Arial"/>
        </w:rPr>
        <w:t xml:space="preserve"> </w:t>
      </w:r>
    </w:p>
    <w:p w:rsidR="00BB1A71" w:rsidP="00BB1A71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910D4">
        <w:rPr>
          <w:rFonts w:ascii="Times New Roman" w:hAnsi="Times New Roman"/>
          <w:szCs w:val="24"/>
        </w:rPr>
        <w:t>Použité technické riešenia spolu s prísnymi organizačnými a kontrolnými opatreniami zaručujú kontrolu zákonnosti pri používaní ITP a vylučujú možnosť neoprávneného zásahu do systému odpočúvania, ako aj ukladania a archivovania takýmto spôsobom získaných informácií.</w:t>
      </w:r>
      <w:r>
        <w:rPr>
          <w:rFonts w:ascii="Times New Roman" w:hAnsi="Times New Roman"/>
          <w:szCs w:val="24"/>
        </w:rPr>
        <w:t xml:space="preserve"> </w:t>
      </w:r>
    </w:p>
    <w:p w:rsidR="00BB1A71" w:rsidP="00BB1A71">
      <w:pPr>
        <w:bidi w:val="0"/>
        <w:ind w:firstLine="708"/>
        <w:jc w:val="both"/>
        <w:rPr>
          <w:rFonts w:ascii="Times New Roman" w:hAnsi="Times New Roman"/>
        </w:rPr>
      </w:pPr>
      <w:r w:rsidRPr="00CF4B47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roku </w:t>
      </w:r>
      <w:r w:rsidRPr="00CF4B47">
        <w:rPr>
          <w:rFonts w:ascii="Times New Roman" w:hAnsi="Times New Roman"/>
        </w:rPr>
        <w:t>20</w:t>
      </w:r>
      <w:r>
        <w:rPr>
          <w:rFonts w:ascii="Times New Roman" w:hAnsi="Times New Roman"/>
        </w:rPr>
        <w:t>14</w:t>
      </w:r>
      <w:r w:rsidRPr="00CF4B47">
        <w:rPr>
          <w:rFonts w:ascii="Times New Roman" w:hAnsi="Times New Roman"/>
        </w:rPr>
        <w:t xml:space="preserve"> nedošlo zo strany SIS k </w:t>
      </w:r>
      <w:r w:rsidRPr="007E5CC9">
        <w:rPr>
          <w:rFonts w:ascii="Times New Roman" w:hAnsi="Times New Roman"/>
        </w:rPr>
        <w:t>žiadnemu</w:t>
      </w:r>
      <w:r w:rsidRPr="00CF4B47">
        <w:rPr>
          <w:rFonts w:ascii="Times New Roman" w:hAnsi="Times New Roman"/>
        </w:rPr>
        <w:t xml:space="preserve"> prípadu nezákonného použitia </w:t>
      </w:r>
      <w:r>
        <w:rPr>
          <w:rFonts w:ascii="Times New Roman" w:hAnsi="Times New Roman"/>
        </w:rPr>
        <w:t>ITP</w:t>
      </w:r>
      <w:r w:rsidRPr="00CF4B47">
        <w:rPr>
          <w:rFonts w:ascii="Times New Roman" w:hAnsi="Times New Roman"/>
        </w:rPr>
        <w:t>.</w:t>
      </w:r>
    </w:p>
    <w:p w:rsidR="00BB1A71" w:rsidP="00BB1A71">
      <w:pPr>
        <w:bidi w:val="0"/>
        <w:ind w:firstLine="708"/>
        <w:jc w:val="both"/>
        <w:rPr>
          <w:rFonts w:ascii="Times New Roman" w:hAnsi="Times New Roman"/>
        </w:rPr>
      </w:pPr>
    </w:p>
    <w:p w:rsidR="00BB1A71" w:rsidP="00BB1A71">
      <w:pPr>
        <w:bidi w:val="0"/>
        <w:ind w:firstLine="708"/>
        <w:jc w:val="both"/>
        <w:rPr>
          <w:rFonts w:ascii="Times New Roman" w:hAnsi="Times New Roman"/>
        </w:rPr>
      </w:pPr>
    </w:p>
    <w:p w:rsidR="00BB1A71" w:rsidP="00BB1A71">
      <w:pPr>
        <w:bidi w:val="0"/>
        <w:ind w:firstLine="708"/>
        <w:jc w:val="both"/>
        <w:rPr>
          <w:rFonts w:ascii="Times New Roman" w:hAnsi="Times New Roman"/>
        </w:rPr>
      </w:pPr>
    </w:p>
    <w:p w:rsidR="00BB1A71" w:rsidRPr="00CF4B47" w:rsidP="00BB1A71">
      <w:pPr>
        <w:bidi w:val="0"/>
        <w:ind w:firstLine="708"/>
        <w:jc w:val="both"/>
        <w:rPr>
          <w:rFonts w:ascii="Times New Roman" w:hAnsi="Times New Roman"/>
        </w:rPr>
      </w:pPr>
    </w:p>
    <w:p w:rsidR="00BB1A71" w:rsidRPr="007E4E5A" w:rsidP="00BB1A71">
      <w:pPr>
        <w:bidi w:val="0"/>
        <w:jc w:val="both"/>
        <w:rPr>
          <w:rFonts w:ascii="Times New Roman" w:hAnsi="Times New Roman"/>
          <w:b/>
          <w:sz w:val="20"/>
        </w:rPr>
      </w:pPr>
      <w:r w:rsidRPr="007E4E5A">
        <w:rPr>
          <w:rFonts w:ascii="Times New Roman" w:hAnsi="Times New Roman"/>
          <w:b/>
          <w:sz w:val="20"/>
        </w:rPr>
        <w:t>Tabuľka: Použitie ITP v</w:t>
      </w:r>
      <w:r>
        <w:rPr>
          <w:rFonts w:ascii="Times New Roman" w:hAnsi="Times New Roman"/>
          <w:b/>
          <w:sz w:val="20"/>
        </w:rPr>
        <w:t xml:space="preserve"> roku </w:t>
      </w:r>
      <w:r w:rsidRPr="007E4E5A">
        <w:rPr>
          <w:rFonts w:ascii="Times New Roman" w:hAnsi="Times New Roman"/>
          <w:b/>
          <w:sz w:val="20"/>
        </w:rPr>
        <w:t>201</w:t>
      </w:r>
      <w:r>
        <w:rPr>
          <w:rFonts w:ascii="Times New Roman" w:hAnsi="Times New Roman"/>
          <w:b/>
          <w:sz w:val="20"/>
        </w:rPr>
        <w:t>4</w:t>
      </w: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4819"/>
        <w:gridCol w:w="950"/>
        <w:gridCol w:w="950"/>
        <w:gridCol w:w="950"/>
        <w:gridCol w:w="950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Obsahový počet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§ 2 ods. 1 písm. a)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§ 2 ods. 1 písm. b)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§ 2 ods. 1 písm. c)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Celkový počet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 xml:space="preserve">Počet žiadostí 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r w:rsidRPr="00CF4B47">
              <w:rPr>
                <w:rFonts w:ascii="Times New Roman" w:hAnsi="Times New Roman"/>
                <w:b/>
                <w:sz w:val="20"/>
              </w:rPr>
              <w:t xml:space="preserve"> použitie ITP – § 4 ods.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256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CF4B47">
              <w:rPr>
                <w:rFonts w:ascii="Times New Roman" w:hAnsi="Times New Roman"/>
                <w:b/>
                <w:i/>
                <w:sz w:val="20"/>
              </w:rPr>
              <w:t>z toho:</w:t>
            </w:r>
            <w:r w:rsidRPr="00CF4B47">
              <w:rPr>
                <w:rFonts w:ascii="Times New Roman" w:hAnsi="Times New Roman"/>
                <w:i/>
                <w:sz w:val="20"/>
              </w:rPr>
              <w:tab/>
              <w:t>vydané súhlasy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243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CF4B47">
              <w:rPr>
                <w:rFonts w:ascii="Times New Roman" w:hAnsi="Times New Roman"/>
                <w:i/>
                <w:sz w:val="20"/>
              </w:rPr>
              <w:tab/>
              <w:t>odmietnuté žiadosti sudcom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13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Počet opakovaných žiadostí* na predĺženie doby použitia ITP v tom istom prípade – § 4 ods.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CF4B47">
              <w:rPr>
                <w:rFonts w:ascii="Times New Roman" w:hAnsi="Times New Roman"/>
                <w:b/>
                <w:i/>
                <w:sz w:val="20"/>
              </w:rPr>
              <w:t>z toho:</w:t>
            </w:r>
            <w:r w:rsidRPr="00CF4B47">
              <w:rPr>
                <w:rFonts w:ascii="Times New Roman" w:hAnsi="Times New Roman"/>
                <w:i/>
                <w:sz w:val="20"/>
              </w:rPr>
              <w:tab/>
              <w:t>vydané súhlasy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CF4B47">
              <w:rPr>
                <w:rFonts w:ascii="Times New Roman" w:hAnsi="Times New Roman"/>
                <w:i/>
                <w:sz w:val="20"/>
              </w:rPr>
              <w:tab/>
              <w:t>odmietnuté žiadosti sudcom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Počet prípadov použitia ITP v zmysle</w:t>
              <w:br/>
              <w:t xml:space="preserve">§ 5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F4B47">
                <w:rPr>
                  <w:rFonts w:ascii="Times New Roman" w:hAnsi="Times New Roman"/>
                  <w:b/>
                  <w:sz w:val="20"/>
                </w:rPr>
                <w:t>1 a</w:t>
              </w:r>
            </w:smartTag>
            <w:r w:rsidRPr="00CF4B47">
              <w:rPr>
                <w:rFonts w:ascii="Times New Roman" w:hAnsi="Times New Roman"/>
                <w:b/>
                <w:sz w:val="20"/>
              </w:rPr>
              <w:t xml:space="preserve"> 2 – dodatočné súhlasy</w:t>
            </w:r>
            <w:r>
              <w:rPr>
                <w:rFonts w:ascii="Times New Roman" w:hAnsi="Times New Roman"/>
                <w:b/>
                <w:sz w:val="20"/>
              </w:rPr>
              <w:t xml:space="preserve"> na použitie ITP</w:t>
            </w:r>
            <w:r w:rsidRPr="00CF4B47">
              <w:rPr>
                <w:rFonts w:ascii="Times New Roman" w:hAnsi="Times New Roman"/>
                <w:b/>
                <w:sz w:val="20"/>
              </w:rPr>
              <w:t>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CF4B47">
              <w:rPr>
                <w:rFonts w:ascii="Times New Roman" w:hAnsi="Times New Roman"/>
                <w:b/>
                <w:i/>
                <w:sz w:val="20"/>
              </w:rPr>
              <w:t>z toho:</w:t>
            </w:r>
            <w:r w:rsidRPr="00CF4B47">
              <w:rPr>
                <w:rFonts w:ascii="Times New Roman" w:hAnsi="Times New Roman"/>
                <w:i/>
                <w:sz w:val="20"/>
              </w:rPr>
              <w:tab/>
              <w:t>vydané súhlasy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CF4B47">
              <w:rPr>
                <w:rFonts w:ascii="Times New Roman" w:hAnsi="Times New Roman"/>
                <w:i/>
                <w:sz w:val="20"/>
              </w:rPr>
              <w:tab/>
              <w:t>odmietnuté žiadosti sudcom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Počet prípadov použitia ITP, u ktorých bol dosiahnutý zákonom uznaný účel a cieľ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112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124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Počet prípadov použitia ITP, u ktorých nebol dosiahnutý zákonom uznaný účel a cieľ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5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Počty prípadov použitia ITP, z ktorých boli informácie použité ako dôkaz v trestnom konaní***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-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Počet prípadov nezákonného použitia ITP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 xml:space="preserve">Celkový počet žiadostí 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r w:rsidRPr="00CF4B47">
              <w:rPr>
                <w:rFonts w:ascii="Times New Roman" w:hAnsi="Times New Roman"/>
                <w:b/>
                <w:sz w:val="20"/>
              </w:rPr>
              <w:t xml:space="preserve"> použitie ITP</w:t>
              <w:br/>
            </w:r>
            <w:r w:rsidRPr="00CF4B47">
              <w:rPr>
                <w:rFonts w:ascii="Times New Roman" w:hAnsi="Times New Roman"/>
                <w:i/>
                <w:sz w:val="20"/>
              </w:rPr>
              <w:t>súčet r. 1+4+7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256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Celkový počet vydaných súhlasov</w:t>
            </w:r>
            <w:r>
              <w:rPr>
                <w:rFonts w:ascii="Times New Roman" w:hAnsi="Times New Roman"/>
                <w:b/>
                <w:sz w:val="20"/>
              </w:rPr>
              <w:t xml:space="preserve"> na použitie ITP</w:t>
            </w:r>
            <w:r w:rsidRPr="00CF4B47">
              <w:rPr>
                <w:rFonts w:ascii="Times New Roman" w:hAnsi="Times New Roman"/>
                <w:b/>
                <w:sz w:val="20"/>
              </w:rPr>
              <w:br/>
            </w:r>
            <w:r w:rsidRPr="00CF4B47">
              <w:rPr>
                <w:rFonts w:ascii="Times New Roman" w:hAnsi="Times New Roman"/>
                <w:i/>
                <w:sz w:val="20"/>
              </w:rPr>
              <w:t>súčet r. 2+5+8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205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243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BB1A71">
            <w:pPr>
              <w:numPr>
                <w:ilvl w:val="0"/>
                <w:numId w:val="9"/>
              </w:numPr>
              <w:tabs>
                <w:tab w:val="num" w:pos="360"/>
                <w:tab w:val="clear" w:pos="720"/>
              </w:tabs>
              <w:bidi w:val="0"/>
              <w:spacing w:before="40" w:after="4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B1A71" w:rsidRPr="00CF4B47" w:rsidP="0095775B">
            <w:pPr>
              <w:bidi w:val="0"/>
              <w:rPr>
                <w:rFonts w:ascii="Times New Roman" w:hAnsi="Times New Roman"/>
                <w:b/>
                <w:sz w:val="20"/>
              </w:rPr>
            </w:pPr>
            <w:r w:rsidRPr="00CF4B47">
              <w:rPr>
                <w:rFonts w:ascii="Times New Roman" w:hAnsi="Times New Roman"/>
                <w:b/>
                <w:sz w:val="20"/>
              </w:rPr>
              <w:t>Celkový počet odmietnutých žiadostí</w:t>
            </w:r>
            <w:r>
              <w:rPr>
                <w:rFonts w:ascii="Times New Roman" w:hAnsi="Times New Roman"/>
                <w:b/>
                <w:sz w:val="20"/>
              </w:rPr>
              <w:t xml:space="preserve"> o</w:t>
            </w:r>
            <w:r w:rsidRPr="00CF4B47">
              <w:rPr>
                <w:rFonts w:ascii="Times New Roman" w:hAnsi="Times New Roman"/>
                <w:b/>
                <w:sz w:val="20"/>
              </w:rPr>
              <w:t xml:space="preserve"> použitie ITP</w:t>
              <w:br/>
            </w:r>
            <w:r w:rsidRPr="00CF4B47">
              <w:rPr>
                <w:rFonts w:ascii="Times New Roman" w:hAnsi="Times New Roman"/>
                <w:i/>
                <w:sz w:val="20"/>
              </w:rPr>
              <w:t>súčet r. 3+6+9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 w:rsidRPr="001A6FD2">
              <w:rPr>
                <w:rFonts w:ascii="Times New Roman" w:hAnsi="Times New Roman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1A71" w:rsidRPr="001A6FD2" w:rsidP="0095775B">
            <w:pPr>
              <w:keepNext/>
              <w:keepLines/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>13</w:t>
            </w:r>
          </w:p>
        </w:tc>
      </w:tr>
    </w:tbl>
    <w:p w:rsidR="00BB1A71" w:rsidP="00BB1A71">
      <w:pPr>
        <w:bidi w:val="0"/>
        <w:spacing w:after="0"/>
        <w:ind w:left="284" w:hanging="284"/>
        <w:rPr>
          <w:rFonts w:ascii="Times New Roman" w:hAnsi="Times New Roman"/>
          <w:sz w:val="20"/>
        </w:rPr>
      </w:pPr>
    </w:p>
    <w:p w:rsidR="00BB1A71" w:rsidP="00BB1A71">
      <w:pPr>
        <w:bidi w:val="0"/>
        <w:spacing w:after="0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Pr="00CF4B47">
        <w:rPr>
          <w:rFonts w:ascii="Times New Roman" w:hAnsi="Times New Roman"/>
          <w:sz w:val="20"/>
        </w:rPr>
        <w:t>ysvetlivky:</w:t>
      </w:r>
    </w:p>
    <w:p w:rsidR="00BB1A71" w:rsidRPr="00CF4B47" w:rsidP="00BB1A71">
      <w:pPr>
        <w:bidi w:val="0"/>
        <w:spacing w:after="0"/>
        <w:ind w:left="284" w:right="1" w:hanging="284"/>
        <w:jc w:val="both"/>
        <w:rPr>
          <w:rFonts w:ascii="Times New Roman" w:hAnsi="Times New Roman"/>
          <w:sz w:val="20"/>
        </w:rPr>
      </w:pPr>
      <w:r w:rsidRPr="00CF4B47">
        <w:rPr>
          <w:rFonts w:ascii="Times New Roman" w:hAnsi="Times New Roman"/>
          <w:sz w:val="20"/>
        </w:rPr>
        <w:t>*</w:t>
        <w:tab/>
        <w:t xml:space="preserve">Každá žiadosť o </w:t>
      </w:r>
      <w:r>
        <w:rPr>
          <w:rFonts w:ascii="Times New Roman" w:hAnsi="Times New Roman"/>
          <w:sz w:val="20"/>
        </w:rPr>
        <w:t>použitie</w:t>
      </w:r>
      <w:r w:rsidRPr="00CF4B47">
        <w:rPr>
          <w:rFonts w:ascii="Times New Roman" w:hAnsi="Times New Roman"/>
          <w:sz w:val="20"/>
        </w:rPr>
        <w:t xml:space="preserve"> ITP</w:t>
      </w:r>
      <w:r>
        <w:rPr>
          <w:rFonts w:ascii="Times New Roman" w:hAnsi="Times New Roman"/>
          <w:sz w:val="20"/>
        </w:rPr>
        <w:t>, vrátane žiadosti o predĺženie lehoty použitia ITP</w:t>
      </w:r>
      <w:r w:rsidRPr="00CF4B47">
        <w:rPr>
          <w:rFonts w:ascii="Times New Roman" w:hAnsi="Times New Roman"/>
          <w:sz w:val="20"/>
        </w:rPr>
        <w:t xml:space="preserve"> sa </w:t>
      </w:r>
      <w:r>
        <w:rPr>
          <w:rFonts w:ascii="Times New Roman" w:hAnsi="Times New Roman"/>
          <w:sz w:val="20"/>
        </w:rPr>
        <w:t>eviduje samostatne.</w:t>
      </w:r>
    </w:p>
    <w:p w:rsidR="00BB1A71" w:rsidRPr="00CF4B47" w:rsidP="00BB1A71">
      <w:pPr>
        <w:bidi w:val="0"/>
        <w:spacing w:after="0"/>
        <w:ind w:left="284" w:right="1" w:hanging="284"/>
        <w:jc w:val="both"/>
        <w:rPr>
          <w:rFonts w:ascii="Times New Roman" w:hAnsi="Times New Roman"/>
          <w:sz w:val="20"/>
        </w:rPr>
      </w:pPr>
      <w:r w:rsidRPr="00CF4B47">
        <w:rPr>
          <w:rFonts w:ascii="Times New Roman" w:hAnsi="Times New Roman"/>
          <w:sz w:val="20"/>
        </w:rPr>
        <w:t>**</w:t>
        <w:tab/>
        <w:t xml:space="preserve">SIS nemá oprávnenie použiť ITP bez predchádzajúceho súhlasu sudcu, </w:t>
      </w:r>
      <w:r>
        <w:rPr>
          <w:rFonts w:ascii="Times New Roman" w:hAnsi="Times New Roman"/>
          <w:sz w:val="20"/>
        </w:rPr>
        <w:t>t</w:t>
      </w:r>
      <w:r w:rsidRPr="00CF4B47">
        <w:rPr>
          <w:rFonts w:ascii="Times New Roman" w:hAnsi="Times New Roman"/>
          <w:sz w:val="20"/>
        </w:rPr>
        <w:t>outo kompetenciou disponuje iba Policajný zbor.</w:t>
      </w:r>
    </w:p>
    <w:p w:rsidR="00BB1A71" w:rsidP="00BB1A71">
      <w:pPr>
        <w:bidi w:val="0"/>
        <w:spacing w:after="0"/>
        <w:ind w:left="284" w:right="1" w:hanging="284"/>
        <w:jc w:val="both"/>
        <w:rPr>
          <w:rFonts w:ascii="Times New Roman" w:hAnsi="Times New Roman"/>
          <w:sz w:val="20"/>
        </w:rPr>
      </w:pPr>
      <w:r w:rsidRPr="00CF4B47">
        <w:rPr>
          <w:rFonts w:ascii="Times New Roman" w:hAnsi="Times New Roman"/>
          <w:sz w:val="20"/>
        </w:rPr>
        <w:t>***</w:t>
        <w:tab/>
        <w:t xml:space="preserve">Zmyslom použitia ITP Slovenskou informačnou službou nie je primárne využitie získaných poznatkov v trestnom konaní, keďže SIS </w:t>
      </w:r>
      <w:r>
        <w:rPr>
          <w:rFonts w:ascii="Times New Roman" w:hAnsi="Times New Roman"/>
          <w:sz w:val="20"/>
        </w:rPr>
        <w:t>podľa</w:t>
      </w:r>
      <w:r w:rsidRPr="00CF4B4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právneho poriadku Slovenskej republiky </w:t>
      </w:r>
      <w:r w:rsidRPr="00CF4B47">
        <w:rPr>
          <w:rFonts w:ascii="Times New Roman" w:hAnsi="Times New Roman"/>
          <w:sz w:val="20"/>
        </w:rPr>
        <w:t xml:space="preserve">nie je orgánom činným v trestnom konaní. Výsledky použitia ITP odstupuje SIS orgánom činným v trestnom konaní </w:t>
      </w:r>
      <w:r>
        <w:rPr>
          <w:rFonts w:ascii="Times New Roman" w:hAnsi="Times New Roman"/>
          <w:sz w:val="20"/>
        </w:rPr>
        <w:t xml:space="preserve">za účelom </w:t>
      </w:r>
      <w:r w:rsidRPr="00CF4B47">
        <w:rPr>
          <w:rFonts w:ascii="Times New Roman" w:hAnsi="Times New Roman"/>
          <w:sz w:val="20"/>
        </w:rPr>
        <w:t>ďalšie</w:t>
      </w:r>
      <w:r>
        <w:rPr>
          <w:rFonts w:ascii="Times New Roman" w:hAnsi="Times New Roman"/>
          <w:sz w:val="20"/>
        </w:rPr>
        <w:t>ho</w:t>
      </w:r>
      <w:r w:rsidRPr="00CF4B47">
        <w:rPr>
          <w:rFonts w:ascii="Times New Roman" w:hAnsi="Times New Roman"/>
          <w:sz w:val="20"/>
        </w:rPr>
        <w:t xml:space="preserve"> využiti</w:t>
      </w:r>
      <w:r>
        <w:rPr>
          <w:rFonts w:ascii="Times New Roman" w:hAnsi="Times New Roman"/>
          <w:sz w:val="20"/>
        </w:rPr>
        <w:t>a</w:t>
      </w:r>
      <w:r w:rsidRPr="00CF4B47">
        <w:rPr>
          <w:rFonts w:ascii="Times New Roman" w:hAnsi="Times New Roman"/>
          <w:sz w:val="20"/>
        </w:rPr>
        <w:t>.</w:t>
      </w:r>
    </w:p>
    <w:p w:rsidR="00BB1A71" w:rsidRPr="00347E67" w:rsidP="00BB1A71">
      <w:pPr>
        <w:bidi w:val="0"/>
        <w:spacing w:after="0"/>
        <w:ind w:left="284" w:right="993" w:hanging="284"/>
        <w:jc w:val="both"/>
        <w:rPr>
          <w:rFonts w:ascii="Times New Roman" w:hAnsi="Times New Roman"/>
          <w:color w:val="000080"/>
          <w:sz w:val="20"/>
        </w:rPr>
      </w:pPr>
    </w:p>
    <w:p w:rsidR="00BB1A71" w:rsidP="00BB1A71">
      <w:pPr>
        <w:bidi w:val="0"/>
        <w:rPr>
          <w:rFonts w:ascii="Times New Roman" w:hAnsi="Times New Roman"/>
        </w:rPr>
      </w:pPr>
    </w:p>
    <w:p w:rsidR="00BB1A71" w:rsidRPr="006256FE" w:rsidP="006256FE">
      <w:pPr>
        <w:keepNext/>
        <w:bidi w:val="0"/>
        <w:spacing w:before="40" w:after="40" w:line="240" w:lineRule="auto"/>
        <w:outlineLvl w:val="5"/>
        <w:rPr>
          <w:rFonts w:ascii="Times New Roman" w:hAnsi="Times New Roman"/>
          <w:color w:val="FF0000"/>
          <w:sz w:val="28"/>
          <w:szCs w:val="28"/>
          <w:u w:val="single"/>
          <w:lang w:eastAsia="sk-SK"/>
        </w:rPr>
      </w:pPr>
    </w:p>
    <w:p w:rsidR="00BB1A71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BB1A71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BB1A71" w:rsidRP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RPr="000B4AD9" w:rsidP="006256FE">
      <w:pPr>
        <w:numPr>
          <w:numId w:val="8"/>
        </w:num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0B4AD9">
        <w:rPr>
          <w:rFonts w:ascii="Times New Roman" w:hAnsi="Times New Roman"/>
          <w:sz w:val="28"/>
          <w:szCs w:val="28"/>
          <w:u w:val="single"/>
          <w:lang w:eastAsia="sk-SK"/>
        </w:rPr>
        <w:t>Použitie informačno-technických prostriedkov v pôsobnosti</w:t>
      </w:r>
      <w:r w:rsidRPr="000B4AD9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   </w:t>
      </w:r>
    </w:p>
    <w:p w:rsidR="006256FE" w:rsidRPr="000B4AD9" w:rsidP="006256FE">
      <w:pPr>
        <w:bidi w:val="0"/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0B4AD9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Policajného zboru SR  </w:t>
      </w:r>
      <w:r w:rsidR="000B4AD9">
        <w:rPr>
          <w:rFonts w:ascii="Times New Roman" w:hAnsi="Times New Roman"/>
          <w:sz w:val="28"/>
          <w:szCs w:val="28"/>
          <w:u w:val="single"/>
          <w:lang w:eastAsia="sk-SK"/>
        </w:rPr>
        <w:t>rok 2014</w:t>
      </w:r>
    </w:p>
    <w:p w:rsidR="006256FE" w:rsidP="006256FE">
      <w:pPr>
        <w:bidi w:val="0"/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  <w:u w:val="single"/>
          <w:lang w:eastAsia="sk-SK"/>
        </w:rPr>
      </w:pPr>
    </w:p>
    <w:p w:rsidR="000B4AD9" w:rsidP="000B4AD9">
      <w:pPr>
        <w:bidi w:val="0"/>
        <w:rPr>
          <w:rFonts w:ascii="Times New Roman" w:hAnsi="Times New Roman"/>
        </w:rPr>
      </w:pPr>
    </w:p>
    <w:p w:rsidR="000B4AD9" w:rsidP="000B4AD9">
      <w:pPr>
        <w:tabs>
          <w:tab w:val="left" w:pos="0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obranu a bezpečnosť poverený plnením úloh vyplývajúcich z § 9 ods. 1 zákona č. 166/2003 Z. z. o ochrane súkromia </w:t>
        <w:br/>
        <w:t xml:space="preserve">pred neoprávneným použitím informačno-technických prostriedkov a o zmene a doplnení niektorých zákonov (zákon o ochrane pred odpočúvaním) v znení neskorších predpisov  požiadal </w:t>
      </w:r>
      <w:r w:rsidRPr="00395FDB">
        <w:rPr>
          <w:rFonts w:ascii="Times New Roman" w:hAnsi="Times New Roman"/>
          <w:color w:val="000000" w:themeColor="tx1" w:themeShade="FF"/>
        </w:rPr>
        <w:t xml:space="preserve">listom podpredsedu vlády a ministra </w:t>
      </w:r>
      <w:r>
        <w:rPr>
          <w:rFonts w:ascii="Times New Roman" w:hAnsi="Times New Roman"/>
        </w:rPr>
        <w:t>vnútra Slovenskej republiky o zaslanie informácie obsahujúcej údaje o počte realizovaných prípadov použitia informačno-technických prostriedkov (ďalej len „ITP“). Uvedenú informáciu Policajný zbor predkladá v súvislosti s prípravou správy o použití informačno-technických prostriedkov za obdobie roku 2014.</w:t>
      </w:r>
    </w:p>
    <w:p w:rsidR="000B4AD9" w:rsidP="000B4AD9">
      <w:pPr>
        <w:tabs>
          <w:tab w:val="left" w:pos="0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Policajný zbor podľa § 2 zákona č. 166/2003 Z. z. v znení neskorších predpisov pôsobí ako orgán štátu, ktorý je oprávnený používať ITP a tiež ako subjekt, ktorý po predložení písomného súhlasu zákonného sudcu technicky zabezpečuje používanie ITP aj pre iné orgány štátu (Finančná správa, Vojenské spravodajstvo, Zbor väzenskej a justičnej stráže).</w:t>
      </w:r>
    </w:p>
    <w:p w:rsidR="000B4AD9" w:rsidP="000B4AD9">
      <w:pPr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Nasledujúca informácia obsahuje prípady použitia ITP, kedy žiadateľom o použitie ITP bol iba Policajný zbor a neobsahuje údaje o prípadoch, pri ktorých bol žiadateľom o ich použitie iný orgán štátu, ani prípady použitia ITP podľa Trestného poriadku.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Jednotlivé žiadosti na použitie ITP podľa zákona č. 166/2003 Z. z. v znení neskorších predpisov sa v roku 2014 realizovali takto: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707"/>
          <w:tab w:val="right" w:pos="8509"/>
        </w:tabs>
        <w:bidi w:val="0"/>
        <w:spacing w:after="0" w:line="360" w:lineRule="auto"/>
        <w:ind w:left="303" w:hanging="3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Podľa § 4 ods. 1 bolo uplatnených 1226 žiadostí na použitie ITP, pričom zákonný sudca                   udelil súhlas v 1146 prípadoch a v 80 prípadoch nevydal súhlas na použitie ITP.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ind w:left="303" w:hanging="3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Žiadosti o predĺženie doby použitia ITP podľa § 4 ods. 2 boli predložené v 158 prípadoch, súhlas na použitie ITP bol vydaný v 144 prípadoch a v 14 prípadoch súhlas na použitie ITP vydaný nebol.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ind w:left="303" w:hanging="3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Žiadosti o dodatočný súhlas zákonného sudcu vo výnimočnom prípade, keď vec neznesie odklad podľa § 5 ods. 1 a 2 predložené neboli. 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ind w:left="303" w:hanging="3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Dosiahnutý zákonom uznaný účel a cieľ použitia ITP podľa §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</w:rPr>
          <w:t>3 a</w:t>
        </w:r>
      </w:smartTag>
      <w:r>
        <w:rPr>
          <w:rFonts w:ascii="Times New Roman" w:hAnsi="Times New Roman"/>
        </w:rPr>
        <w:t xml:space="preserve"> § 7 bol v 1120 prípadoch a v 170 prípadoch nebol tento účel a cieľ dosiahnutý.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303"/>
          <w:tab w:val="left" w:pos="708"/>
          <w:tab w:val="right" w:pos="8509"/>
        </w:tabs>
        <w:bidi w:val="0"/>
        <w:spacing w:after="0" w:line="360" w:lineRule="auto"/>
        <w:ind w:left="303" w:hanging="3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Informácie získané použitím ITP boli využité ako dôkaz v trestnom konaní v 119 prípadoch. 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P="000B4AD9">
      <w:pPr>
        <w:tabs>
          <w:tab w:val="left" w:pos="284"/>
          <w:tab w:val="right" w:pos="8509"/>
        </w:tabs>
        <w:bidi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Nezákonné použitie ITP Policajným zborom v roku 2014 nebolo zákonným sudcom                zistené.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0B4AD9" w:rsidP="000B4AD9">
      <w:pPr>
        <w:tabs>
          <w:tab w:val="left" w:pos="0"/>
          <w:tab w:val="right" w:pos="8509"/>
        </w:tabs>
        <w:bidi w:val="0"/>
        <w:spacing w:after="0" w:line="360" w:lineRule="auto"/>
        <w:ind w:hanging="1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      Podrobnejší prehľad o počte realizovaných prípadov použitia ITP v členení podľa § 2    ods. 1 písm. a), b), c) je uvedený v priloženej tabuľke.</w:t>
      </w:r>
    </w:p>
    <w:p w:rsidR="000B4AD9" w:rsidP="000B4AD9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RPr="00EB4D7C" w:rsidP="00EB4D7C">
      <w:pPr>
        <w:tabs>
          <w:tab w:val="left" w:pos="708"/>
          <w:tab w:val="right" w:pos="8509"/>
        </w:tabs>
        <w:bidi w:val="0"/>
        <w:spacing w:after="0" w:line="360" w:lineRule="auto"/>
        <w:jc w:val="both"/>
        <w:rPr>
          <w:rFonts w:ascii="Times New Roman" w:hAnsi="Times New Roman"/>
        </w:rPr>
      </w:pPr>
    </w:p>
    <w:p w:rsidR="000B4AD9" w:rsidRPr="000B4AD9" w:rsidP="000B4AD9">
      <w:pPr>
        <w:bidi w:val="0"/>
        <w:spacing w:after="0" w:line="240" w:lineRule="auto"/>
        <w:rPr>
          <w:rFonts w:ascii="Times New Roman" w:hAnsi="Times New Roman"/>
          <w:b/>
          <w:sz w:val="22"/>
        </w:rPr>
      </w:pPr>
      <w:r w:rsidRPr="000B4AD9">
        <w:rPr>
          <w:rFonts w:ascii="Times New Roman" w:hAnsi="Times New Roman"/>
          <w:b/>
          <w:sz w:val="22"/>
        </w:rPr>
        <w:t>Štatistický  prehľad  o  použití  informačno-technických  prostriedkov</w:t>
      </w:r>
    </w:p>
    <w:p w:rsidR="000B4AD9" w:rsidRPr="000B4AD9" w:rsidP="000B4AD9">
      <w:pPr>
        <w:bidi w:val="0"/>
        <w:spacing w:after="0" w:line="240" w:lineRule="auto"/>
        <w:rPr>
          <w:rFonts w:ascii="Times New Roman" w:hAnsi="Times New Roman"/>
          <w:b/>
          <w:szCs w:val="24"/>
        </w:rPr>
      </w:pPr>
      <w:r w:rsidRPr="000B4AD9">
        <w:rPr>
          <w:rFonts w:ascii="Times New Roman" w:hAnsi="Times New Roman"/>
          <w:b/>
          <w:sz w:val="22"/>
        </w:rPr>
        <w:t>za obdobie roku 2014 v pôsobnosti Policajného zboru</w:t>
      </w:r>
      <w:r w:rsidRPr="000B4AD9">
        <w:rPr>
          <w:rFonts w:ascii="Times New Roman" w:hAnsi="Times New Roman"/>
          <w:b/>
          <w:szCs w:val="24"/>
        </w:rPr>
        <w:t xml:space="preserve"> </w:t>
      </w:r>
    </w:p>
    <w:tbl>
      <w:tblPr>
        <w:tblStyle w:val="TableNormal"/>
        <w:tblW w:w="965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2725"/>
        <w:gridCol w:w="1424"/>
        <w:gridCol w:w="1333"/>
        <w:gridCol w:w="1285"/>
        <w:gridCol w:w="2419"/>
      </w:tblGrid>
      <w:tr>
        <w:tblPrEx>
          <w:tblW w:w="9652" w:type="dxa"/>
          <w:tblInd w:w="-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97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0B4AD9" w:rsidP="00F55914">
            <w:pPr>
              <w:bidi w:val="0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</w:rPr>
              <w:t xml:space="preserve"> Obsahový počet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</w:rPr>
              <w:t>§ 2 ods. 1 písm. a)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</w:rPr>
              <w:t>§ 2 ods. 1 písm. b)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</w:rPr>
              <w:t>§ 2 ods. 1</w:t>
            </w:r>
          </w:p>
          <w:p w:rsidR="000B4AD9" w:rsidP="00F55914">
            <w:pPr>
              <w:bidi w:val="0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</w:rPr>
              <w:t>písm. c)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</w:rPr>
              <w:t>Celkový počet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75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Počet žiadostí na použitie ITP-§ 4 ods.1 </w:t>
            </w:r>
          </w:p>
          <w:p w:rsidR="000B4AD9" w:rsidP="00F55914">
            <w:pPr>
              <w:bidi w:val="0"/>
              <w:rPr>
                <w:rFonts w:ascii="Times New Roman" w:hAnsi="Times New Roman"/>
                <w:b/>
                <w:sz w:val="22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 toho 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1165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1226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sz w:val="22"/>
              </w:rPr>
              <w:t>Vydané súhlasy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1089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1146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3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sz w:val="22"/>
              </w:rPr>
              <w:t>Odmietnuté žiadosti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80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7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Počet žiadostí  na predĺženie doby použitia ITP v tom istom prípade - § 4 ods.2</w:t>
            </w:r>
          </w:p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 toho: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</w:p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158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sz w:val="22"/>
              </w:rPr>
              <w:t>Vydané súhlasy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144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sz w:val="22"/>
              </w:rPr>
              <w:t>Odmietnuté žiadosti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14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7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Počet prípadov použitia  ITP v zmysle § 5 ods.1 a 2 </w:t>
            </w:r>
          </w:p>
          <w:p w:rsidR="000B4AD9" w:rsidP="00F55914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dodatočné súhlasy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sz w:val="22"/>
              </w:rPr>
              <w:t>Vydané súhlasy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2"/>
                <w:lang w:eastAsia="sk-SK"/>
              </w:rPr>
            </w:pPr>
            <w:r>
              <w:rPr>
                <w:rFonts w:ascii="Times New Roman" w:hAnsi="Times New Roman"/>
                <w:sz w:val="22"/>
              </w:rPr>
              <w:t>Odmietnuté žiadosti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Počet ITP , u ktorých bol dosiahnutý zákonom uznaný účel a cieľ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1058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1120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Počet ITP , u ktorých nebol dosiahnutý zákonom uznaný účel a cieľ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165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170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137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Počet prípadov použitia ITP, z ktorých boli informácie použité ako dôkaz v trestnom konaní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</w:p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119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57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Počet prípadov nezákonného použitia ITP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Celkový počet žiadostí na použitie ITP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–súčet r. 1+4+7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1313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71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1384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Celkový počet vydaných súhlasov </w:t>
            </w:r>
            <w:r>
              <w:rPr>
                <w:rFonts w:ascii="Times New Roman" w:hAnsi="Times New Roman"/>
                <w:sz w:val="20"/>
                <w:szCs w:val="20"/>
              </w:rPr>
              <w:t>– súčet r. 2+5+8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1223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67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1290</w:t>
            </w:r>
          </w:p>
        </w:tc>
      </w:tr>
      <w:tr>
        <w:tblPrEx>
          <w:tblW w:w="9652" w:type="dxa"/>
          <w:tblInd w:w="-290" w:type="dxa"/>
          <w:tblCellMar>
            <w:left w:w="70" w:type="dxa"/>
            <w:right w:w="70" w:type="dxa"/>
          </w:tblCellMar>
          <w:tblLook w:val="04A0"/>
        </w:tblPrEx>
        <w:trPr>
          <w:trHeight w:val="4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ind w:right="-65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0B4AD9" w:rsidP="00F55914">
            <w:pPr>
              <w:bidi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Celkový počet odmietnutých žiadostí </w:t>
            </w:r>
            <w:r>
              <w:rPr>
                <w:rFonts w:ascii="Times New Roman" w:hAnsi="Times New Roman"/>
                <w:sz w:val="20"/>
                <w:szCs w:val="20"/>
              </w:rPr>
              <w:t>– súčet r. 3+6+9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90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B4AD9" w:rsidP="00F55914">
            <w:pPr>
              <w:bidi w:val="0"/>
              <w:jc w:val="center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94</w:t>
            </w:r>
          </w:p>
        </w:tc>
      </w:tr>
    </w:tbl>
    <w:p w:rsidR="006256FE" w:rsidP="000B4AD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p w:rsidR="00EB4D7C" w:rsidP="000B4AD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p w:rsidR="00EB4D7C" w:rsidP="000B4AD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p w:rsidR="00EB4D7C" w:rsidRPr="000B4AD9" w:rsidP="000B4AD9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p w:rsidR="006256FE" w:rsidRPr="000B4AD9" w:rsidP="006256FE">
      <w:pPr>
        <w:numPr>
          <w:numId w:val="8"/>
        </w:numPr>
        <w:bidi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sk-SK"/>
        </w:rPr>
      </w:pPr>
      <w:r w:rsidRPr="000B4AD9">
        <w:rPr>
          <w:rFonts w:ascii="Times New Roman" w:hAnsi="Times New Roman"/>
          <w:sz w:val="28"/>
          <w:szCs w:val="28"/>
          <w:u w:val="single"/>
          <w:lang w:eastAsia="sk-SK"/>
        </w:rPr>
        <w:t>Použitie informačno-technických prostriedkov</w:t>
      </w:r>
      <w:r w:rsidRPr="000B4AD9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  </w:t>
      </w:r>
      <w:r w:rsidRPr="000B4AD9">
        <w:rPr>
          <w:rFonts w:ascii="Times New Roman" w:hAnsi="Times New Roman"/>
          <w:sz w:val="28"/>
          <w:szCs w:val="28"/>
          <w:u w:val="single"/>
          <w:lang w:eastAsia="sk-SK"/>
        </w:rPr>
        <w:t xml:space="preserve">v pôsobnosti </w:t>
      </w:r>
      <w:r w:rsidRPr="000B4AD9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 Ministerstva obrany SR – Vojenským spravodajstvom </w:t>
      </w:r>
    </w:p>
    <w:p w:rsidR="006256FE" w:rsidRPr="000B4AD9" w:rsidP="006256FE">
      <w:pPr>
        <w:bidi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sk-SK"/>
        </w:rPr>
      </w:pPr>
      <w:r w:rsidR="000B4AD9">
        <w:rPr>
          <w:rFonts w:ascii="Times New Roman" w:hAnsi="Times New Roman"/>
          <w:sz w:val="28"/>
          <w:szCs w:val="28"/>
          <w:u w:val="single"/>
          <w:lang w:eastAsia="sk-SK"/>
        </w:rPr>
        <w:t>za rok 2014</w:t>
      </w:r>
    </w:p>
    <w:p w:rsidR="000B4AD9" w:rsidP="00EB4D7C">
      <w:pPr>
        <w:pStyle w:val="BodyText"/>
        <w:numPr>
          <w:numId w:val="0"/>
        </w:numPr>
        <w:tabs>
          <w:tab w:val="clear" w:pos="737"/>
        </w:tabs>
        <w:bidi w:val="0"/>
        <w:spacing w:before="120" w:after="120" w:line="276" w:lineRule="auto"/>
        <w:ind w:firstLine="708"/>
        <w:rPr>
          <w:rFonts w:ascii="Times New Roman" w:hAnsi="Times New Roman"/>
          <w:b w:val="0"/>
          <w:szCs w:val="24"/>
        </w:rPr>
      </w:pPr>
      <w:r w:rsidRPr="000B4AD9">
        <w:rPr>
          <w:rFonts w:ascii="Times New Roman" w:hAnsi="Times New Roman"/>
          <w:b w:val="0"/>
          <w:szCs w:val="24"/>
        </w:rPr>
        <w:t>Na základe žiadosti Výboru   NR SR   pre   obranu a   bezpečnosť zo  dňa 12</w:t>
      </w:r>
      <w:r w:rsidRPr="000B4AD9">
        <w:rPr>
          <w:rFonts w:ascii="Times New Roman" w:hAnsi="Times New Roman"/>
          <w:b w:val="0"/>
          <w:color w:themeColor="tx1" w:themeShade="FF"/>
          <w:szCs w:val="24"/>
        </w:rPr>
        <w:t>. januára 2015</w:t>
      </w:r>
      <w:r w:rsidRPr="000B4AD9">
        <w:rPr>
          <w:rFonts w:ascii="Times New Roman" w:hAnsi="Times New Roman"/>
          <w:b w:val="0"/>
          <w:szCs w:val="24"/>
        </w:rPr>
        <w:t>, Vám predkladám Informáciu o počte realizovaný</w:t>
      </w:r>
      <w:r w:rsidR="00E315E6">
        <w:rPr>
          <w:rFonts w:ascii="Times New Roman" w:hAnsi="Times New Roman"/>
          <w:b w:val="0"/>
          <w:szCs w:val="24"/>
        </w:rPr>
        <w:t>ch prípadov použitia informačno-</w:t>
      </w:r>
      <w:r w:rsidRPr="000B4AD9">
        <w:rPr>
          <w:rFonts w:ascii="Times New Roman" w:hAnsi="Times New Roman"/>
          <w:b w:val="0"/>
          <w:szCs w:val="24"/>
        </w:rPr>
        <w:t>technických prostriedkov Vojenským spravodajstvom za obdobie roka 2014.</w:t>
      </w:r>
    </w:p>
    <w:p w:rsidR="000B4AD9" w:rsidRPr="000B4AD9" w:rsidP="00E315E6">
      <w:pPr>
        <w:pStyle w:val="BodyTextIndent"/>
        <w:bidi w:val="0"/>
        <w:spacing w:before="120"/>
        <w:ind w:left="0"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>Použitie informačno-technických prostriedkov (ďalej len „ITP“) v pôsobnosti Vojenského spravodajstva upravuje zákon č. 166/2003 Z. z. o ochrane súkromia pred neoprávneným použitím informačno-technických prostriedkov a o zmene a doplnení niektorých zákonov (zákon o ochrane pred odpočúvaním) v znení neskorších predpisov (ďalej len „zákon o ochrane  pred odpočúvaním“), zákon Národnej rady Slovenskej republiky č. 198/1994 Z. z. o Vojenskom spravodajstve v znení neskorších predpisov (ďalej len „zákon o Vojenskom spravodajstve“), Vyhláška Ministerstva spravodlivosti Slovenskej republiky č. 543/2005 Z. z. o Spravovacom a kancelárskom poriadku pre okresné súdy, krajské súdy, Špeciálny súd a vojenské súdy v znení neskorších predpisov a interné normatívne akty Vojenského spravodajstva Ministerstva obrany Slovenskej republiky.</w:t>
      </w:r>
    </w:p>
    <w:p w:rsidR="000B4AD9" w:rsidRPr="000B4AD9" w:rsidP="000B4AD9">
      <w:pPr>
        <w:bidi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 xml:space="preserve">Vojenské spravodajstvo využívalo v období roka 2014 ITP v súlade s ustanoveniami zákona o ochrane pred odpočúvaním a zákona o Vojenskom spravodajstve, pričom použitie ITP bolo realizované vo všetkých prípadoch v súlade s ustanovením § 4 zákona o ochrane pred odpočúvaním na základe predchádzajúceho písomného súhlasu zákonného sudcu. Ani v jednom prípade </w:t>
      </w:r>
      <w:r w:rsidRPr="000B4AD9">
        <w:rPr>
          <w:rFonts w:ascii="Times New Roman" w:hAnsi="Times New Roman"/>
          <w:b/>
          <w:szCs w:val="24"/>
        </w:rPr>
        <w:t>nedošlo k nezákonnému použitiu ITP</w:t>
      </w:r>
      <w:r w:rsidRPr="000B4AD9">
        <w:rPr>
          <w:rFonts w:ascii="Times New Roman" w:hAnsi="Times New Roman"/>
          <w:szCs w:val="24"/>
        </w:rPr>
        <w:t>.</w:t>
      </w:r>
    </w:p>
    <w:p w:rsidR="000B4AD9" w:rsidRPr="000B4AD9" w:rsidP="000B4AD9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 xml:space="preserve">a) Vojenské spravodajstvo za obdobie roka 2014 podalo celkom </w:t>
      </w:r>
      <w:r w:rsidRPr="000B4AD9">
        <w:rPr>
          <w:rFonts w:ascii="Times New Roman" w:hAnsi="Times New Roman"/>
          <w:b/>
          <w:szCs w:val="24"/>
        </w:rPr>
        <w:t xml:space="preserve">26 </w:t>
      </w:r>
      <w:r w:rsidRPr="000B4AD9">
        <w:rPr>
          <w:rFonts w:ascii="Times New Roman" w:hAnsi="Times New Roman"/>
          <w:szCs w:val="24"/>
        </w:rPr>
        <w:t xml:space="preserve">žiadostí na   použitie  ITP  v   súlade  s   ustanovením  § 4 ods. 1   zákona   o   ochrane  pred odpočúvaním. Z tohto počtu bolo zákonným sudcom vydaných </w:t>
      </w:r>
      <w:r w:rsidRPr="000B4AD9">
        <w:rPr>
          <w:rFonts w:ascii="Times New Roman" w:hAnsi="Times New Roman"/>
          <w:b/>
          <w:szCs w:val="24"/>
        </w:rPr>
        <w:t>24</w:t>
      </w:r>
      <w:r w:rsidRPr="000B4AD9">
        <w:rPr>
          <w:rFonts w:ascii="Times New Roman" w:hAnsi="Times New Roman"/>
          <w:szCs w:val="24"/>
        </w:rPr>
        <w:t xml:space="preserve"> písomných súhlasov na použitie ITP,  </w:t>
      </w:r>
      <w:r w:rsidRPr="000B4AD9">
        <w:rPr>
          <w:rFonts w:ascii="Times New Roman" w:hAnsi="Times New Roman"/>
          <w:b/>
          <w:szCs w:val="24"/>
        </w:rPr>
        <w:t>dve</w:t>
      </w:r>
      <w:r w:rsidRPr="000B4AD9">
        <w:rPr>
          <w:rFonts w:ascii="Times New Roman" w:hAnsi="Times New Roman"/>
          <w:szCs w:val="24"/>
        </w:rPr>
        <w:t xml:space="preserve"> </w:t>
      </w:r>
      <w:r w:rsidRPr="000B4AD9">
        <w:rPr>
          <w:rFonts w:ascii="Times New Roman" w:hAnsi="Times New Roman"/>
          <w:b/>
          <w:szCs w:val="24"/>
        </w:rPr>
        <w:t>žiadosti</w:t>
      </w:r>
      <w:r w:rsidRPr="000B4AD9">
        <w:rPr>
          <w:rFonts w:ascii="Times New Roman" w:hAnsi="Times New Roman"/>
          <w:szCs w:val="24"/>
        </w:rPr>
        <w:t xml:space="preserve"> boli odmietnuté.  </w:t>
      </w:r>
    </w:p>
    <w:p w:rsidR="000B4AD9" w:rsidRPr="000B4AD9" w:rsidP="000B4AD9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 xml:space="preserve">b) Vojenské spravodajstvo predložilo zákonnému sudcovi celkom  </w:t>
      </w:r>
      <w:r w:rsidRPr="000B4AD9">
        <w:rPr>
          <w:rFonts w:ascii="Times New Roman" w:hAnsi="Times New Roman"/>
          <w:b/>
          <w:szCs w:val="24"/>
        </w:rPr>
        <w:t>17</w:t>
      </w:r>
      <w:r w:rsidRPr="000B4AD9">
        <w:rPr>
          <w:rFonts w:ascii="Times New Roman" w:hAnsi="Times New Roman"/>
          <w:szCs w:val="24"/>
        </w:rPr>
        <w:t xml:space="preserve"> žiadostí na predĺženie doby použitia ITP v tom istom prípade v súlade s ustanovením § 4 ods. 2 zákona o ochrane pred odpočúvaním. Na všetky predložené žiadosti o predĺženie doby použitia ITP boli zákonným sudcom vydané písomné súhlasy na ich použitie.</w:t>
      </w:r>
    </w:p>
    <w:p w:rsidR="000B4AD9" w:rsidRPr="000B4AD9" w:rsidP="000B4AD9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>c) Vojenské spravodajstvo nemá zákonné oprávnenie na uplatňovanie ustanovenia §  5  zákona   o    ochrane    pred    odpočúvaním   a    v     žiadnom  zo zrealizovaných prípadov ITP nedošlo k ich použitiu bez predchádzajúceho súhlasu zákonného sudcu.</w:t>
      </w:r>
    </w:p>
    <w:p w:rsidR="000B4AD9" w:rsidRPr="000B4AD9" w:rsidP="000B4AD9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 xml:space="preserve">Všetky ITP boli použité v súlade s ustanovením § 3 zákona o  ochrane  pred odpočúvaním, kedy ich použitie bolo nevyhnutné na zabezpečenie bezpečnosti štátu, obrany štátu, predchádzanie a objasňovanie trestnej činnosti alebo na ochranu práv a slobôd iných a boli použité len v nevyhnutnom rozsahu. Z celkového počtu </w:t>
      </w:r>
      <w:r w:rsidRPr="000B4AD9">
        <w:rPr>
          <w:rFonts w:ascii="Times New Roman" w:hAnsi="Times New Roman"/>
          <w:b/>
          <w:szCs w:val="24"/>
        </w:rPr>
        <w:t>41</w:t>
      </w:r>
      <w:r w:rsidRPr="000B4AD9">
        <w:rPr>
          <w:rFonts w:ascii="Times New Roman" w:hAnsi="Times New Roman"/>
          <w:szCs w:val="24"/>
        </w:rPr>
        <w:t xml:space="preserve"> vydaných písomných súhlasov zákonného sudcu na použitie ITP Vojenským spravodajstvom bol zákonom uznaný účel a cieľ dosiahnutý v  </w:t>
      </w:r>
      <w:r w:rsidRPr="000B4AD9">
        <w:rPr>
          <w:rFonts w:ascii="Times New Roman" w:hAnsi="Times New Roman"/>
          <w:b/>
          <w:szCs w:val="24"/>
        </w:rPr>
        <w:t>41</w:t>
      </w:r>
      <w:r w:rsidRPr="000B4AD9">
        <w:rPr>
          <w:rFonts w:ascii="Times New Roman" w:hAnsi="Times New Roman"/>
          <w:szCs w:val="24"/>
        </w:rPr>
        <w:t xml:space="preserve"> prípadoch.</w:t>
      </w:r>
    </w:p>
    <w:p w:rsidR="000B4AD9" w:rsidRPr="000B4AD9" w:rsidP="000B4AD9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>Informácie získané použitím ITP v rámci Vojenského spravodajstva boli v </w:t>
      </w:r>
      <w:r w:rsidRPr="000B4AD9">
        <w:rPr>
          <w:rFonts w:ascii="Times New Roman" w:hAnsi="Times New Roman"/>
          <w:b/>
          <w:szCs w:val="24"/>
        </w:rPr>
        <w:t>2 prípadoch</w:t>
      </w:r>
      <w:r w:rsidRPr="000B4AD9">
        <w:rPr>
          <w:rFonts w:ascii="Times New Roman" w:hAnsi="Times New Roman"/>
          <w:szCs w:val="24"/>
        </w:rPr>
        <w:t xml:space="preserve"> použité ako dôkaz v trestnom konaní. </w:t>
      </w:r>
    </w:p>
    <w:p w:rsidR="000B4AD9" w:rsidRPr="000B4AD9" w:rsidP="000B4AD9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0B4AD9">
        <w:rPr>
          <w:rFonts w:ascii="Times New Roman" w:hAnsi="Times New Roman"/>
          <w:szCs w:val="24"/>
        </w:rPr>
        <w:t xml:space="preserve">Vojenské spravodajstvo nedisponuje žiadnym zistením sudcu o prípadoch nezákonného použitia ITP. </w:t>
      </w:r>
    </w:p>
    <w:p w:rsidR="000B4AD9" w:rsidRPr="000B4AD9" w:rsidP="00E315E6">
      <w:pPr>
        <w:pStyle w:val="BodyText"/>
        <w:numPr>
          <w:numId w:val="0"/>
        </w:numPr>
        <w:tabs>
          <w:tab w:val="clear" w:pos="737"/>
        </w:tabs>
        <w:bidi w:val="0"/>
        <w:spacing w:before="120" w:after="120" w:line="276" w:lineRule="auto"/>
        <w:ind w:left="369" w:firstLine="339"/>
        <w:jc w:val="both"/>
        <w:rPr>
          <w:rFonts w:ascii="Times New Roman" w:hAnsi="Times New Roman"/>
          <w:b w:val="0"/>
          <w:szCs w:val="24"/>
        </w:rPr>
      </w:pPr>
      <w:r w:rsidRPr="000B4AD9">
        <w:rPr>
          <w:rFonts w:ascii="Times New Roman" w:hAnsi="Times New Roman"/>
          <w:b w:val="0"/>
          <w:szCs w:val="24"/>
        </w:rPr>
        <w:t>Na základe dosiahnutých reálnych výsledkov je možné konštatovať,  že celý mechanizmus prípravy, realizácie, vyhodnocovania a využitia výsledkov dosiahnutých nasadením ITP v podmienkach Vojenského spravodajstva prebiehal</w:t>
      </w:r>
      <w:r w:rsidRPr="000B4AD9">
        <w:rPr>
          <w:rFonts w:ascii="Times New Roman" w:hAnsi="Times New Roman"/>
          <w:szCs w:val="24"/>
        </w:rPr>
        <w:t xml:space="preserve"> striktne v súlade </w:t>
      </w:r>
      <w:r w:rsidRPr="000B4AD9">
        <w:rPr>
          <w:rFonts w:ascii="Times New Roman" w:hAnsi="Times New Roman"/>
          <w:b w:val="0"/>
          <w:szCs w:val="24"/>
        </w:rPr>
        <w:t xml:space="preserve">s príslušnými ustanoveniami zákona o ochrane pred odpočúvaním ako aj zákona o Vojenskom spravodajstve. Odrazom tejto skutočnosti je fakt, že zákonný sudca </w:t>
      </w:r>
      <w:r w:rsidRPr="000B4AD9">
        <w:rPr>
          <w:rFonts w:ascii="Times New Roman" w:hAnsi="Times New Roman"/>
          <w:szCs w:val="24"/>
        </w:rPr>
        <w:t xml:space="preserve">v žiadnom z požadovaných prípadov  </w:t>
      </w:r>
      <w:r w:rsidRPr="000B4AD9">
        <w:rPr>
          <w:rFonts w:ascii="Times New Roman" w:hAnsi="Times New Roman"/>
          <w:b w:val="0"/>
          <w:szCs w:val="24"/>
        </w:rPr>
        <w:t xml:space="preserve">nasadenia ITP nekonštatoval jeho nezákonné použitie. </w:t>
      </w:r>
    </w:p>
    <w:p w:rsidR="000B4AD9" w:rsidRPr="000B4AD9" w:rsidP="000B4AD9">
      <w:pPr>
        <w:bidi w:val="0"/>
        <w:spacing w:before="120"/>
        <w:jc w:val="both"/>
        <w:rPr>
          <w:rFonts w:ascii="Garamond" w:hAnsi="Garamond"/>
          <w:szCs w:val="24"/>
        </w:rPr>
      </w:pPr>
    </w:p>
    <w:p w:rsidR="000B4AD9" w:rsidRPr="00022B71" w:rsidP="000B4AD9">
      <w:pPr>
        <w:bidi w:val="0"/>
        <w:spacing w:before="120"/>
        <w:jc w:val="both"/>
        <w:rPr>
          <w:rFonts w:ascii="Garamond" w:hAnsi="Garamond"/>
          <w:sz w:val="28"/>
          <w:szCs w:val="28"/>
        </w:rPr>
      </w:pPr>
    </w:p>
    <w:p w:rsidR="000B4AD9" w:rsidRPr="0025558C" w:rsidP="000B4AD9">
      <w:pPr>
        <w:pageBreakBefore/>
        <w:bidi w:val="0"/>
        <w:jc w:val="both"/>
        <w:rPr>
          <w:rFonts w:ascii="Times New Roman" w:hAnsi="Times New Roman"/>
          <w:b/>
          <w:szCs w:val="24"/>
        </w:rPr>
      </w:pPr>
      <w:r w:rsidRPr="0025558C">
        <w:rPr>
          <w:rFonts w:ascii="Times New Roman" w:hAnsi="Times New Roman"/>
          <w:b/>
          <w:szCs w:val="24"/>
        </w:rPr>
        <w:t>Vojenské spravodajstvo – tabuľková časť</w:t>
      </w:r>
    </w:p>
    <w:tbl>
      <w:tblPr>
        <w:tblStyle w:val="TableNormal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33"/>
        <w:gridCol w:w="3286"/>
        <w:gridCol w:w="1276"/>
        <w:gridCol w:w="1276"/>
        <w:gridCol w:w="1275"/>
        <w:gridCol w:w="1276"/>
      </w:tblGrid>
      <w:tr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62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Obsahový počet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§ 2 ods.1 písm. 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§ 2 ods.1 písm. 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§ 2 ods.1 písm. 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Celkový počet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1.</w:t>
            </w:r>
            <w:r>
              <w:rPr>
                <w:rFonts w:ascii="Times New Roman" w:hAnsi="Times New Roman"/>
                <w:b/>
                <w:szCs w:val="24"/>
              </w:rPr>
              <w:t>/a)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 xml:space="preserve">Počet žiadostí na použitie ITP – </w:t>
            </w:r>
            <w:r>
              <w:rPr>
                <w:rFonts w:ascii="Times New Roman" w:hAnsi="Times New Roman"/>
                <w:b/>
                <w:szCs w:val="24"/>
              </w:rPr>
              <w:t>§</w:t>
            </w:r>
            <w:r w:rsidRPr="0025558C">
              <w:rPr>
                <w:rFonts w:ascii="Times New Roman" w:hAnsi="Times New Roman"/>
                <w:b/>
                <w:szCs w:val="24"/>
              </w:rPr>
              <w:t xml:space="preserve"> 4 ods.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b/>
                <w:szCs w:val="24"/>
              </w:rPr>
              <w:t>1 , z toho: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szCs w:val="24"/>
              </w:rPr>
              <w:t>Vydané súhlasy (§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6 ods.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25558C">
              <w:rPr>
                <w:rFonts w:ascii="Times New Roman" w:hAnsi="Times New Roman"/>
                <w:szCs w:val="24"/>
              </w:rPr>
              <w:t>Odmietnuté žiadosti (§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6 ods.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4.</w:t>
            </w:r>
            <w:r>
              <w:rPr>
                <w:rFonts w:ascii="Times New Roman" w:hAnsi="Times New Roman"/>
                <w:b/>
                <w:szCs w:val="24"/>
              </w:rPr>
              <w:t>/b)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 xml:space="preserve">Počet prípadov, v ktorých sa predložila opakovaná žiadosť na predĺženie doby použitia ITP v tom istom prípade – </w:t>
            </w:r>
            <w:r>
              <w:rPr>
                <w:rFonts w:ascii="Times New Roman" w:hAnsi="Times New Roman"/>
                <w:b/>
                <w:szCs w:val="24"/>
              </w:rPr>
              <w:t>§</w:t>
            </w:r>
            <w:r w:rsidRPr="0025558C">
              <w:rPr>
                <w:rFonts w:ascii="Times New Roman" w:hAnsi="Times New Roman"/>
                <w:b/>
                <w:szCs w:val="24"/>
              </w:rPr>
              <w:t xml:space="preserve"> 4 ods. 2 , z toho: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25558C">
              <w:rPr>
                <w:rFonts w:ascii="Times New Roman" w:hAnsi="Times New Roman"/>
                <w:szCs w:val="24"/>
              </w:rPr>
              <w:t>Vydané súhlasy (§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6 ods.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25558C">
              <w:rPr>
                <w:rFonts w:ascii="Times New Roman" w:hAnsi="Times New Roman"/>
                <w:szCs w:val="24"/>
              </w:rPr>
              <w:t>Odmietnuté žiadosti (§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6 ods.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szCs w:val="24"/>
              </w:rPr>
              <w:t>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7.</w:t>
            </w:r>
            <w:r>
              <w:rPr>
                <w:rFonts w:ascii="Times New Roman" w:hAnsi="Times New Roman"/>
                <w:b/>
                <w:szCs w:val="24"/>
              </w:rPr>
              <w:t>/c)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 xml:space="preserve">Počet prípadov použitia ITP v zmysle </w:t>
            </w:r>
            <w:r>
              <w:rPr>
                <w:rFonts w:ascii="Times New Roman" w:hAnsi="Times New Roman"/>
                <w:b/>
                <w:szCs w:val="24"/>
              </w:rPr>
              <w:t>§</w:t>
            </w:r>
            <w:r w:rsidRPr="0025558C">
              <w:rPr>
                <w:rFonts w:ascii="Times New Roman" w:hAnsi="Times New Roman"/>
                <w:b/>
                <w:szCs w:val="24"/>
              </w:rPr>
              <w:t xml:space="preserve"> 5 ods. 1 a 2 – dodatočné súhlasy, z toho: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szCs w:val="24"/>
              </w:rPr>
              <w:t>Počet žiadostí o dodatočný súhlas, v ktorých sudca vydal súhlas: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58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9.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25558C">
              <w:rPr>
                <w:rFonts w:ascii="Times New Roman" w:hAnsi="Times New Roman"/>
                <w:szCs w:val="24"/>
              </w:rPr>
              <w:t>Počet zákonným sudcom odmietnutých žiadostí o dodatočný súhlas: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10.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Počet ITP</w:t>
            </w:r>
            <w:r>
              <w:rPr>
                <w:rFonts w:ascii="Times New Roman" w:hAnsi="Times New Roman"/>
                <w:b/>
                <w:szCs w:val="24"/>
              </w:rPr>
              <w:t>,</w:t>
            </w:r>
            <w:r w:rsidRPr="0025558C">
              <w:rPr>
                <w:rFonts w:ascii="Times New Roman" w:hAnsi="Times New Roman"/>
                <w:b/>
                <w:szCs w:val="24"/>
              </w:rPr>
              <w:t xml:space="preserve"> u ktorých bol dosiahnutý zákonom uznaný účel a cieľ (k § </w:t>
            </w:r>
            <w:smartTag w:uri="urn:schemas-microsoft-com:office:smarttags" w:element="metricconverter">
              <w:smartTagPr>
                <w:attr w:name="ProductID" w:val="3 a"/>
              </w:smartTagPr>
              <w:r w:rsidRPr="0025558C">
                <w:rPr>
                  <w:rFonts w:ascii="Times New Roman" w:hAnsi="Times New Roman"/>
                  <w:b/>
                  <w:szCs w:val="24"/>
                </w:rPr>
                <w:t>3 a</w:t>
              </w:r>
            </w:smartTag>
            <w:r w:rsidRPr="0025558C">
              <w:rPr>
                <w:rFonts w:ascii="Times New Roman" w:hAnsi="Times New Roman"/>
                <w:b/>
                <w:szCs w:val="24"/>
              </w:rPr>
              <w:t xml:space="preserve"> §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5558C">
              <w:rPr>
                <w:rFonts w:ascii="Times New Roman" w:hAnsi="Times New Roman"/>
                <w:b/>
                <w:szCs w:val="24"/>
              </w:rPr>
              <w:t>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>11.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both"/>
              <w:rPr>
                <w:rFonts w:ascii="Times New Roman" w:hAnsi="Times New Roman"/>
                <w:szCs w:val="24"/>
              </w:rPr>
            </w:pPr>
            <w:r w:rsidRPr="002E49CE">
              <w:rPr>
                <w:rFonts w:ascii="Times New Roman" w:hAnsi="Times New Roman"/>
                <w:b/>
                <w:szCs w:val="24"/>
              </w:rPr>
              <w:t>Počty prípadov použitia ITP, z ktorých boli informácie použité ako dôkaz v trestnom konaní: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25558C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E49CE" w:rsidP="00F55914">
            <w:pPr>
              <w:bidi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E49CE">
              <w:rPr>
                <w:rFonts w:ascii="Times New Roman" w:hAnsi="Times New Roman"/>
                <w:b/>
                <w:szCs w:val="24"/>
              </w:rPr>
              <w:t>12.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E49CE" w:rsidP="00F55914">
            <w:pPr>
              <w:bidi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558C">
              <w:rPr>
                <w:rFonts w:ascii="Times New Roman" w:hAnsi="Times New Roman"/>
                <w:b/>
                <w:szCs w:val="24"/>
              </w:rPr>
              <w:t xml:space="preserve">Počet </w:t>
            </w:r>
            <w:r>
              <w:rPr>
                <w:rFonts w:ascii="Times New Roman" w:hAnsi="Times New Roman"/>
                <w:b/>
                <w:szCs w:val="24"/>
              </w:rPr>
              <w:t xml:space="preserve">zákonným sudcom zistených prípadov nezákonného použitia </w:t>
            </w:r>
            <w:r w:rsidRPr="0025558C">
              <w:rPr>
                <w:rFonts w:ascii="Times New Roman" w:hAnsi="Times New Roman"/>
                <w:b/>
                <w:szCs w:val="24"/>
              </w:rPr>
              <w:t>ITP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2E49CE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19772E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</w:tcPr>
          <w:p w:rsidR="000B4AD9" w:rsidRPr="0019772E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B4AD9" w:rsidRPr="0019772E" w:rsidP="00F55914">
            <w:pPr>
              <w:bidi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0B4AD9" w:rsidP="000B4AD9">
      <w:pPr>
        <w:tabs>
          <w:tab w:val="right" w:leader="dot" w:pos="3969"/>
        </w:tabs>
        <w:autoSpaceDE w:val="0"/>
        <w:autoSpaceDN w:val="0"/>
        <w:bidi w:val="0"/>
        <w:adjustRightInd w:val="0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tabs>
          <w:tab w:val="left" w:pos="0"/>
        </w:tabs>
        <w:bidi w:val="0"/>
        <w:spacing w:before="12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6FE" w:rsidRPr="0057625D" w:rsidP="006256FE">
      <w:pPr>
        <w:numPr>
          <w:numId w:val="8"/>
        </w:num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57625D">
        <w:rPr>
          <w:rFonts w:ascii="Times New Roman" w:hAnsi="Times New Roman"/>
          <w:b/>
          <w:szCs w:val="24"/>
          <w:lang w:eastAsia="sk-SK"/>
        </w:rPr>
        <w:t xml:space="preserve"> </w:t>
      </w:r>
      <w:r w:rsidRPr="0057625D">
        <w:rPr>
          <w:rFonts w:ascii="Times New Roman" w:hAnsi="Times New Roman"/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6256FE" w:rsidRPr="0057625D" w:rsidP="006256FE">
      <w:pPr>
        <w:bidi w:val="0"/>
        <w:spacing w:after="0" w:line="240" w:lineRule="auto"/>
        <w:ind w:left="708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57625D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Ministerstva financií SR – Finančná správa  </w:t>
      </w:r>
      <w:r w:rsidR="0057625D">
        <w:rPr>
          <w:rFonts w:ascii="Times New Roman" w:hAnsi="Times New Roman"/>
          <w:sz w:val="28"/>
          <w:szCs w:val="28"/>
          <w:u w:val="single"/>
          <w:lang w:eastAsia="sk-SK"/>
        </w:rPr>
        <w:t>za rok 2014</w:t>
      </w:r>
    </w:p>
    <w:p w:rsidR="006256FE" w:rsidRPr="006256FE" w:rsidP="006256FE">
      <w:pPr>
        <w:bidi w:val="0"/>
        <w:spacing w:after="0" w:line="240" w:lineRule="auto"/>
        <w:ind w:left="708"/>
        <w:rPr>
          <w:rFonts w:ascii="Times New Roman" w:hAnsi="Times New Roman"/>
          <w:color w:val="FF0000"/>
          <w:sz w:val="28"/>
          <w:szCs w:val="28"/>
          <w:u w:val="single"/>
          <w:lang w:eastAsia="sk-SK"/>
        </w:rPr>
      </w:pPr>
    </w:p>
    <w:p w:rsidR="0057625D" w:rsidRPr="0057625D" w:rsidP="0057625D">
      <w:pPr>
        <w:tabs>
          <w:tab w:val="left" w:pos="709"/>
        </w:tabs>
        <w:autoSpaceDE w:val="0"/>
        <w:autoSpaceDN w:val="0"/>
        <w:bidi w:val="0"/>
        <w:adjustRightInd w:val="0"/>
        <w:spacing w:line="240" w:lineRule="atLeast"/>
        <w:ind w:left="3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7625D">
        <w:rPr>
          <w:rFonts w:ascii="Times New Roman" w:hAnsi="Times New Roman"/>
          <w:szCs w:val="24"/>
        </w:rPr>
        <w:t xml:space="preserve">Finančná správa používala informačno-technické prostriedky </w:t>
      </w:r>
      <w:r w:rsidRPr="0057625D">
        <w:rPr>
          <w:rFonts w:ascii="Times New Roman" w:hAnsi="Times New Roman"/>
          <w:bCs/>
          <w:color w:val="000000"/>
          <w:szCs w:val="24"/>
        </w:rPr>
        <w:t xml:space="preserve">(ďalej len „ITP“) </w:t>
      </w:r>
      <w:r w:rsidRPr="0057625D">
        <w:rPr>
          <w:rFonts w:ascii="Times New Roman" w:hAnsi="Times New Roman"/>
          <w:szCs w:val="24"/>
        </w:rPr>
        <w:t>v súlade s ustanoveniami zákona č. 166/2003 Z. z. a v súlade s ustanoveniami zákona č. 652/2004 Z. z. o orgánoch štátnej správy v colníctve a o zmene a doplnení niektorých zákonov v znení neskorších predpisov.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339"/>
        <w:jc w:val="both"/>
        <w:rPr>
          <w:rFonts w:ascii="Times New Roman" w:hAnsi="Times New Roman"/>
          <w:b w:val="0"/>
          <w:szCs w:val="24"/>
        </w:rPr>
      </w:pPr>
      <w:r w:rsidRPr="0057625D">
        <w:rPr>
          <w:rFonts w:ascii="Times New Roman" w:hAnsi="Times New Roman"/>
          <w:b w:val="0"/>
          <w:szCs w:val="24"/>
        </w:rPr>
        <w:t>Podľa § 4 ods. 1 zákona č. 166/2003 Z. z. finančná správa predložila zákonnému sudcovi celkom 155 prvotných písomných žiadostí, z ktorých bol v 141 prípadoch písomne vydaný súhlas zákonného sudcu na použitie ITP a 14 žiadostí na použitie ITP bolo odmietnutých.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737" w:firstLine="0"/>
        <w:rPr>
          <w:rFonts w:ascii="Times New Roman" w:hAnsi="Times New Roman"/>
          <w:b w:val="0"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8" w:firstLine="340"/>
        <w:jc w:val="both"/>
        <w:rPr>
          <w:rFonts w:ascii="Times New Roman" w:hAnsi="Times New Roman"/>
          <w:b w:val="0"/>
          <w:szCs w:val="24"/>
        </w:rPr>
      </w:pPr>
      <w:r w:rsidRPr="0057625D">
        <w:rPr>
          <w:rFonts w:ascii="Times New Roman" w:hAnsi="Times New Roman"/>
          <w:b w:val="0"/>
          <w:szCs w:val="24"/>
        </w:rPr>
        <w:t>Podľa § 4 ods. 2 zákona č. 166/2003 Z. z. finančná správa predložila opakovanú žiadosť zákonnému sudcovi o predĺženie doby použitia ITP v tom istom prípade v 14 prípadoch; v 13 prípadoch bol zákonným sudcom vydaný písomný súhlas s predĺžením doby použitia ITP a v 1 prípade bola opakovaná žiadosť odmietnutá.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b w:val="0"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8" w:firstLine="340"/>
        <w:jc w:val="both"/>
        <w:rPr>
          <w:rFonts w:ascii="Times New Roman" w:hAnsi="Times New Roman"/>
          <w:b w:val="0"/>
          <w:szCs w:val="24"/>
        </w:rPr>
      </w:pPr>
      <w:r w:rsidRPr="0057625D">
        <w:rPr>
          <w:rFonts w:ascii="Times New Roman" w:hAnsi="Times New Roman"/>
          <w:b w:val="0"/>
          <w:szCs w:val="24"/>
        </w:rPr>
        <w:t>Finančná správa neeviduje žiadny prípad použitia ITP podľa § 5 ods. 1 a 2 zákona č. 166/2003 Z. z.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b w:val="0"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339"/>
        <w:jc w:val="both"/>
        <w:rPr>
          <w:rFonts w:ascii="Times New Roman" w:hAnsi="Times New Roman"/>
          <w:b w:val="0"/>
          <w:szCs w:val="24"/>
        </w:rPr>
      </w:pPr>
      <w:r w:rsidRPr="0057625D">
        <w:rPr>
          <w:rFonts w:ascii="Times New Roman" w:hAnsi="Times New Roman"/>
          <w:b w:val="0"/>
          <w:szCs w:val="24"/>
        </w:rPr>
        <w:t xml:space="preserve">Z celkového počtu súhlasov vydaných zákonným sudcom bol v 150 prípadoch dosiahnutý zákonom uznaný účel a cieľ, ktorý bol povolený zákonným sudcom, s väzbou na ustanovenia § </w:t>
      </w:r>
      <w:smartTag w:uri="urn:schemas-microsoft-com:office:smarttags" w:element="metricconverter">
        <w:smartTagPr>
          <w:attr w:name="ProductID" w:val="3 a"/>
        </w:smartTagPr>
        <w:r w:rsidRPr="0057625D">
          <w:rPr>
            <w:rFonts w:ascii="Times New Roman" w:hAnsi="Times New Roman"/>
            <w:b w:val="0"/>
            <w:szCs w:val="24"/>
          </w:rPr>
          <w:t>3 a</w:t>
        </w:r>
      </w:smartTag>
      <w:r w:rsidRPr="0057625D">
        <w:rPr>
          <w:rFonts w:ascii="Times New Roman" w:hAnsi="Times New Roman"/>
          <w:b w:val="0"/>
          <w:szCs w:val="24"/>
        </w:rPr>
        <w:t xml:space="preserve"> § 7 zákona č. 166/2003 Z. z., kedy ITP možno použiť iba vtedy, ak je to v demokratickej spoločnosti nevyhnutné na zabezpečenie bezpečnosti štátu, obranu štátu, predchádzanie a objasňovanie trestnej činnosti alebo na ochranu práv a slobôd iných, teda zistili sa</w:t>
      </w:r>
      <w:r w:rsidRPr="0057625D">
        <w:rPr>
          <w:rFonts w:ascii="Times New Roman" w:hAnsi="Times New Roman"/>
          <w:b w:val="0"/>
          <w:color w:val="FF0000"/>
          <w:szCs w:val="24"/>
        </w:rPr>
        <w:t xml:space="preserve"> </w:t>
      </w:r>
      <w:r w:rsidRPr="0057625D">
        <w:rPr>
          <w:rFonts w:ascii="Times New Roman" w:hAnsi="Times New Roman"/>
          <w:b w:val="0"/>
          <w:szCs w:val="24"/>
        </w:rPr>
        <w:t xml:space="preserve">skutočnosti významné na dosiahnutie zákonom ustanoveného účelu použitia ITP. Finančná správa evidovala 2 prípady použitia ITP, u ktorých nebol dosiahnutý zákonom uznaný cieľ. 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b w:val="0"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339"/>
        <w:jc w:val="both"/>
        <w:rPr>
          <w:rFonts w:ascii="Times New Roman" w:hAnsi="Times New Roman"/>
          <w:b w:val="0"/>
          <w:szCs w:val="24"/>
        </w:rPr>
      </w:pPr>
      <w:r w:rsidRPr="0057625D">
        <w:rPr>
          <w:rFonts w:ascii="Times New Roman" w:hAnsi="Times New Roman"/>
          <w:b w:val="0"/>
          <w:szCs w:val="24"/>
        </w:rPr>
        <w:t>Finančná správa eviduje 5 prípadov, v ktorých informácie získané použitím ITP boli použité ako dôkaz v trestnom konaní.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737" w:firstLine="0"/>
        <w:rPr>
          <w:rFonts w:ascii="Times New Roman" w:hAnsi="Times New Roman"/>
          <w:b w:val="0"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339"/>
        <w:rPr>
          <w:rFonts w:ascii="Times New Roman" w:hAnsi="Times New Roman"/>
          <w:b w:val="0"/>
          <w:szCs w:val="24"/>
        </w:rPr>
      </w:pPr>
      <w:r w:rsidRPr="0057625D">
        <w:rPr>
          <w:rFonts w:ascii="Times New Roman" w:hAnsi="Times New Roman"/>
          <w:b w:val="0"/>
          <w:szCs w:val="24"/>
        </w:rPr>
        <w:t>Z celkového počtu prípadov nebol zaznamenaný žiadny prípad nezákonného použitia ITP.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szCs w:val="24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p w:rsid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  <w:r w:rsidRPr="0057625D">
        <w:rPr>
          <w:rFonts w:ascii="Times New Roman" w:hAnsi="Times New Roman"/>
          <w:b w:val="0"/>
          <w:bCs/>
          <w:sz w:val="22"/>
          <w:szCs w:val="22"/>
        </w:rPr>
        <w:t>Sumarizačná tabuľka s počtami ITP</w:t>
      </w: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Normal"/>
        <w:tblW w:w="10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0"/>
        <w:gridCol w:w="4800"/>
        <w:gridCol w:w="1380"/>
        <w:gridCol w:w="1220"/>
        <w:gridCol w:w="1160"/>
        <w:gridCol w:w="1160"/>
      </w:tblGrid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Obsahový počet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§ 2 ods. 1 písm. a)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§ 2 ods. 1 písm. b)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§ 2 ods. 1 písm. c)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0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žiadostí na použitie ITP – § 4. ods. 1, z toho 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155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Vydané súhlasy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141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Odmietnuté žiadosti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14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4.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opakovaných žiadostí* na predĺženie doby použitia ITP v tom istom prípade - § 4 ods. 2, z toho 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14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5.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Vydané súhlasy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13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6.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Odmietnuté žiadosti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 xml:space="preserve">7.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 xml:space="preserve">Počet prípadov použitia** ITP v zmysle § 5 ods. 1 a 2 – dodatočné súhlasy, z toho: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Vydané súhlasy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Odmietnuté žiadosti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10.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ITP, u ktorých bol dosiahnutý zákonom uznaný cieľ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150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11.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ITP, u ktorých nebol dosiahnutý zákonom uznaný cieľ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2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12.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 xml:space="preserve">Počty prípadov použitia ITP, z ktorých boli informácie použité ako dôkaz v trestnom konaní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5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13.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Počet prípadov nezákonného použitia ITP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14.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 žiadostí na použitie ITP – súčet r. 1+4+7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169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15.</w:t>
            </w: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 vydaných súhlasov – súčet r. 2+5+8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szCs w:val="24"/>
                <w:lang w:eastAsia="sk-SK"/>
              </w:rPr>
              <w:t>154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16.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  <w:t>Celkový počet odmietnutých žiadostí  – súčet r. 3+6+9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  <w:r w:rsidRPr="0057625D"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  <w:t>15</w:t>
            </w: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Cs w:val="24"/>
                <w:lang w:eastAsia="sk-SK"/>
              </w:rPr>
            </w:pP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* každá žiadosť o predĺženie ITP sa počíta ako samostatný prípad ITP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</w:tr>
      <w:tr>
        <w:tblPrEx>
          <w:tblW w:w="10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57625D" w:rsidRPr="0057625D" w:rsidP="0057625D">
            <w:pPr>
              <w:bidi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  <w:r w:rsidRPr="0057625D">
              <w:rPr>
                <w:rFonts w:ascii="Arial Narrow" w:hAnsi="Arial Narrow" w:cs="Arial"/>
                <w:color w:val="000000"/>
                <w:sz w:val="22"/>
                <w:lang w:eastAsia="sk-SK"/>
              </w:rPr>
              <w:t>** platí iba pre MV SR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57625D" w:rsidRPr="0057625D" w:rsidP="0057625D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2"/>
                <w:lang w:eastAsia="sk-SK"/>
              </w:rPr>
            </w:pPr>
          </w:p>
        </w:tc>
      </w:tr>
    </w:tbl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369" w:firstLine="0"/>
        <w:rPr>
          <w:rFonts w:ascii="Times New Roman" w:hAnsi="Times New Roman"/>
          <w:bCs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bCs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bCs/>
          <w:szCs w:val="24"/>
        </w:rPr>
      </w:pPr>
    </w:p>
    <w:p w:rsidR="0057625D" w:rsidRPr="0057625D" w:rsidP="0057625D">
      <w:pPr>
        <w:pStyle w:val="BodyText"/>
        <w:numPr>
          <w:numId w:val="0"/>
        </w:numPr>
        <w:tabs>
          <w:tab w:val="clear" w:pos="737"/>
        </w:tabs>
        <w:bidi w:val="0"/>
        <w:ind w:left="1445" w:firstLine="0"/>
        <w:rPr>
          <w:rFonts w:ascii="Times New Roman" w:hAnsi="Times New Roman"/>
          <w:bCs/>
          <w:szCs w:val="24"/>
        </w:rPr>
      </w:pPr>
    </w:p>
    <w:p w:rsidR="006256FE" w:rsidRPr="0057625D" w:rsidP="006256FE">
      <w:pPr>
        <w:bidi w:val="0"/>
        <w:rPr>
          <w:rFonts w:ascii="Times New Roman" w:hAnsi="Times New Roman"/>
          <w:color w:val="FF0000"/>
          <w:szCs w:val="24"/>
        </w:rPr>
      </w:pPr>
    </w:p>
    <w:p w:rsidR="006256FE" w:rsidRPr="006256FE" w:rsidP="006256FE">
      <w:pPr>
        <w:tabs>
          <w:tab w:val="left" w:pos="709"/>
        </w:tabs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6256FE" w:rsidRPr="002613C3" w:rsidP="006256FE">
      <w:pPr>
        <w:pStyle w:val="ListParagraph"/>
        <w:numPr>
          <w:numId w:val="8"/>
        </w:numPr>
        <w:tabs>
          <w:tab w:val="left" w:pos="709"/>
          <w:tab w:val="clear" w:pos="7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2613C3">
        <w:rPr>
          <w:rFonts w:ascii="Times New Roman" w:hAnsi="Times New Roman"/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6256FE" w:rsidRPr="002613C3" w:rsidP="006256FE">
      <w:pPr>
        <w:bidi w:val="0"/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  <w:lang w:eastAsia="sk-SK"/>
        </w:rPr>
      </w:pPr>
      <w:r w:rsidRPr="002613C3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Ministerstva spravodlivosti  SR – Zbor väzenskej a justičnej stráže  </w:t>
      </w:r>
      <w:r w:rsidRPr="002613C3" w:rsidR="002613C3">
        <w:rPr>
          <w:rFonts w:ascii="Times New Roman" w:hAnsi="Times New Roman"/>
          <w:sz w:val="28"/>
          <w:szCs w:val="28"/>
          <w:u w:val="single"/>
          <w:lang w:eastAsia="sk-SK"/>
        </w:rPr>
        <w:t>za rok 2014</w:t>
      </w:r>
    </w:p>
    <w:p w:rsidR="006256FE" w:rsidRPr="002613C3" w:rsidP="006256FE">
      <w:pPr>
        <w:bidi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sk-SK"/>
        </w:rPr>
      </w:pPr>
    </w:p>
    <w:p w:rsidR="002613C3" w:rsidP="002613C3">
      <w:pPr>
        <w:bidi w:val="0"/>
        <w:ind w:firstLine="708"/>
        <w:jc w:val="both"/>
        <w:rPr>
          <w:rFonts w:ascii="Georgia" w:hAnsi="Georgia"/>
          <w:sz w:val="22"/>
        </w:rPr>
      </w:pPr>
      <w:r w:rsidRPr="002613C3">
        <w:rPr>
          <w:rFonts w:ascii="Georgia" w:hAnsi="Georgia"/>
          <w:b/>
          <w:sz w:val="22"/>
        </w:rPr>
        <w:t xml:space="preserve">Zbor väzenskej a justičnej stráže </w:t>
      </w:r>
      <w:r w:rsidRPr="002613C3">
        <w:rPr>
          <w:rFonts w:ascii="Georgia" w:hAnsi="Georgia"/>
          <w:sz w:val="22"/>
        </w:rPr>
        <w:t xml:space="preserve">(ZVJS) nepodal za rok 2014 </w:t>
      </w:r>
      <w:r w:rsidRPr="002613C3">
        <w:rPr>
          <w:rFonts w:ascii="Georgia" w:hAnsi="Georgia"/>
          <w:b/>
          <w:sz w:val="22"/>
        </w:rPr>
        <w:t>žiadnu</w:t>
      </w:r>
      <w:r w:rsidRPr="002613C3">
        <w:rPr>
          <w:rFonts w:ascii="Georgia" w:hAnsi="Georgia"/>
          <w:sz w:val="22"/>
        </w:rPr>
        <w:t xml:space="preserve"> žiadosť o vydanie súhlasu na použitie ITP podľa § 4 ods. 1 a § 4 ods. 2 zák. č. 166/2003 Z. z. </w:t>
      </w:r>
    </w:p>
    <w:p w:rsidR="0057625D" w:rsidP="002613C3">
      <w:pPr>
        <w:bidi w:val="0"/>
        <w:ind w:firstLine="708"/>
        <w:jc w:val="both"/>
        <w:rPr>
          <w:rFonts w:ascii="Georgia" w:hAnsi="Georgia"/>
          <w:sz w:val="22"/>
        </w:rPr>
      </w:pPr>
    </w:p>
    <w:p w:rsidR="0057625D" w:rsidP="002613C3">
      <w:pPr>
        <w:bidi w:val="0"/>
        <w:ind w:firstLine="708"/>
        <w:jc w:val="both"/>
        <w:rPr>
          <w:rFonts w:ascii="Georgia" w:hAnsi="Georgia"/>
          <w:sz w:val="22"/>
        </w:rPr>
      </w:pPr>
    </w:p>
    <w:p w:rsidR="0057625D" w:rsidP="002613C3">
      <w:pPr>
        <w:bidi w:val="0"/>
        <w:ind w:firstLine="708"/>
        <w:jc w:val="both"/>
        <w:rPr>
          <w:rFonts w:ascii="Georgia" w:hAnsi="Georgia"/>
          <w:sz w:val="22"/>
        </w:rPr>
      </w:pPr>
    </w:p>
    <w:p w:rsidR="0057625D" w:rsidRPr="002613C3" w:rsidP="002613C3">
      <w:pPr>
        <w:bidi w:val="0"/>
        <w:ind w:firstLine="708"/>
        <w:jc w:val="both"/>
        <w:rPr>
          <w:rFonts w:ascii="Georgia" w:hAnsi="Georgia"/>
          <w:sz w:val="22"/>
        </w:rPr>
      </w:pPr>
    </w:p>
    <w:p w:rsidR="006256FE" w:rsidRPr="002613C3" w:rsidP="006256FE">
      <w:pPr>
        <w:pStyle w:val="ListParagraph"/>
        <w:numPr>
          <w:numId w:val="8"/>
        </w:numPr>
        <w:bidi w:val="0"/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  <w:r w:rsidRPr="002613C3">
        <w:rPr>
          <w:rFonts w:ascii="Georgia" w:hAnsi="Georgia"/>
          <w:b/>
          <w:sz w:val="28"/>
          <w:szCs w:val="28"/>
          <w:u w:val="single"/>
        </w:rPr>
        <w:t>Správa Ministerstva spravodlivosti  SR</w:t>
      </w:r>
      <w:r w:rsidRPr="002613C3">
        <w:rPr>
          <w:rFonts w:ascii="Georgia" w:hAnsi="Georgia"/>
          <w:sz w:val="22"/>
        </w:rPr>
        <w:t xml:space="preserve"> </w:t>
      </w:r>
    </w:p>
    <w:p w:rsidR="002613C3" w:rsidRPr="002613C3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color w:val="000000"/>
          <w:sz w:val="22"/>
        </w:rPr>
      </w:pPr>
      <w:r>
        <w:rPr>
          <w:rFonts w:ascii="Georgia" w:hAnsi="Georgia"/>
          <w:sz w:val="22"/>
        </w:rPr>
        <w:t xml:space="preserve">Žiadosti o vydanie súhlasu na použitie ITP predkladali príslušným súdom štátne orgány oprávnené v zmysle § 2 ods. 2  zák. č. 166/2003 Z. z., t. j. Policajný zbor Slovenskej republiky, Kriminálny úrad Finančnej správy (predtým Colná správa), </w:t>
      </w:r>
      <w:r>
        <w:rPr>
          <w:rFonts w:ascii="Georgia" w:hAnsi="Georgia"/>
          <w:color w:val="000000"/>
          <w:sz w:val="22"/>
        </w:rPr>
        <w:t>Slovenská informačná služba, Vojenské spravodajstvo a Zbor väzenskej a justičnej stráže.</w:t>
      </w:r>
    </w:p>
    <w:p w:rsidR="002613C3" w:rsidP="002613C3">
      <w:pPr>
        <w:bidi w:val="0"/>
        <w:jc w:val="both"/>
        <w:rPr>
          <w:rFonts w:ascii="Georgia" w:hAnsi="Georgia"/>
          <w:color w:val="000000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color w:val="000000"/>
          <w:sz w:val="22"/>
        </w:rPr>
        <w:t xml:space="preserve">Na všetky krajské súdy a Špecializovaný trestný súd bolo v roku 2014 podaných spolu </w:t>
      </w:r>
      <w:r>
        <w:rPr>
          <w:rFonts w:ascii="Georgia" w:hAnsi="Georgia"/>
          <w:b/>
          <w:sz w:val="22"/>
        </w:rPr>
        <w:t>1852</w:t>
      </w:r>
      <w:r>
        <w:rPr>
          <w:rFonts w:ascii="Georgia" w:hAnsi="Georgia"/>
          <w:color w:val="000000"/>
          <w:sz w:val="22"/>
        </w:rPr>
        <w:t xml:space="preserve"> žiadostí o vydanie súhlasu na použitie ITP podľa ust. </w:t>
      </w:r>
      <w:r>
        <w:rPr>
          <w:rFonts w:ascii="Georgia" w:hAnsi="Georgia"/>
          <w:b/>
          <w:color w:val="000000"/>
          <w:sz w:val="22"/>
        </w:rPr>
        <w:t xml:space="preserve">§ 4 ods. 1 </w:t>
      </w:r>
      <w:r>
        <w:rPr>
          <w:rFonts w:ascii="Georgia" w:hAnsi="Georgia"/>
          <w:color w:val="000000"/>
          <w:sz w:val="22"/>
        </w:rPr>
        <w:t xml:space="preserve">a </w:t>
      </w:r>
      <w:r>
        <w:rPr>
          <w:rFonts w:ascii="Georgia" w:hAnsi="Georgia"/>
          <w:b/>
          <w:color w:val="000000"/>
          <w:sz w:val="22"/>
        </w:rPr>
        <w:t>§ 4 ods. 2</w:t>
      </w:r>
      <w:r>
        <w:rPr>
          <w:rFonts w:ascii="Georgia" w:hAnsi="Georgia"/>
          <w:color w:val="000000"/>
          <w:sz w:val="22"/>
        </w:rPr>
        <w:t xml:space="preserve"> zák. č. 166/2003 Z. z. </w:t>
      </w:r>
      <w:r>
        <w:rPr>
          <w:rFonts w:ascii="Georgia" w:hAnsi="Georgia"/>
          <w:sz w:val="22"/>
        </w:rPr>
        <w:t xml:space="preserve">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Súdy vyhoveli </w:t>
      </w:r>
      <w:r>
        <w:rPr>
          <w:rFonts w:ascii="Georgia" w:hAnsi="Georgia"/>
          <w:b/>
          <w:sz w:val="22"/>
        </w:rPr>
        <w:t>1728</w:t>
      </w:r>
      <w:r>
        <w:rPr>
          <w:rFonts w:ascii="Georgia" w:hAnsi="Georgia"/>
          <w:sz w:val="22"/>
        </w:rPr>
        <w:t xml:space="preserve"> žiadostiam a vydali súhlas na použitie ITP (§ 4 ods. 1) a súhlas na predĺženie lehoty na použitie ITP (§ 4 ods. 2). Súdy </w:t>
      </w:r>
      <w:r>
        <w:rPr>
          <w:rFonts w:ascii="Georgia" w:hAnsi="Georgia"/>
          <w:b/>
          <w:sz w:val="22"/>
        </w:rPr>
        <w:t>124</w:t>
      </w:r>
      <w:r>
        <w:rPr>
          <w:rFonts w:ascii="Georgia" w:hAnsi="Georgia"/>
          <w:color w:val="FF0000"/>
          <w:sz w:val="22"/>
        </w:rPr>
        <w:t xml:space="preserve"> </w:t>
      </w:r>
      <w:r>
        <w:rPr>
          <w:rFonts w:ascii="Georgia" w:hAnsi="Georgia"/>
          <w:sz w:val="22"/>
        </w:rPr>
        <w:t xml:space="preserve">žiadostí zamietli.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bolo podaných celkovo </w:t>
      </w:r>
      <w:r>
        <w:rPr>
          <w:rFonts w:ascii="Georgia" w:hAnsi="Georgia"/>
          <w:b/>
          <w:sz w:val="22"/>
        </w:rPr>
        <w:t>1663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 xml:space="preserve">1554 </w:t>
      </w:r>
      <w:r>
        <w:rPr>
          <w:rFonts w:ascii="Georgia" w:hAnsi="Georgia"/>
          <w:sz w:val="22"/>
        </w:rPr>
        <w:t xml:space="preserve">žiadostiam a súhlas na použitie ITP vydali. Súdy </w:t>
      </w:r>
      <w:r>
        <w:rPr>
          <w:rFonts w:ascii="Georgia" w:hAnsi="Georgia"/>
          <w:b/>
          <w:sz w:val="22"/>
        </w:rPr>
        <w:t>109</w:t>
      </w:r>
      <w:r>
        <w:rPr>
          <w:rFonts w:ascii="Georgia" w:hAnsi="Georgia"/>
          <w:sz w:val="22"/>
        </w:rPr>
        <w:t xml:space="preserve"> žiadostí na vydanie súhlasu na použitie ITP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bolo podaných </w:t>
      </w:r>
      <w:r>
        <w:rPr>
          <w:rFonts w:ascii="Georgia" w:hAnsi="Georgia"/>
          <w:b/>
          <w:sz w:val="22"/>
        </w:rPr>
        <w:t>189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174</w:t>
      </w:r>
      <w:r>
        <w:rPr>
          <w:rFonts w:ascii="Georgia" w:hAnsi="Georgia"/>
          <w:sz w:val="22"/>
        </w:rPr>
        <w:t xml:space="preserve"> žiadostiam a súhlas na predĺženie lehoty na použitie ITP vydali.  Súdy </w:t>
      </w:r>
      <w:r>
        <w:rPr>
          <w:rFonts w:ascii="Georgia" w:hAnsi="Georgia"/>
          <w:b/>
          <w:sz w:val="22"/>
        </w:rPr>
        <w:t xml:space="preserve">15 </w:t>
      </w:r>
      <w:r>
        <w:rPr>
          <w:rFonts w:ascii="Georgia" w:hAnsi="Georgia"/>
          <w:sz w:val="22"/>
        </w:rPr>
        <w:t>žiadostí na vydanie súhlasu na predĺženie lehoty na použitie ITP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V roku 2014 súdy nezaznamenali </w:t>
      </w:r>
      <w:r>
        <w:rPr>
          <w:rFonts w:ascii="Georgia" w:hAnsi="Georgia"/>
          <w:b/>
          <w:sz w:val="22"/>
        </w:rPr>
        <w:t>žiaden</w:t>
      </w:r>
      <w:r>
        <w:rPr>
          <w:rFonts w:ascii="Georgia" w:hAnsi="Georgia"/>
          <w:sz w:val="22"/>
        </w:rPr>
        <w:t xml:space="preserve"> prípad v zmysle ust. </w:t>
      </w:r>
      <w:r>
        <w:rPr>
          <w:rFonts w:ascii="Georgia" w:hAnsi="Georgia"/>
          <w:b/>
          <w:sz w:val="22"/>
        </w:rPr>
        <w:t>§ 5 ods. 1</w:t>
      </w:r>
      <w:r>
        <w:rPr>
          <w:rFonts w:ascii="Georgia" w:hAnsi="Georgia"/>
          <w:sz w:val="22"/>
        </w:rPr>
        <w:t xml:space="preserve"> a </w:t>
      </w:r>
      <w:r>
        <w:rPr>
          <w:rFonts w:ascii="Georgia" w:hAnsi="Georgia"/>
          <w:b/>
          <w:sz w:val="22"/>
        </w:rPr>
        <w:t>§ 5 ods. 2</w:t>
      </w:r>
      <w:r>
        <w:rPr>
          <w:rFonts w:ascii="Georgia" w:hAnsi="Georgia"/>
          <w:sz w:val="22"/>
        </w:rPr>
        <w:t xml:space="preserve"> zák. č. 166/2003 Z. z.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Policajný zbor Slovenskej republiky </w:t>
      </w:r>
      <w:r>
        <w:rPr>
          <w:rFonts w:ascii="Georgia" w:hAnsi="Georgia"/>
          <w:sz w:val="22"/>
        </w:rPr>
        <w:t xml:space="preserve">(PZ SR) podal celkovo </w:t>
      </w:r>
      <w:r>
        <w:rPr>
          <w:rFonts w:ascii="Georgia" w:hAnsi="Georgia"/>
          <w:b/>
          <w:sz w:val="22"/>
        </w:rPr>
        <w:t>1384</w:t>
      </w:r>
      <w:r>
        <w:rPr>
          <w:rFonts w:ascii="Georgia" w:hAnsi="Georgia"/>
          <w:sz w:val="22"/>
        </w:rPr>
        <w:t xml:space="preserve"> žiadostí o vydanie súhlasu na použitie ITP podľa § 4 ods. 1 a § 4 ods. 2 zák. č. 166/2003 Z. z. Súdy vyhoveli </w:t>
      </w:r>
      <w:r>
        <w:rPr>
          <w:rFonts w:ascii="Georgia" w:hAnsi="Georgia"/>
          <w:b/>
          <w:sz w:val="22"/>
        </w:rPr>
        <w:t>1290</w:t>
      </w:r>
      <w:r>
        <w:rPr>
          <w:rFonts w:ascii="Georgia" w:hAnsi="Georgia"/>
          <w:sz w:val="22"/>
        </w:rPr>
        <w:t xml:space="preserve"> žiadostiam a súhlas vydali. Súdy </w:t>
      </w:r>
      <w:r>
        <w:rPr>
          <w:rFonts w:ascii="Georgia" w:hAnsi="Georgia"/>
          <w:b/>
          <w:sz w:val="22"/>
        </w:rPr>
        <w:t xml:space="preserve">94 </w:t>
      </w:r>
      <w:r>
        <w:rPr>
          <w:rFonts w:ascii="Georgia" w:hAnsi="Georgia"/>
          <w:sz w:val="22"/>
        </w:rPr>
        <w:t>žiadostí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podal PZ SR </w:t>
      </w:r>
      <w:r>
        <w:rPr>
          <w:rFonts w:ascii="Georgia" w:hAnsi="Georgia"/>
          <w:b/>
          <w:sz w:val="22"/>
        </w:rPr>
        <w:t>1226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1146</w:t>
      </w:r>
      <w:r>
        <w:rPr>
          <w:rFonts w:ascii="Georgia" w:hAnsi="Georgia"/>
          <w:sz w:val="22"/>
        </w:rPr>
        <w:t xml:space="preserve"> žiadostiam a súhlas na použitie ITP vydali.  Súdy </w:t>
      </w:r>
      <w:r>
        <w:rPr>
          <w:rFonts w:ascii="Georgia" w:hAnsi="Georgia"/>
          <w:b/>
          <w:sz w:val="22"/>
        </w:rPr>
        <w:t>80</w:t>
      </w:r>
      <w:r>
        <w:rPr>
          <w:rFonts w:ascii="Georgia" w:hAnsi="Georgia"/>
          <w:sz w:val="22"/>
        </w:rPr>
        <w:t xml:space="preserve"> žiadostí na vydanie súhlasu na použitie ITP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PZ SR</w:t>
      </w:r>
      <w:r>
        <w:rPr>
          <w:rFonts w:ascii="Georgia" w:hAnsi="Georgia"/>
          <w:b/>
          <w:sz w:val="22"/>
        </w:rPr>
        <w:t xml:space="preserve"> </w:t>
      </w:r>
      <w:r>
        <w:rPr>
          <w:rFonts w:ascii="Georgia" w:hAnsi="Georgia"/>
          <w:sz w:val="22"/>
        </w:rPr>
        <w:t xml:space="preserve">podal </w:t>
      </w:r>
      <w:r>
        <w:rPr>
          <w:rFonts w:ascii="Georgia" w:hAnsi="Georgia"/>
          <w:b/>
          <w:sz w:val="22"/>
        </w:rPr>
        <w:t>158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144</w:t>
      </w:r>
      <w:r>
        <w:rPr>
          <w:rFonts w:ascii="Georgia" w:hAnsi="Georgia"/>
          <w:sz w:val="22"/>
        </w:rPr>
        <w:t xml:space="preserve"> žiadostiam a súhlas na predĺženie lehoty na použitie ITP vydali. Súdy </w:t>
      </w:r>
      <w:r>
        <w:rPr>
          <w:rFonts w:ascii="Georgia" w:hAnsi="Georgia"/>
          <w:b/>
          <w:sz w:val="22"/>
        </w:rPr>
        <w:t>14</w:t>
      </w:r>
      <w:r>
        <w:rPr>
          <w:rFonts w:ascii="Georgia" w:hAnsi="Georgia"/>
          <w:sz w:val="22"/>
        </w:rPr>
        <w:t xml:space="preserve"> žiadostí na vydanie súhlasu na predĺženie lehoty na použitie ITP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Kriminálny úrad finančnej správy SR </w:t>
      </w:r>
      <w:r>
        <w:rPr>
          <w:rFonts w:ascii="Georgia" w:hAnsi="Georgia"/>
          <w:sz w:val="22"/>
        </w:rPr>
        <w:t xml:space="preserve">(KÚ FS) podal celkovo </w:t>
      </w:r>
      <w:r>
        <w:rPr>
          <w:rFonts w:ascii="Georgia" w:hAnsi="Georgia"/>
          <w:b/>
          <w:sz w:val="22"/>
        </w:rPr>
        <w:t>169</w:t>
      </w:r>
      <w:r>
        <w:rPr>
          <w:rFonts w:ascii="Georgia" w:hAnsi="Georgia"/>
          <w:sz w:val="22"/>
        </w:rPr>
        <w:t xml:space="preserve"> žiadostí o vydanie súhlasu na použitie ITP podľa § 4 ods. 1 a § 4 ods. 2 zák. č. 166/2003 Z. z. Súdy vyhoveli </w:t>
      </w:r>
      <w:r>
        <w:rPr>
          <w:rFonts w:ascii="Georgia" w:hAnsi="Georgia"/>
          <w:b/>
          <w:sz w:val="22"/>
        </w:rPr>
        <w:t>154</w:t>
      </w:r>
      <w:r>
        <w:rPr>
          <w:rFonts w:ascii="Georgia" w:hAnsi="Georgia"/>
          <w:sz w:val="22"/>
        </w:rPr>
        <w:t xml:space="preserve"> žiadostiam a súhlas na použitie ITP vydali. Súdy </w:t>
      </w:r>
      <w:r>
        <w:rPr>
          <w:rFonts w:ascii="Georgia" w:hAnsi="Georgia"/>
          <w:b/>
          <w:sz w:val="22"/>
        </w:rPr>
        <w:t>15</w:t>
      </w:r>
      <w:r>
        <w:rPr>
          <w:rFonts w:ascii="Georgia" w:hAnsi="Georgia"/>
          <w:sz w:val="22"/>
        </w:rPr>
        <w:t xml:space="preserve"> žiadostí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podal KÚ FS </w:t>
      </w:r>
      <w:r>
        <w:rPr>
          <w:rFonts w:ascii="Georgia" w:hAnsi="Georgia"/>
          <w:b/>
          <w:sz w:val="22"/>
        </w:rPr>
        <w:t>155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141</w:t>
      </w:r>
      <w:r>
        <w:rPr>
          <w:rFonts w:ascii="Georgia" w:hAnsi="Georgia"/>
          <w:sz w:val="22"/>
        </w:rPr>
        <w:t xml:space="preserve"> žiadostiam a súhlas na použitie ITP vydali. Súdy </w:t>
      </w:r>
      <w:r>
        <w:rPr>
          <w:rFonts w:ascii="Georgia" w:hAnsi="Georgia"/>
          <w:b/>
          <w:sz w:val="22"/>
        </w:rPr>
        <w:t>14</w:t>
      </w:r>
      <w:r>
        <w:rPr>
          <w:rFonts w:ascii="Georgia" w:hAnsi="Georgia"/>
          <w:sz w:val="22"/>
        </w:rPr>
        <w:t xml:space="preserve"> žiadostí na vydanie súhlasu na použitie ITP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KÚ FS</w:t>
      </w:r>
      <w:r>
        <w:rPr>
          <w:rFonts w:ascii="Georgia" w:hAnsi="Georgia"/>
          <w:b/>
          <w:sz w:val="22"/>
        </w:rPr>
        <w:t xml:space="preserve"> </w:t>
      </w:r>
      <w:r>
        <w:rPr>
          <w:rFonts w:ascii="Georgia" w:hAnsi="Georgia"/>
          <w:sz w:val="22"/>
        </w:rPr>
        <w:t xml:space="preserve">podal </w:t>
      </w:r>
      <w:r>
        <w:rPr>
          <w:rFonts w:ascii="Georgia" w:hAnsi="Georgia"/>
          <w:b/>
          <w:sz w:val="22"/>
        </w:rPr>
        <w:t>14</w:t>
      </w:r>
      <w:r>
        <w:rPr>
          <w:rFonts w:ascii="Georgia" w:hAnsi="Georgia"/>
          <w:sz w:val="22"/>
        </w:rPr>
        <w:t xml:space="preserve"> žiadostí. Súdy vyhoveli </w:t>
      </w:r>
      <w:r>
        <w:rPr>
          <w:rFonts w:ascii="Georgia" w:hAnsi="Georgia"/>
          <w:b/>
          <w:sz w:val="22"/>
        </w:rPr>
        <w:t>13</w:t>
      </w:r>
      <w:r>
        <w:rPr>
          <w:rFonts w:ascii="Georgia" w:hAnsi="Georgia"/>
          <w:sz w:val="22"/>
        </w:rPr>
        <w:t xml:space="preserve"> žiadostiam a súhlas na predĺženie lehoty na použitie ITP vydali. Súdy </w:t>
      </w:r>
      <w:r>
        <w:rPr>
          <w:rFonts w:ascii="Georgia" w:hAnsi="Georgia"/>
          <w:b/>
          <w:sz w:val="22"/>
        </w:rPr>
        <w:t>1</w:t>
      </w:r>
      <w:r>
        <w:rPr>
          <w:rFonts w:ascii="Georgia" w:hAnsi="Georgia"/>
          <w:sz w:val="22"/>
        </w:rPr>
        <w:t xml:space="preserve"> žiadosť na vydanie súhlasu na predĺženie lehoty na použitie ITP zamietli.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Slovenská informačná služba </w:t>
      </w:r>
      <w:r>
        <w:rPr>
          <w:rFonts w:ascii="Georgia" w:hAnsi="Georgia"/>
          <w:sz w:val="22"/>
        </w:rPr>
        <w:t xml:space="preserve">(SIS) podala celkovo </w:t>
      </w:r>
      <w:r>
        <w:rPr>
          <w:rFonts w:ascii="Georgia" w:hAnsi="Georgia"/>
          <w:b/>
          <w:sz w:val="22"/>
        </w:rPr>
        <w:t>256</w:t>
      </w:r>
      <w:r>
        <w:rPr>
          <w:rFonts w:ascii="Georgia" w:hAnsi="Georgia"/>
          <w:sz w:val="22"/>
        </w:rPr>
        <w:t xml:space="preserve"> žiadostí o vydanie súhlasu na použitie ITP podľa § 4 ods. 1 a § 4 ods. 2 zák. č. 166/2003 Z. z. Príslušný súd vyhovel </w:t>
      </w:r>
      <w:r>
        <w:rPr>
          <w:rFonts w:ascii="Georgia" w:hAnsi="Georgia"/>
          <w:b/>
          <w:sz w:val="22"/>
        </w:rPr>
        <w:t>243</w:t>
      </w:r>
      <w:r>
        <w:rPr>
          <w:rFonts w:ascii="Georgia" w:hAnsi="Georgia"/>
          <w:sz w:val="22"/>
        </w:rPr>
        <w:t xml:space="preserve"> žiadostiam a súhlas vydal. Súd </w:t>
      </w:r>
      <w:r>
        <w:rPr>
          <w:rFonts w:ascii="Georgia" w:hAnsi="Georgia"/>
          <w:b/>
          <w:sz w:val="22"/>
        </w:rPr>
        <w:t xml:space="preserve">13 </w:t>
      </w:r>
      <w:r>
        <w:rPr>
          <w:rFonts w:ascii="Georgia" w:hAnsi="Georgia"/>
          <w:sz w:val="22"/>
        </w:rPr>
        <w:t>žiadostí zamietol.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podala SIS </w:t>
      </w:r>
      <w:r>
        <w:rPr>
          <w:rFonts w:ascii="Georgia" w:hAnsi="Georgia"/>
          <w:b/>
          <w:sz w:val="22"/>
        </w:rPr>
        <w:t>256</w:t>
      </w:r>
      <w:r>
        <w:rPr>
          <w:rFonts w:ascii="Georgia" w:hAnsi="Georgia"/>
          <w:sz w:val="22"/>
        </w:rPr>
        <w:t xml:space="preserve"> žiadostí. Súd vyhovel </w:t>
      </w:r>
      <w:r>
        <w:rPr>
          <w:rFonts w:ascii="Georgia" w:hAnsi="Georgia"/>
          <w:b/>
          <w:sz w:val="22"/>
        </w:rPr>
        <w:t>243</w:t>
      </w:r>
      <w:r>
        <w:rPr>
          <w:rFonts w:ascii="Georgia" w:hAnsi="Georgia"/>
          <w:sz w:val="22"/>
        </w:rPr>
        <w:t xml:space="preserve"> žiadostiam a súhlas na použitie ITP vydal.  Súd </w:t>
      </w:r>
      <w:r>
        <w:rPr>
          <w:rFonts w:ascii="Georgia" w:hAnsi="Georgia"/>
          <w:b/>
          <w:sz w:val="22"/>
        </w:rPr>
        <w:t xml:space="preserve">13 </w:t>
      </w:r>
      <w:r>
        <w:rPr>
          <w:rFonts w:ascii="Georgia" w:hAnsi="Georgia"/>
          <w:sz w:val="22"/>
        </w:rPr>
        <w:t>žiadostí na vydanie súhlasu na použitie ITP zamietol.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SIS</w:t>
      </w:r>
      <w:r>
        <w:rPr>
          <w:rFonts w:ascii="Georgia" w:hAnsi="Georgia"/>
          <w:b/>
          <w:sz w:val="22"/>
        </w:rPr>
        <w:t xml:space="preserve"> </w:t>
      </w:r>
      <w:r>
        <w:rPr>
          <w:rFonts w:ascii="Georgia" w:hAnsi="Georgia"/>
          <w:sz w:val="22"/>
        </w:rPr>
        <w:t xml:space="preserve">nepodala žiadnu žiadosť.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Vojenské spravodajstvo </w:t>
      </w:r>
      <w:r>
        <w:rPr>
          <w:rFonts w:ascii="Georgia" w:hAnsi="Georgia"/>
          <w:sz w:val="22"/>
        </w:rPr>
        <w:t xml:space="preserve">(VS) podalo celkovo </w:t>
      </w:r>
      <w:r>
        <w:rPr>
          <w:rFonts w:ascii="Georgia" w:hAnsi="Georgia"/>
          <w:b/>
          <w:sz w:val="22"/>
        </w:rPr>
        <w:t>43</w:t>
      </w:r>
      <w:r>
        <w:rPr>
          <w:rFonts w:ascii="Georgia" w:hAnsi="Georgia"/>
          <w:sz w:val="22"/>
        </w:rPr>
        <w:t xml:space="preserve"> žiadostí o vydanie súhlasu na použitie ITP podľa § 4 ods. 1 a § 4 ods. 2 zák. č. 166/2003 Z. z. Príslušný súd vyhovel </w:t>
      </w:r>
      <w:r>
        <w:rPr>
          <w:rFonts w:ascii="Georgia" w:hAnsi="Georgia"/>
          <w:b/>
          <w:sz w:val="22"/>
        </w:rPr>
        <w:t>41</w:t>
      </w:r>
      <w:r>
        <w:rPr>
          <w:rFonts w:ascii="Georgia" w:hAnsi="Georgia"/>
          <w:sz w:val="22"/>
        </w:rPr>
        <w:t xml:space="preserve"> žiadostiam a súhlas vydal. Súd </w:t>
      </w:r>
      <w:r>
        <w:rPr>
          <w:rFonts w:ascii="Georgia" w:hAnsi="Georgia"/>
          <w:b/>
          <w:sz w:val="22"/>
        </w:rPr>
        <w:t>2</w:t>
      </w:r>
      <w:r>
        <w:rPr>
          <w:rFonts w:ascii="Georgia" w:hAnsi="Georgia"/>
          <w:sz w:val="22"/>
        </w:rPr>
        <w:t xml:space="preserve"> žiadostí zamietol.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1</w:t>
      </w:r>
      <w:r>
        <w:rPr>
          <w:rFonts w:ascii="Georgia" w:hAnsi="Georgia"/>
          <w:sz w:val="22"/>
        </w:rPr>
        <w:t xml:space="preserve"> zák. č. 166/2003 Z. z. podalo VS </w:t>
      </w:r>
      <w:r>
        <w:rPr>
          <w:rFonts w:ascii="Georgia" w:hAnsi="Georgia"/>
          <w:b/>
          <w:sz w:val="22"/>
        </w:rPr>
        <w:t>26</w:t>
      </w:r>
      <w:r>
        <w:rPr>
          <w:rFonts w:ascii="Georgia" w:hAnsi="Georgia"/>
          <w:sz w:val="22"/>
        </w:rPr>
        <w:t xml:space="preserve"> žiadostí. Súd vyhovel </w:t>
      </w:r>
      <w:r>
        <w:rPr>
          <w:rFonts w:ascii="Georgia" w:hAnsi="Georgia"/>
          <w:b/>
          <w:sz w:val="22"/>
        </w:rPr>
        <w:t>24</w:t>
      </w:r>
      <w:r>
        <w:rPr>
          <w:rFonts w:ascii="Georgia" w:hAnsi="Georgia"/>
          <w:sz w:val="22"/>
        </w:rPr>
        <w:t xml:space="preserve"> žiadostiam a súhlas na použitie ITP vydal. Súd </w:t>
      </w:r>
      <w:r>
        <w:rPr>
          <w:rFonts w:ascii="Georgia" w:hAnsi="Georgia"/>
          <w:b/>
          <w:sz w:val="22"/>
        </w:rPr>
        <w:t xml:space="preserve">2 </w:t>
      </w:r>
      <w:r>
        <w:rPr>
          <w:rFonts w:ascii="Georgia" w:hAnsi="Georgia"/>
          <w:sz w:val="22"/>
        </w:rPr>
        <w:t>žiadostí na vydanie súhlasu na použitie ITP zamietol.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Podľa ust. </w:t>
      </w:r>
      <w:r>
        <w:rPr>
          <w:rFonts w:ascii="Georgia" w:hAnsi="Georgia"/>
          <w:b/>
          <w:sz w:val="22"/>
        </w:rPr>
        <w:t>§ 4 ods. 2</w:t>
      </w:r>
      <w:r>
        <w:rPr>
          <w:rFonts w:ascii="Georgia" w:hAnsi="Georgia"/>
          <w:sz w:val="22"/>
        </w:rPr>
        <w:t xml:space="preserve"> zák. č. 166/2003 Z. z. VS</w:t>
      </w:r>
      <w:r>
        <w:rPr>
          <w:rFonts w:ascii="Georgia" w:hAnsi="Georgia"/>
          <w:b/>
          <w:sz w:val="22"/>
        </w:rPr>
        <w:t xml:space="preserve"> </w:t>
      </w:r>
      <w:r>
        <w:rPr>
          <w:rFonts w:ascii="Georgia" w:hAnsi="Georgia"/>
          <w:sz w:val="22"/>
        </w:rPr>
        <w:t xml:space="preserve">podalo </w:t>
      </w:r>
      <w:r>
        <w:rPr>
          <w:rFonts w:ascii="Georgia" w:hAnsi="Georgia"/>
          <w:b/>
          <w:sz w:val="22"/>
        </w:rPr>
        <w:t xml:space="preserve">17 </w:t>
      </w:r>
      <w:r>
        <w:rPr>
          <w:rFonts w:ascii="Georgia" w:hAnsi="Georgia"/>
          <w:sz w:val="22"/>
        </w:rPr>
        <w:t xml:space="preserve">žiadosti. Súd vyhovel všetkým </w:t>
      </w:r>
      <w:r>
        <w:rPr>
          <w:rFonts w:ascii="Georgia" w:hAnsi="Georgia"/>
          <w:b/>
          <w:sz w:val="22"/>
        </w:rPr>
        <w:t xml:space="preserve">17 </w:t>
      </w:r>
      <w:r>
        <w:rPr>
          <w:rFonts w:ascii="Georgia" w:hAnsi="Georgia"/>
          <w:sz w:val="22"/>
        </w:rPr>
        <w:t xml:space="preserve">žiadostiam a súhlas na predĺženie lehoty na použitie ITP vydal.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K dosiahnutiu zákonom uznaného účelu a cieľa, s výnimkou Krajského súdu v Prešove, súdy informácie poskytnúť nevedeli. 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Krajský súd v Prešove uviedol, že cieľ použitia ITP bol splnený v </w:t>
      </w:r>
      <w:r>
        <w:rPr>
          <w:rFonts w:ascii="Georgia" w:hAnsi="Georgia"/>
          <w:b/>
          <w:sz w:val="22"/>
        </w:rPr>
        <w:t>52</w:t>
      </w:r>
      <w:r>
        <w:rPr>
          <w:rFonts w:ascii="Georgia" w:hAnsi="Georgia"/>
          <w:sz w:val="22"/>
        </w:rPr>
        <w:t xml:space="preserve"> veciach a nebol splnený v </w:t>
      </w:r>
      <w:r>
        <w:rPr>
          <w:rFonts w:ascii="Georgia" w:hAnsi="Georgia"/>
          <w:b/>
          <w:sz w:val="22"/>
        </w:rPr>
        <w:t>22</w:t>
      </w:r>
      <w:r>
        <w:rPr>
          <w:rFonts w:ascii="Georgia" w:hAnsi="Georgia"/>
          <w:sz w:val="22"/>
        </w:rPr>
        <w:t xml:space="preserve"> veciach. Z celkového počtu vecí, v ktorých bol súhlas na použitie ITP v roku 2014 vydaný, </w:t>
      </w:r>
      <w:r>
        <w:rPr>
          <w:rFonts w:ascii="Georgia" w:hAnsi="Georgia"/>
          <w:b/>
          <w:sz w:val="22"/>
        </w:rPr>
        <w:t>21</w:t>
      </w:r>
      <w:r>
        <w:rPr>
          <w:rFonts w:ascii="Georgia" w:hAnsi="Georgia"/>
          <w:sz w:val="22"/>
        </w:rPr>
        <w:t xml:space="preserve"> veci nie je skončených, a preto nie je možné sa k nim vyjadriť.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Nakoľko podľa § 6 ods. 2 zák. č. 166/2003 Z. z. je orgán štátu povinný informovať zákonného sudcu len o skončení použitia ITP,  príslušné súdy vo svojich podkladoch zhodne uviedli, že nemajú vedomosť o dosiahnutí zákonom uznaného účelu a cieľa.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Súčasne všetky súdy nemajú ani poznatky o tom, či informácie získané použitím ITP boli použité ako dôkaz v trestnom konaní.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Spätná väzba od orgánov štátu oprávnených podávať žiadosti v zmysle § 2 ods. 2 zák. č. 166/2003 Z. z. v tomto smere neexistuje, súdy preto takúto evidenciu nevedú. Takáto evidencia by naviac nebola ani spoľahlivá, nakoľko dochádza aj k prípadom, kedy prokurátor podá obžalobu na súd mimo obvodu krajského súdu, ktorý vydal súhlas na použitie ITP.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2613C3" w:rsidP="002613C3">
      <w:pPr>
        <w:bidi w:val="0"/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Súdy príslušné na rozhodovanie o žiadostiach na použitie ITP </w:t>
      </w:r>
      <w:r>
        <w:rPr>
          <w:rFonts w:ascii="Georgia" w:hAnsi="Georgia"/>
          <w:b/>
          <w:sz w:val="22"/>
        </w:rPr>
        <w:t>nezistili</w:t>
      </w:r>
      <w:r>
        <w:rPr>
          <w:rFonts w:ascii="Georgia" w:hAnsi="Georgia"/>
          <w:sz w:val="22"/>
        </w:rPr>
        <w:t xml:space="preserve"> v roku 2014 nezákonné použitie ITP. </w:t>
      </w:r>
    </w:p>
    <w:p w:rsidR="002613C3" w:rsidP="002613C3">
      <w:pPr>
        <w:bidi w:val="0"/>
        <w:jc w:val="both"/>
        <w:rPr>
          <w:rFonts w:ascii="Georgia" w:hAnsi="Georgia"/>
          <w:sz w:val="22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2"/>
          <w:szCs w:val="24"/>
          <w:lang w:eastAsia="cs-CZ"/>
        </w:rPr>
      </w:pPr>
    </w:p>
    <w:p w:rsidR="006256FE" w:rsidRPr="006256FE" w:rsidP="006256FE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6256FE" w:rsidRPr="006256FE" w:rsidP="006256FE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6256FE" w:rsidRPr="006256FE" w:rsidP="006256FE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szCs w:val="20"/>
          <w:lang w:eastAsia="sk-SK"/>
        </w:rPr>
      </w:pPr>
    </w:p>
    <w:p w:rsidR="006256FE" w:rsidRPr="006256FE" w:rsidP="006256FE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szCs w:val="20"/>
          <w:lang w:eastAsia="sk-SK"/>
        </w:rPr>
      </w:pPr>
      <w:r w:rsidRPr="006256FE">
        <w:rPr>
          <w:rFonts w:ascii="Arial" w:hAnsi="Arial"/>
          <w:b/>
          <w:szCs w:val="20"/>
          <w:lang w:eastAsia="sk-SK"/>
        </w:rPr>
        <w:t>Návrh</w:t>
      </w: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keepNext/>
        <w:tabs>
          <w:tab w:val="left" w:pos="708"/>
        </w:tabs>
        <w:bidi w:val="0"/>
        <w:spacing w:before="80" w:after="40" w:line="240" w:lineRule="auto"/>
        <w:ind w:left="3569"/>
        <w:outlineLvl w:val="2"/>
        <w:rPr>
          <w:rFonts w:ascii="Arial" w:hAnsi="Arial"/>
          <w:b/>
          <w:i/>
          <w:szCs w:val="20"/>
          <w:lang w:eastAsia="sk-SK"/>
        </w:rPr>
      </w:pPr>
      <w:r w:rsidRPr="006256FE">
        <w:rPr>
          <w:rFonts w:ascii="Arial" w:hAnsi="Arial"/>
          <w:b/>
          <w:i/>
          <w:szCs w:val="20"/>
          <w:lang w:eastAsia="sk-SK"/>
        </w:rPr>
        <w:t xml:space="preserve">    UZNESENIE</w:t>
      </w: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6256FE"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6256FE" w:rsidRPr="006256FE" w:rsidP="006256F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 ..........2015</w:t>
      </w: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szCs w:val="20"/>
          <w:lang w:eastAsia="sk-SK"/>
        </w:rPr>
      </w:pP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bCs/>
          <w:szCs w:val="20"/>
          <w:lang w:eastAsia="sk-SK"/>
        </w:rPr>
      </w:pPr>
      <w:r w:rsidRPr="006256FE">
        <w:rPr>
          <w:rFonts w:ascii="Times New Roman" w:hAnsi="Times New Roman"/>
          <w:szCs w:val="20"/>
          <w:lang w:eastAsia="sk-SK"/>
        </w:rPr>
        <w:t>k s</w:t>
      </w:r>
      <w:r w:rsidRPr="006256FE">
        <w:rPr>
          <w:rFonts w:ascii="Times New Roman" w:hAnsi="Times New Roman"/>
          <w:bCs/>
          <w:szCs w:val="20"/>
          <w:lang w:eastAsia="sk-SK"/>
        </w:rPr>
        <w:t>práve Výboru Národnej rady Slovenskej republiky pre obranu a bezpečnosť o stave použitia informačno-tech</w:t>
      </w:r>
      <w:r>
        <w:rPr>
          <w:rFonts w:ascii="Times New Roman" w:hAnsi="Times New Roman"/>
          <w:bCs/>
          <w:szCs w:val="20"/>
          <w:lang w:eastAsia="sk-SK"/>
        </w:rPr>
        <w:t>nických prostriedkov za rok 2014</w:t>
      </w:r>
      <w:r w:rsidRPr="006256FE">
        <w:rPr>
          <w:rFonts w:ascii="Times New Roman" w:hAnsi="Times New Roman"/>
          <w:bCs/>
          <w:szCs w:val="20"/>
          <w:lang w:eastAsia="sk-SK"/>
        </w:rPr>
        <w:t xml:space="preserve"> </w:t>
      </w:r>
      <w:r w:rsidRPr="006256FE">
        <w:rPr>
          <w:rFonts w:ascii="Times New Roman" w:hAnsi="Times New Roman"/>
          <w:b/>
          <w:bCs/>
          <w:szCs w:val="20"/>
          <w:lang w:eastAsia="sk-SK"/>
        </w:rPr>
        <w:t xml:space="preserve">(tlač </w:t>
      </w:r>
      <w:r w:rsidR="002F4D62">
        <w:rPr>
          <w:rFonts w:ascii="Times New Roman" w:hAnsi="Times New Roman"/>
          <w:b/>
          <w:bCs/>
          <w:szCs w:val="20"/>
          <w:lang w:eastAsia="sk-SK"/>
        </w:rPr>
        <w:t xml:space="preserve"> 1393</w:t>
      </w:r>
      <w:r w:rsidRPr="006256FE">
        <w:rPr>
          <w:rFonts w:ascii="Times New Roman" w:hAnsi="Times New Roman"/>
          <w:b/>
          <w:bCs/>
          <w:szCs w:val="20"/>
          <w:lang w:eastAsia="sk-SK"/>
        </w:rPr>
        <w:t>)</w:t>
      </w: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6256FE" w:rsidRPr="006256FE" w:rsidP="006256FE">
      <w:pPr>
        <w:widowControl w:val="0"/>
        <w:shd w:val="clear" w:color="auto" w:fill="FFFFFF"/>
        <w:bidi w:val="0"/>
        <w:snapToGrid w:val="0"/>
        <w:spacing w:after="0" w:line="240" w:lineRule="auto"/>
        <w:ind w:left="369"/>
        <w:rPr>
          <w:rFonts w:ascii="Times New Roman" w:hAnsi="Times New Roman"/>
          <w:b/>
          <w:szCs w:val="20"/>
          <w:lang w:eastAsia="sk-SK"/>
        </w:rPr>
      </w:pPr>
      <w:r w:rsidRPr="006256FE">
        <w:rPr>
          <w:rFonts w:ascii="Times New Roman" w:hAnsi="Times New Roman"/>
          <w:b/>
          <w:szCs w:val="20"/>
          <w:lang w:eastAsia="sk-SK"/>
        </w:rPr>
        <w:t xml:space="preserve"> </w:t>
      </w: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  <w:r w:rsidRPr="006256FE">
        <w:rPr>
          <w:rFonts w:ascii="Times New Roman" w:hAnsi="Times New Roman"/>
          <w:szCs w:val="24"/>
          <w:lang w:eastAsia="sk-SK"/>
        </w:rPr>
        <w:t xml:space="preserve"> </w:t>
        <w:tab/>
      </w:r>
      <w:r w:rsidRPr="006256FE">
        <w:rPr>
          <w:rFonts w:ascii="Times New Roman" w:hAnsi="Times New Roman"/>
          <w:b/>
          <w:sz w:val="28"/>
          <w:szCs w:val="24"/>
          <w:lang w:eastAsia="sk-SK"/>
        </w:rPr>
        <w:t>Národná rada Slovenskej republiky</w:t>
      </w: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eastAsia="sk-SK"/>
        </w:rPr>
      </w:pPr>
      <w:r w:rsidRPr="006256FE">
        <w:rPr>
          <w:rFonts w:ascii="Times New Roman" w:hAnsi="Times New Roman"/>
          <w:szCs w:val="24"/>
          <w:lang w:eastAsia="sk-SK"/>
        </w:rPr>
        <w:t xml:space="preserve"> </w:t>
        <w:tab/>
        <w:t xml:space="preserve"> </w:t>
      </w:r>
      <w:r w:rsidRPr="006256FE">
        <w:rPr>
          <w:rFonts w:ascii="Times New Roman" w:hAnsi="Times New Roman"/>
          <w:b/>
          <w:spacing w:val="40"/>
          <w:sz w:val="28"/>
          <w:szCs w:val="24"/>
          <w:lang w:eastAsia="sk-SK"/>
        </w:rPr>
        <w:t>berie  na vedomie</w:t>
      </w: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 w:rsidRPr="006256FE">
        <w:rPr>
          <w:rFonts w:ascii="Times New Roman" w:hAnsi="Times New Roman"/>
          <w:szCs w:val="20"/>
          <w:lang w:eastAsia="sk-SK"/>
        </w:rPr>
        <w:t xml:space="preserve">            spr</w:t>
      </w:r>
      <w:r w:rsidRPr="006256FE">
        <w:rPr>
          <w:rFonts w:ascii="Times New Roman" w:hAnsi="Times New Roman"/>
          <w:bCs/>
          <w:szCs w:val="20"/>
          <w:lang w:eastAsia="sk-SK"/>
        </w:rPr>
        <w:t>ávu o Výboru Národnej rady Slovenskej republiky pre obranu a bezpečnosť o stave použitia informačno-tech</w:t>
      </w:r>
      <w:r>
        <w:rPr>
          <w:rFonts w:ascii="Times New Roman" w:hAnsi="Times New Roman"/>
          <w:bCs/>
          <w:szCs w:val="20"/>
          <w:lang w:eastAsia="sk-SK"/>
        </w:rPr>
        <w:t>nických prostriedkov za rok 2014</w:t>
      </w:r>
      <w:r w:rsidRPr="006256FE">
        <w:rPr>
          <w:rFonts w:ascii="Times New Roman" w:hAnsi="Times New Roman"/>
          <w:bCs/>
          <w:szCs w:val="20"/>
          <w:lang w:eastAsia="sk-SK"/>
        </w:rPr>
        <w:t xml:space="preserve"> (</w:t>
      </w:r>
      <w:r w:rsidRPr="006256FE">
        <w:rPr>
          <w:rFonts w:ascii="Times New Roman" w:hAnsi="Times New Roman"/>
          <w:b/>
          <w:bCs/>
          <w:szCs w:val="20"/>
          <w:lang w:eastAsia="sk-SK"/>
        </w:rPr>
        <w:t xml:space="preserve">tlač </w:t>
      </w:r>
      <w:r w:rsidRPr="002F4D62" w:rsidR="002F4D62">
        <w:rPr>
          <w:rFonts w:ascii="Times New Roman" w:hAnsi="Times New Roman"/>
          <w:b/>
          <w:bCs/>
          <w:szCs w:val="20"/>
          <w:lang w:eastAsia="sk-SK"/>
        </w:rPr>
        <w:t>1393</w:t>
      </w:r>
      <w:r w:rsidRPr="006256FE">
        <w:rPr>
          <w:rFonts w:ascii="Times New Roman" w:hAnsi="Times New Roman"/>
          <w:b/>
          <w:bCs/>
          <w:szCs w:val="20"/>
          <w:lang w:eastAsia="sk-SK"/>
        </w:rPr>
        <w:t>)</w:t>
      </w: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6256FE" w:rsidRPr="006256FE" w:rsidP="006256FE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6256FE" w:rsidRPr="006256FE" w:rsidP="006256FE">
      <w:pPr>
        <w:widowControl w:val="0"/>
        <w:shd w:val="clear" w:color="auto" w:fill="FFFFFF"/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szCs w:val="20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6256FE">
        <w:rPr>
          <w:rFonts w:ascii="Times New Roman" w:hAnsi="Times New Roman"/>
          <w:szCs w:val="24"/>
          <w:lang w:eastAsia="sk-SK"/>
        </w:rPr>
        <w:tab/>
      </w: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RP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6256FE" w:rsidP="006256FE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256FE" w:rsidP="006256FE">
      <w:pPr>
        <w:bidi w:val="0"/>
        <w:rPr>
          <w:rFonts w:ascii="Times New Roman" w:hAnsi="Times New Roman"/>
        </w:rPr>
      </w:pPr>
    </w:p>
    <w:p w:rsidR="006256FE" w:rsidP="006256FE">
      <w:pPr>
        <w:bidi w:val="0"/>
        <w:rPr>
          <w:rFonts w:ascii="Times New Roman" w:hAnsi="Times New Roman"/>
        </w:rPr>
      </w:pPr>
    </w:p>
    <w:p w:rsidR="006256FE" w:rsidP="006256FE">
      <w:pPr>
        <w:bidi w:val="0"/>
        <w:rPr>
          <w:rFonts w:ascii="Times New Roman" w:hAnsi="Times New Roman"/>
        </w:rPr>
      </w:pPr>
    </w:p>
    <w:p w:rsidR="006256FE" w:rsidP="006256FE">
      <w:pPr>
        <w:bidi w:val="0"/>
        <w:rPr>
          <w:rFonts w:ascii="Times New Roman" w:hAnsi="Times New Roman"/>
        </w:rPr>
      </w:pPr>
    </w:p>
    <w:p w:rsidR="006256FE" w:rsidP="006256FE">
      <w:pPr>
        <w:bidi w:val="0"/>
        <w:rPr>
          <w:rFonts w:ascii="Times New Roman" w:hAnsi="Times New Roman"/>
        </w:rPr>
      </w:pPr>
    </w:p>
    <w:p w:rsidR="006256FE" w:rsidP="006256FE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2F" w:rsidP="006256FE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10B2F" w:rsidP="006256FE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B1A71">
      <w:pPr>
        <w:pStyle w:val="FootnoteText"/>
        <w:tabs>
          <w:tab w:val="left" w:pos="142"/>
          <w:tab w:val="clear" w:pos="284"/>
        </w:tabs>
        <w:bidi w:val="0"/>
        <w:ind w:left="142" w:hanging="142"/>
      </w:pPr>
      <w:r w:rsidR="00BB1A71">
        <w:rPr>
          <w:rStyle w:val="FootnoteReference"/>
        </w:rPr>
        <w:footnoteRef/>
      </w:r>
      <w:r w:rsidR="00BB1A71">
        <w:t xml:space="preserve"> Zhoda v počte podaných žiadostí o použitie ITP a v počte vydaných súhlasov na použitie ITP v roku 2014 bola potvrdená Krajským súdom Bratislava.</w:t>
      </w:r>
    </w:p>
  </w:footnote>
  <w:footnote w:id="3">
    <w:p w:rsidP="00BB1A71">
      <w:pPr>
        <w:pStyle w:val="FootnoteText"/>
        <w:bidi w:val="0"/>
      </w:pPr>
      <w:r w:rsidR="00BB1A71">
        <w:rPr>
          <w:rStyle w:val="FootnoteReference"/>
        </w:rPr>
        <w:footnoteRef/>
      </w:r>
      <w:r w:rsidR="00BB1A71">
        <w:t xml:space="preserve"> Sú stále aktuálne alebo im plynie 30-dňová lehota na ich vyhodnotenie po ukončení.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D73"/>
    <w:multiLevelType w:val="multilevel"/>
    <w:tmpl w:val="0A28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DA03A2"/>
    <w:multiLevelType w:val="hybridMultilevel"/>
    <w:tmpl w:val="617A13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E7823BF"/>
    <w:multiLevelType w:val="hybridMultilevel"/>
    <w:tmpl w:val="D9D07E1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549479CB"/>
    <w:multiLevelType w:val="hybridMultilevel"/>
    <w:tmpl w:val="A91AB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9959C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5">
    <w:nsid w:val="692D325B"/>
    <w:multiLevelType w:val="singleLevel"/>
    <w:tmpl w:val="DEC48768"/>
    <w:lvl w:ilvl="0">
      <w:start w:val="1"/>
      <w:numFmt w:val="bullet"/>
      <w:pStyle w:val="BodyText"/>
      <w:lvlText w:val=""/>
      <w:lvlJc w:val="left"/>
      <w:pPr>
        <w:tabs>
          <w:tab w:val="num" w:pos="737"/>
        </w:tabs>
        <w:ind w:left="737" w:hanging="368"/>
      </w:pPr>
      <w:rPr>
        <w:rFonts w:ascii="Wingdings" w:hAnsi="Wingdings" w:hint="default"/>
        <w:color w:val="auto"/>
      </w:rPr>
    </w:lvl>
  </w:abstractNum>
  <w:num w:numId="1">
    <w:abstractNumId w:val="5"/>
  </w:num>
  <w:num w:numId="2">
    <w:abstractNumId w:val="5"/>
    <w:lvlOverride w:ilvl="0"/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6256FE"/>
    <w:rsid w:val="00022B71"/>
    <w:rsid w:val="00063994"/>
    <w:rsid w:val="00094499"/>
    <w:rsid w:val="000B4AD9"/>
    <w:rsid w:val="0015305E"/>
    <w:rsid w:val="0019772E"/>
    <w:rsid w:val="001A0A8E"/>
    <w:rsid w:val="001A6FD2"/>
    <w:rsid w:val="001E1584"/>
    <w:rsid w:val="0025558C"/>
    <w:rsid w:val="002613C3"/>
    <w:rsid w:val="002845B7"/>
    <w:rsid w:val="002D66B1"/>
    <w:rsid w:val="002E49CE"/>
    <w:rsid w:val="002F4D62"/>
    <w:rsid w:val="003060CC"/>
    <w:rsid w:val="00315088"/>
    <w:rsid w:val="00347E67"/>
    <w:rsid w:val="00355836"/>
    <w:rsid w:val="00395FDB"/>
    <w:rsid w:val="004152FC"/>
    <w:rsid w:val="004C7867"/>
    <w:rsid w:val="00532362"/>
    <w:rsid w:val="0057625D"/>
    <w:rsid w:val="006256FE"/>
    <w:rsid w:val="0065447C"/>
    <w:rsid w:val="006B615F"/>
    <w:rsid w:val="007E4E5A"/>
    <w:rsid w:val="007E5CC9"/>
    <w:rsid w:val="0083279F"/>
    <w:rsid w:val="008910D4"/>
    <w:rsid w:val="008C7211"/>
    <w:rsid w:val="0095775B"/>
    <w:rsid w:val="00A2199E"/>
    <w:rsid w:val="00B14CA3"/>
    <w:rsid w:val="00B153CE"/>
    <w:rsid w:val="00B83D1C"/>
    <w:rsid w:val="00BB1A71"/>
    <w:rsid w:val="00C10B2F"/>
    <w:rsid w:val="00C2661D"/>
    <w:rsid w:val="00C464F6"/>
    <w:rsid w:val="00CF4B47"/>
    <w:rsid w:val="00D97C12"/>
    <w:rsid w:val="00E315E6"/>
    <w:rsid w:val="00E935AE"/>
    <w:rsid w:val="00EB4D7C"/>
    <w:rsid w:val="00F55914"/>
    <w:rsid w:val="00F73EC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F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6256FE"/>
    <w:pPr>
      <w:keepNext/>
      <w:spacing w:before="40" w:after="40" w:line="240" w:lineRule="auto"/>
      <w:jc w:val="left"/>
      <w:outlineLvl w:val="5"/>
    </w:pPr>
    <w:rPr>
      <w:rFonts w:ascii="Arial" w:hAnsi="Arial"/>
      <w:b/>
      <w:sz w:val="26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locked/>
    <w:rsid w:val="006256FE"/>
    <w:rPr>
      <w:rFonts w:ascii="Arial" w:hAnsi="Arial" w:cs="Times New Roman"/>
      <w:b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256FE"/>
    <w:pPr>
      <w:tabs>
        <w:tab w:val="left" w:pos="284"/>
      </w:tabs>
      <w:spacing w:before="40" w:after="40" w:line="240" w:lineRule="auto"/>
      <w:ind w:left="284" w:hanging="284"/>
      <w:jc w:val="left"/>
    </w:pPr>
    <w:rPr>
      <w:rFonts w:ascii="Arial" w:hAnsi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256FE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6256FE"/>
    <w:pPr>
      <w:widowControl w:val="0"/>
      <w:tabs>
        <w:tab w:val="center" w:pos="4536"/>
        <w:tab w:val="right" w:pos="9072"/>
      </w:tabs>
      <w:spacing w:after="0" w:line="240" w:lineRule="auto"/>
      <w:jc w:val="left"/>
    </w:pPr>
    <w:rPr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6256FE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256FE"/>
    <w:pPr>
      <w:widowControl w:val="0"/>
      <w:numPr>
        <w:numId w:val="1"/>
      </w:numPr>
      <w:shd w:val="clear" w:color="auto" w:fill="FFFFFF"/>
      <w:tabs>
        <w:tab w:val="num" w:pos="737"/>
      </w:tabs>
      <w:snapToGrid w:val="0"/>
      <w:spacing w:after="0" w:line="240" w:lineRule="auto"/>
      <w:ind w:left="737" w:hanging="368"/>
      <w:jc w:val="left"/>
    </w:pPr>
    <w:rPr>
      <w:b/>
      <w:color w:val="00000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256FE"/>
    <w:rPr>
      <w:rFonts w:eastAsia="Times New Roman" w:cs="Times New Roman"/>
      <w:b/>
      <w:color w:val="000000"/>
      <w:sz w:val="20"/>
      <w:szCs w:val="20"/>
      <w:shd w:val="clear" w:color="auto" w:fil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6256FE"/>
    <w:pPr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256FE"/>
    <w:rPr>
      <w:rFonts w:eastAsia="Times New Roman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6256FE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6256FE"/>
    <w:rPr>
      <w:rFonts w:ascii="Times New Roman" w:hAnsi="Times New Roman"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73E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73EC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2B64-D8F3-44CC-A44D-2DF64014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17</Pages>
  <Words>3941</Words>
  <Characters>22470</Characters>
  <Application>Microsoft Office Word</Application>
  <DocSecurity>0</DocSecurity>
  <Lines>0</Lines>
  <Paragraphs>0</Paragraphs>
  <ScaleCrop>false</ScaleCrop>
  <Company>Kancelaria NR SR</Company>
  <LinksUpToDate>false</LinksUpToDate>
  <CharactersWithSpaces>26359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cp:lastPrinted>2015-02-19T10:16:00Z</cp:lastPrinted>
  <dcterms:created xsi:type="dcterms:W3CDTF">2015-01-27T08:16:00Z</dcterms:created>
  <dcterms:modified xsi:type="dcterms:W3CDTF">2015-02-19T10:16:00Z</dcterms:modified>
</cp:coreProperties>
</file>