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2B2C" w:rsidRPr="00DD759E" w:rsidP="008C0FA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D759E" w:rsidR="00891FAF">
        <w:rPr>
          <w:rFonts w:ascii="Book Antiqua" w:hAnsi="Book Antiqua"/>
          <w:b/>
          <w:sz w:val="22"/>
          <w:szCs w:val="22"/>
        </w:rPr>
        <w:t>DÔVODOVÁ SPRÁVA</w:t>
      </w:r>
    </w:p>
    <w:p w:rsidR="00322B2C" w:rsidRPr="00DD759E" w:rsidP="008C0FA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22B2C" w:rsidRPr="00DD759E" w:rsidP="008C0FA0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DD759E" w:rsidR="00891FAF">
        <w:rPr>
          <w:rFonts w:ascii="Book Antiqua" w:hAnsi="Book Antiqua"/>
          <w:b/>
          <w:sz w:val="22"/>
          <w:szCs w:val="22"/>
        </w:rPr>
        <w:t>A. Všeobecná časť</w:t>
      </w:r>
    </w:p>
    <w:p w:rsidR="00322B2C" w:rsidRPr="00DD759E" w:rsidP="008C0FA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80C71">
        <w:rPr>
          <w:rFonts w:ascii="Book Antiqua" w:hAnsi="Book Antiqua"/>
          <w:sz w:val="22"/>
          <w:szCs w:val="22"/>
        </w:rPr>
        <w:t>Návrh zákona</w:t>
      </w:r>
      <w:r w:rsidRPr="00580C71" w:rsidR="00580C71">
        <w:rPr>
          <w:rFonts w:ascii="Book Antiqua" w:hAnsi="Book Antiqua"/>
          <w:sz w:val="22"/>
          <w:szCs w:val="22"/>
        </w:rPr>
        <w:t xml:space="preserve">, ktorým sa dopĺňa zákon č. 102/2014 </w:t>
      </w:r>
      <w:r w:rsidR="00580C71">
        <w:rPr>
          <w:rFonts w:ascii="Book Antiqua" w:hAnsi="Book Antiqua"/>
          <w:sz w:val="22"/>
          <w:szCs w:val="22"/>
        </w:rPr>
        <w:t>Z.z. o ochrane spotrebiteľa pri </w:t>
      </w:r>
      <w:r w:rsidRPr="00580C71" w:rsidR="00580C71">
        <w:rPr>
          <w:rFonts w:ascii="Book Antiqua" w:hAnsi="Book Antiqua"/>
          <w:sz w:val="22"/>
          <w:szCs w:val="22"/>
        </w:rPr>
        <w:t xml:space="preserve">predaji tovaru alebo poskytovaní služieb na  základe zmluvy uzavretej na </w:t>
      </w:r>
      <w:r w:rsidR="00580C71">
        <w:rPr>
          <w:rFonts w:ascii="Book Antiqua" w:hAnsi="Book Antiqua"/>
          <w:sz w:val="22"/>
          <w:szCs w:val="22"/>
        </w:rPr>
        <w:t>diaľku alebo </w:t>
      </w:r>
      <w:r w:rsidRPr="00580C71" w:rsidR="00580C71">
        <w:rPr>
          <w:rFonts w:ascii="Book Antiqua" w:hAnsi="Book Antiqua"/>
          <w:sz w:val="22"/>
          <w:szCs w:val="22"/>
        </w:rPr>
        <w:t>zmluvy uzavretej mimo prevádzkových pries</w:t>
      </w:r>
      <w:r w:rsidR="00580C71">
        <w:rPr>
          <w:rFonts w:ascii="Book Antiqua" w:hAnsi="Book Antiqua"/>
          <w:sz w:val="22"/>
          <w:szCs w:val="22"/>
        </w:rPr>
        <w:t>torov predávajúceho a o zmene a </w:t>
      </w:r>
      <w:r w:rsidRPr="00580C71" w:rsidR="00580C71">
        <w:rPr>
          <w:rFonts w:ascii="Book Antiqua" w:hAnsi="Book Antiqua"/>
          <w:sz w:val="22"/>
          <w:szCs w:val="22"/>
        </w:rPr>
        <w:t>doplnení niektorých zákonov v znení zákona č. 151/2014 Z</w:t>
      </w:r>
      <w:r w:rsidR="00580C71">
        <w:rPr>
          <w:rFonts w:ascii="Book Antiqua" w:hAnsi="Book Antiqua"/>
          <w:sz w:val="22"/>
          <w:szCs w:val="22"/>
        </w:rPr>
        <w:t>.z. a ktorým sa dopĺňa zákon č. </w:t>
      </w:r>
      <w:r w:rsidRPr="00580C71" w:rsidR="00580C71">
        <w:rPr>
          <w:rFonts w:ascii="Book Antiqua" w:hAnsi="Book Antiqua"/>
          <w:sz w:val="22"/>
          <w:szCs w:val="22"/>
        </w:rPr>
        <w:t xml:space="preserve">147/2001 Z. z. o reklame a o zmene a doplnení niektorých zákonov v znení neskorších predpisov </w:t>
      </w:r>
      <w:r w:rsidRPr="00DD759E" w:rsidR="00891FAF">
        <w:rPr>
          <w:rFonts w:ascii="Book Antiqua" w:hAnsi="Book Antiqua"/>
          <w:sz w:val="22"/>
          <w:szCs w:val="22"/>
        </w:rPr>
        <w:t>(ďalej len „návrh zákona“) predklad</w:t>
      </w:r>
      <w:r w:rsidR="00580C71">
        <w:rPr>
          <w:rFonts w:ascii="Book Antiqua" w:hAnsi="Book Antiqua"/>
          <w:sz w:val="22"/>
          <w:szCs w:val="22"/>
        </w:rPr>
        <w:t>ajú</w:t>
      </w:r>
      <w:r w:rsidRPr="00DD759E" w:rsidR="00891FAF">
        <w:rPr>
          <w:rFonts w:ascii="Book Antiqua" w:hAnsi="Book Antiqua"/>
          <w:sz w:val="22"/>
          <w:szCs w:val="22"/>
        </w:rPr>
        <w:t xml:space="preserve"> po</w:t>
      </w:r>
      <w:r w:rsidR="00580C71">
        <w:rPr>
          <w:rFonts w:ascii="Book Antiqua" w:hAnsi="Book Antiqua"/>
          <w:sz w:val="22"/>
          <w:szCs w:val="22"/>
        </w:rPr>
        <w:t>slan</w:t>
      </w:r>
      <w:r w:rsidRPr="00DD759E" w:rsidR="003A3A71">
        <w:rPr>
          <w:rFonts w:ascii="Book Antiqua" w:hAnsi="Book Antiqua"/>
          <w:sz w:val="22"/>
          <w:szCs w:val="22"/>
        </w:rPr>
        <w:t>c</w:t>
      </w:r>
      <w:r w:rsidR="00580C71">
        <w:rPr>
          <w:rFonts w:ascii="Book Antiqua" w:hAnsi="Book Antiqua"/>
          <w:sz w:val="22"/>
          <w:szCs w:val="22"/>
        </w:rPr>
        <w:t>i</w:t>
      </w:r>
      <w:r w:rsidRPr="00DD759E" w:rsidR="00891FAF">
        <w:rPr>
          <w:rFonts w:ascii="Book Antiqua" w:hAnsi="Book Antiqua"/>
          <w:sz w:val="22"/>
          <w:szCs w:val="22"/>
        </w:rPr>
        <w:t xml:space="preserve"> Národnej rady Slovenskej republiky </w:t>
      </w:r>
      <w:r w:rsidRPr="00DD759E" w:rsidR="003530FC">
        <w:rPr>
          <w:rFonts w:ascii="Book Antiqua" w:hAnsi="Book Antiqua"/>
          <w:sz w:val="22"/>
          <w:szCs w:val="22"/>
        </w:rPr>
        <w:t>Miroslav Kadúc</w:t>
      </w:r>
      <w:r w:rsidR="00580C71">
        <w:rPr>
          <w:rFonts w:ascii="Book Antiqua" w:hAnsi="Book Antiqua"/>
          <w:sz w:val="22"/>
          <w:szCs w:val="22"/>
        </w:rPr>
        <w:t xml:space="preserve"> a Juraj Droba. </w:t>
      </w:r>
    </w:p>
    <w:p w:rsidR="00D229C1" w:rsidRPr="00DD759E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D759E" w:rsidR="002515B6">
        <w:rPr>
          <w:rFonts w:ascii="Book Antiqua" w:hAnsi="Book Antiqua"/>
          <w:bCs/>
          <w:sz w:val="22"/>
          <w:szCs w:val="22"/>
        </w:rPr>
        <w:tab/>
      </w:r>
      <w:r w:rsidRPr="00DD759E" w:rsidR="002515B6">
        <w:rPr>
          <w:rFonts w:ascii="Book Antiqua" w:hAnsi="Book Antiqua"/>
          <w:b/>
          <w:bCs/>
          <w:sz w:val="22"/>
          <w:szCs w:val="22"/>
        </w:rPr>
        <w:t xml:space="preserve">S cieľom zvýšiť úroveň ochrany </w:t>
      </w:r>
      <w:r w:rsidRPr="00DD759E" w:rsidR="004E6938">
        <w:rPr>
          <w:rFonts w:ascii="Book Antiqua" w:hAnsi="Book Antiqua"/>
          <w:b/>
          <w:bCs/>
          <w:sz w:val="22"/>
          <w:szCs w:val="22"/>
        </w:rPr>
        <w:t>spotrebiteľa a jeho informovanosti</w:t>
      </w:r>
      <w:r w:rsidRPr="00DD759E" w:rsidR="002515B6">
        <w:rPr>
          <w:rFonts w:ascii="Book Antiqua" w:hAnsi="Book Antiqua"/>
          <w:b/>
          <w:bCs/>
          <w:sz w:val="22"/>
          <w:szCs w:val="22"/>
        </w:rPr>
        <w:t xml:space="preserve"> a v snahe predchádzať prípadom, keď sa pri komunikácii na diaľku nedodržiavajú pravidlá týkajúce sa ochrany súkromia a osobných údajov spotrebiteľa</w:t>
      </w:r>
      <w:r w:rsidRPr="00DD759E" w:rsidR="004E6938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DD759E" w:rsidR="002515B6">
        <w:rPr>
          <w:rFonts w:ascii="Book Antiqua" w:hAnsi="Book Antiqua"/>
          <w:b/>
          <w:bCs/>
          <w:sz w:val="22"/>
          <w:szCs w:val="22"/>
        </w:rPr>
        <w:t>sa v návrhu zákona zavádza povinnosť predávajúceho pri predaji tovaru alebo služby prostredníctvom telefónu oznámiť už na začiatku komunikácie so spo</w:t>
      </w:r>
      <w:r w:rsidR="00580C71">
        <w:rPr>
          <w:rFonts w:ascii="Book Antiqua" w:hAnsi="Book Antiqua"/>
          <w:b/>
          <w:bCs/>
          <w:sz w:val="22"/>
          <w:szCs w:val="22"/>
        </w:rPr>
        <w:t>trebiteľom spôsob získania jeho </w:t>
      </w:r>
      <w:r w:rsidRPr="00DD759E" w:rsidR="002515B6">
        <w:rPr>
          <w:rFonts w:ascii="Book Antiqua" w:hAnsi="Book Antiqua"/>
          <w:b/>
          <w:bCs/>
          <w:sz w:val="22"/>
          <w:szCs w:val="22"/>
        </w:rPr>
        <w:t>telefónneho čísla, ako a</w:t>
      </w:r>
      <w:r w:rsidRPr="00DD759E" w:rsidR="00E85CF1">
        <w:rPr>
          <w:rFonts w:ascii="Book Antiqua" w:hAnsi="Book Antiqua"/>
          <w:b/>
          <w:bCs/>
          <w:sz w:val="22"/>
          <w:szCs w:val="22"/>
        </w:rPr>
        <w:t>j zákaz šíriť reklamu telefónom bez predchádzajúceho súhlasu príjemcu reklamy (spotrebiteľa).</w:t>
      </w:r>
    </w:p>
    <w:p w:rsidR="00CC3DFD" w:rsidRPr="00DD759E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D759E" w:rsidR="00E85CF1">
        <w:rPr>
          <w:rFonts w:ascii="Book Antiqua" w:hAnsi="Book Antiqua"/>
          <w:bCs/>
          <w:sz w:val="22"/>
          <w:szCs w:val="22"/>
        </w:rPr>
        <w:t xml:space="preserve">Návrh zákona vychádza z platnej legislatívy Európskej únie, </w:t>
      </w:r>
      <w:r w:rsidR="00580C71">
        <w:rPr>
          <w:rFonts w:ascii="Book Antiqua" w:hAnsi="Book Antiqua"/>
          <w:bCs/>
          <w:sz w:val="22"/>
          <w:szCs w:val="22"/>
        </w:rPr>
        <w:t>ktorá sa odvoláva na čl. </w:t>
      </w:r>
      <w:r w:rsidRPr="00DD759E">
        <w:rPr>
          <w:rFonts w:ascii="Book Antiqua" w:hAnsi="Book Antiqua"/>
          <w:bCs/>
          <w:sz w:val="22"/>
          <w:szCs w:val="22"/>
        </w:rPr>
        <w:t xml:space="preserve">8 a 10 </w:t>
      </w:r>
      <w:r w:rsidRPr="00DD759E">
        <w:rPr>
          <w:rFonts w:ascii="Book Antiqua" w:hAnsi="Book Antiqua"/>
          <w:sz w:val="22"/>
          <w:szCs w:val="22"/>
        </w:rPr>
        <w:t>Európskeho dohovoru o ochrane ľudských práv a základných slobôd</w:t>
      </w:r>
      <w:r w:rsidRPr="00DD759E">
        <w:rPr>
          <w:rFonts w:ascii="Book Antiqua" w:hAnsi="Book Antiqua"/>
          <w:bCs/>
          <w:sz w:val="22"/>
          <w:szCs w:val="22"/>
        </w:rPr>
        <w:t xml:space="preserve"> z dôvodu rešpektovania práva </w:t>
      </w:r>
      <w:r w:rsidRPr="00DD759E">
        <w:rPr>
          <w:rFonts w:ascii="Book Antiqua" w:hAnsi="Book Antiqua"/>
          <w:sz w:val="22"/>
          <w:szCs w:val="22"/>
        </w:rPr>
        <w:t>spotrebiteľa na súkromie, najmä čo sa týka ochrany pred niektorými obzvlášť súkromie narušujúcimi komunikačnými prostriedkami</w:t>
      </w:r>
      <w:r w:rsidRPr="00DD759E">
        <w:rPr>
          <w:rFonts w:ascii="Book Antiqua" w:hAnsi="Book Antiqua"/>
          <w:bCs/>
          <w:sz w:val="22"/>
          <w:szCs w:val="22"/>
        </w:rPr>
        <w:t xml:space="preserve"> a vyzýva členské štáty, aby zaviedli </w:t>
      </w:r>
      <w:r w:rsidRPr="00DD759E">
        <w:rPr>
          <w:rFonts w:ascii="Book Antiqua" w:hAnsi="Book Antiqua"/>
          <w:sz w:val="22"/>
          <w:szCs w:val="22"/>
        </w:rPr>
        <w:t>primerané opatrenia na účinnú ochranu tých spotrebiteľov, ktorí si neželajú byť kontaktovaní prostredníctvom určitých komunikačných prostriedkov, pred takýmito kontaktmi</w:t>
      </w:r>
      <w:r w:rsidR="00580C71">
        <w:rPr>
          <w:rFonts w:ascii="Book Antiqua" w:hAnsi="Book Antiqua"/>
          <w:bCs/>
          <w:sz w:val="22"/>
          <w:szCs w:val="22"/>
        </w:rPr>
        <w:t>.</w:t>
      </w:r>
    </w:p>
    <w:p w:rsidR="00DD759E" w:rsidRPr="00DD759E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D759E" w:rsidR="00CC3DFD">
        <w:rPr>
          <w:rFonts w:ascii="Book Antiqua" w:hAnsi="Book Antiqua"/>
          <w:bCs/>
          <w:sz w:val="22"/>
          <w:szCs w:val="22"/>
        </w:rPr>
        <w:t xml:space="preserve">Nielen táto smernica, ale aj smernica Európskeho parlamentu a Rady 2002/65/ES z 23. septembra </w:t>
      </w:r>
      <w:r w:rsidRPr="00DD759E">
        <w:rPr>
          <w:rFonts w:ascii="Book Antiqua" w:hAnsi="Book Antiqua"/>
          <w:bCs/>
          <w:sz w:val="22"/>
          <w:szCs w:val="22"/>
        </w:rPr>
        <w:t xml:space="preserve">2002 </w:t>
      </w:r>
      <w:r w:rsidRPr="00DD759E" w:rsidR="00CC3DFD">
        <w:rPr>
          <w:rFonts w:ascii="Book Antiqua" w:hAnsi="Book Antiqua"/>
          <w:bCs/>
          <w:sz w:val="22"/>
          <w:szCs w:val="22"/>
        </w:rPr>
        <w:t xml:space="preserve">o poskytovaní finančných služieb spotrebiteľom na diaľku a o zmene a doplnení smernice Rady 90/619/EHS a smerníc 97/7/ES na 98/27/ES v platnom znení požadujú, aby mal spotrebiteľ </w:t>
      </w:r>
      <w:r w:rsidRPr="00DD759E" w:rsidR="00D229C1">
        <w:rPr>
          <w:rFonts w:ascii="Book Antiqua" w:hAnsi="Book Antiqua"/>
          <w:bCs/>
          <w:sz w:val="22"/>
          <w:szCs w:val="22"/>
        </w:rPr>
        <w:t xml:space="preserve">dostatok informácii </w:t>
      </w:r>
      <w:r w:rsidRPr="00DD759E" w:rsidR="00CC3DFD">
        <w:rPr>
          <w:rFonts w:ascii="Book Antiqua" w:hAnsi="Book Antiqua"/>
          <w:bCs/>
          <w:sz w:val="22"/>
          <w:szCs w:val="22"/>
        </w:rPr>
        <w:t>už na začiatku komunikácie na diaľku a ustanovujú prípady, keď sa vyžaduje predchádzajúci súhlas spotrebiteľa s takouto komunikáciou s prihliadnutím na čl. 169 ods. 4 Zmluvy o fungovaní Európskej únie, ktorý umožňuje tieto prípady rozšíriť, a to s cieľom dosiahnuť vyššiu úroveň ochrany spotrebiteľa.</w:t>
      </w:r>
      <w:r w:rsidRPr="00DD759E">
        <w:rPr>
          <w:rFonts w:ascii="Book Antiqua" w:hAnsi="Book Antiqua"/>
          <w:bCs/>
          <w:sz w:val="22"/>
          <w:szCs w:val="22"/>
        </w:rPr>
        <w:t xml:space="preserve"> Návrh zákona v plnej miere zohľadňuje uvedené pravidlá Európskej únie a Rady Európy a znižuje počet prípadov neoprávneného získavania a nakladania s osobnými údajmi spotrebiteľa v oblasti zásielkového predaja, reklamy a priameho marketingu.</w:t>
      </w:r>
    </w:p>
    <w:p w:rsidR="00DD759E" w:rsidRPr="00DD759E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D759E" w:rsidR="00795CAA">
        <w:rPr>
          <w:rFonts w:ascii="Book Antiqua" w:hAnsi="Book Antiqua"/>
          <w:sz w:val="22"/>
          <w:szCs w:val="22"/>
        </w:rPr>
        <w:t>Predkladaný návrh zákona nemá dosah na rozpočet</w:t>
      </w:r>
      <w:r w:rsidR="00580C71">
        <w:rPr>
          <w:rFonts w:ascii="Book Antiqua" w:hAnsi="Book Antiqua"/>
          <w:sz w:val="22"/>
          <w:szCs w:val="22"/>
        </w:rPr>
        <w:t xml:space="preserve"> verejnej správy. Nemá vplyv na </w:t>
      </w:r>
      <w:r w:rsidRPr="00DD759E" w:rsidR="00795CAA">
        <w:rPr>
          <w:rFonts w:ascii="Book Antiqua" w:hAnsi="Book Antiqua"/>
          <w:sz w:val="22"/>
          <w:szCs w:val="22"/>
        </w:rPr>
        <w:t>podnikateľské prostredie, nevyvoláva sociálne vplyvy, nemá vplyv na životné prostredie a an</w:t>
      </w:r>
      <w:r w:rsidRPr="00DD759E">
        <w:rPr>
          <w:rFonts w:ascii="Book Antiqua" w:hAnsi="Book Antiqua"/>
          <w:sz w:val="22"/>
          <w:szCs w:val="22"/>
        </w:rPr>
        <w:t>i na informatizáciu spoločnosti.</w:t>
      </w:r>
    </w:p>
    <w:p w:rsidR="001D70CC" w:rsidP="001D70C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D759E" w:rsidR="00891FAF">
        <w:rPr>
          <w:rFonts w:ascii="Book Antiqua" w:hAnsi="Book Antiqua"/>
          <w:sz w:val="22"/>
          <w:szCs w:val="22"/>
        </w:rPr>
        <w:t>Návrh zákona je v súlade s Ústavou Slovenskej</w:t>
      </w:r>
      <w:r w:rsidR="00580C71">
        <w:rPr>
          <w:rFonts w:ascii="Book Antiqua" w:hAnsi="Book Antiqua"/>
          <w:sz w:val="22"/>
          <w:szCs w:val="22"/>
        </w:rPr>
        <w:t xml:space="preserve"> republiky, ústavnými zákonmi a </w:t>
      </w:r>
      <w:r w:rsidRPr="00DD759E" w:rsidR="00891FAF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viazaná,</w:t>
      </w:r>
      <w:r>
        <w:rPr>
          <w:rFonts w:ascii="Book Antiqua" w:hAnsi="Book Antiqua"/>
          <w:sz w:val="22"/>
          <w:szCs w:val="22"/>
        </w:rPr>
        <w:t xml:space="preserve"> ako aj s právom Európskej únie.</w:t>
      </w:r>
    </w:p>
    <w:p w:rsidR="00322B2C" w:rsidRPr="00DD759E" w:rsidP="008C0FA0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DD759E" w:rsidR="00891FAF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322B2C" w:rsidRPr="00DD759E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22B2C" w:rsidRPr="00DD759E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D759E" w:rsidR="00891FAF">
        <w:rPr>
          <w:rFonts w:ascii="Book Antiqua" w:hAnsi="Book Antiqua"/>
          <w:b/>
          <w:bCs/>
          <w:sz w:val="22"/>
          <w:szCs w:val="22"/>
        </w:rPr>
        <w:t>K Čl. I</w:t>
      </w:r>
    </w:p>
    <w:p w:rsidR="0058759E" w:rsidRPr="00DD759E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 w:rsidR="00AE23E0">
        <w:rPr>
          <w:rFonts w:ascii="Book Antiqua" w:hAnsi="Book Antiqua"/>
          <w:sz w:val="22"/>
          <w:szCs w:val="22"/>
        </w:rPr>
        <w:tab/>
        <w:tab/>
      </w:r>
      <w:r w:rsidRPr="00DD759E">
        <w:rPr>
          <w:rFonts w:ascii="Book Antiqua" w:hAnsi="Book Antiqua"/>
          <w:sz w:val="22"/>
          <w:szCs w:val="22"/>
        </w:rPr>
        <w:t xml:space="preserve"> Návrhom zákona sa rozširuje oblasť povinne oznamovaných informácii v prípadoch ponuky </w:t>
      </w:r>
      <w:r w:rsidR="00226F46">
        <w:rPr>
          <w:rFonts w:ascii="Book Antiqua" w:hAnsi="Book Antiqua"/>
          <w:sz w:val="22"/>
          <w:szCs w:val="22"/>
        </w:rPr>
        <w:t>tovaru a</w:t>
      </w:r>
      <w:r w:rsidR="00947F98">
        <w:rPr>
          <w:rFonts w:ascii="Book Antiqua" w:hAnsi="Book Antiqua"/>
          <w:sz w:val="22"/>
          <w:szCs w:val="22"/>
        </w:rPr>
        <w:t> </w:t>
      </w:r>
      <w:r w:rsidR="00226F46">
        <w:rPr>
          <w:rFonts w:ascii="Book Antiqua" w:hAnsi="Book Antiqua"/>
          <w:sz w:val="22"/>
          <w:szCs w:val="22"/>
        </w:rPr>
        <w:t>služie</w:t>
      </w:r>
      <w:r w:rsidR="00947F98">
        <w:rPr>
          <w:rFonts w:ascii="Book Antiqua" w:hAnsi="Book Antiqua"/>
          <w:sz w:val="22"/>
          <w:szCs w:val="22"/>
        </w:rPr>
        <w:t xml:space="preserve">b </w:t>
      </w:r>
      <w:r w:rsidRPr="00DD759E">
        <w:rPr>
          <w:rFonts w:ascii="Book Antiqua" w:hAnsi="Book Antiqua"/>
          <w:sz w:val="22"/>
          <w:szCs w:val="22"/>
        </w:rPr>
        <w:t>na oznamovanie údaju o spôsobe získania telefó</w:t>
      </w:r>
      <w:r w:rsidRPr="00DD759E" w:rsidR="00D516EA">
        <w:rPr>
          <w:rFonts w:ascii="Book Antiqua" w:hAnsi="Book Antiqua"/>
          <w:sz w:val="22"/>
          <w:szCs w:val="22"/>
        </w:rPr>
        <w:t>nneho čísla sp</w:t>
      </w:r>
      <w:r w:rsidR="00947F98">
        <w:rPr>
          <w:rFonts w:ascii="Book Antiqua" w:hAnsi="Book Antiqua"/>
          <w:sz w:val="22"/>
          <w:szCs w:val="22"/>
        </w:rPr>
        <w:t xml:space="preserve">otrebiteľa. S účinnosťou </w:t>
      </w:r>
      <w:r w:rsidRPr="00DD759E" w:rsidR="00D516EA">
        <w:rPr>
          <w:rFonts w:ascii="Book Antiqua" w:hAnsi="Book Antiqua"/>
          <w:sz w:val="22"/>
          <w:szCs w:val="22"/>
        </w:rPr>
        <w:t xml:space="preserve">zákona </w:t>
      </w:r>
      <w:r w:rsidR="00947F98">
        <w:rPr>
          <w:rFonts w:ascii="Book Antiqua" w:hAnsi="Book Antiqua"/>
          <w:sz w:val="22"/>
          <w:szCs w:val="22"/>
        </w:rPr>
        <w:t xml:space="preserve">v znení tohto návrhu zákona </w:t>
      </w:r>
      <w:r w:rsidRPr="00DD759E" w:rsidR="00D516EA">
        <w:rPr>
          <w:rFonts w:ascii="Book Antiqua" w:hAnsi="Book Antiqua"/>
          <w:sz w:val="22"/>
          <w:szCs w:val="22"/>
        </w:rPr>
        <w:t xml:space="preserve">tak okrem </w:t>
      </w:r>
      <w:r w:rsidR="001922F2">
        <w:rPr>
          <w:rFonts w:ascii="Book Antiqua" w:hAnsi="Book Antiqua"/>
          <w:sz w:val="22"/>
          <w:szCs w:val="22"/>
        </w:rPr>
        <w:t xml:space="preserve">ďalších </w:t>
      </w:r>
      <w:r w:rsidRPr="00DD759E" w:rsidR="00D516EA">
        <w:rPr>
          <w:rFonts w:ascii="Book Antiqua" w:hAnsi="Book Antiqua"/>
          <w:sz w:val="22"/>
          <w:szCs w:val="22"/>
        </w:rPr>
        <w:t>povinnost</w:t>
      </w:r>
      <w:r w:rsidR="00947F98">
        <w:rPr>
          <w:rFonts w:ascii="Book Antiqua" w:hAnsi="Book Antiqua"/>
          <w:sz w:val="22"/>
          <w:szCs w:val="22"/>
        </w:rPr>
        <w:t>i</w:t>
      </w:r>
      <w:r w:rsidR="001922F2">
        <w:rPr>
          <w:rFonts w:ascii="Book Antiqua" w:hAnsi="Book Antiqua"/>
          <w:sz w:val="22"/>
          <w:szCs w:val="22"/>
        </w:rPr>
        <w:t xml:space="preserve"> (ako napr. povinnosť oznámiť svoje identifikačné údaje)</w:t>
      </w:r>
      <w:r w:rsidRPr="00DD759E" w:rsidR="00D516EA">
        <w:rPr>
          <w:rFonts w:ascii="Book Antiqua" w:hAnsi="Book Antiqua"/>
          <w:sz w:val="22"/>
          <w:szCs w:val="22"/>
        </w:rPr>
        <w:t xml:space="preserve">, </w:t>
      </w:r>
      <w:r w:rsidRPr="00DD759E" w:rsidR="00D516EA">
        <w:rPr>
          <w:rFonts w:ascii="Book Antiqua" w:hAnsi="Book Antiqua"/>
          <w:b/>
          <w:sz w:val="22"/>
          <w:szCs w:val="22"/>
        </w:rPr>
        <w:t xml:space="preserve">bude mať predávajúci </w:t>
      </w:r>
      <w:r w:rsidRPr="00DD759E" w:rsidR="00EA0C43">
        <w:rPr>
          <w:rFonts w:ascii="Book Antiqua" w:hAnsi="Book Antiqua"/>
          <w:b/>
          <w:sz w:val="22"/>
          <w:szCs w:val="22"/>
        </w:rPr>
        <w:t xml:space="preserve">voči spotrebiteľovi </w:t>
      </w:r>
      <w:r w:rsidR="00226F46">
        <w:rPr>
          <w:rFonts w:ascii="Book Antiqua" w:hAnsi="Book Antiqua"/>
          <w:b/>
          <w:sz w:val="22"/>
          <w:szCs w:val="22"/>
        </w:rPr>
        <w:t>povinnosť uviesť</w:t>
      </w:r>
      <w:r w:rsidRPr="00DD759E" w:rsidR="00D516EA">
        <w:rPr>
          <w:rFonts w:ascii="Book Antiqua" w:hAnsi="Book Antiqua"/>
          <w:b/>
          <w:sz w:val="22"/>
          <w:szCs w:val="22"/>
        </w:rPr>
        <w:t>, akým spôsobom získal jeho telefónne číslo, a to už na začiatku telefonickej komunikácie</w:t>
      </w:r>
      <w:r w:rsidRPr="00DD759E" w:rsidR="00D516EA">
        <w:rPr>
          <w:rFonts w:ascii="Book Antiqua" w:hAnsi="Book Antiqua"/>
          <w:sz w:val="22"/>
          <w:szCs w:val="22"/>
        </w:rPr>
        <w:t>.</w:t>
      </w:r>
    </w:p>
    <w:p w:rsidR="00947F98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353039">
        <w:rPr>
          <w:rFonts w:ascii="Book Antiqua" w:hAnsi="Book Antiqua"/>
          <w:sz w:val="22"/>
          <w:szCs w:val="22"/>
        </w:rPr>
        <w:tab/>
        <w:tab/>
      </w:r>
      <w:r w:rsidRPr="00947F98" w:rsidR="00EA0C43">
        <w:rPr>
          <w:rFonts w:ascii="Book Antiqua" w:hAnsi="Book Antiqua"/>
          <w:sz w:val="22"/>
          <w:szCs w:val="22"/>
        </w:rPr>
        <w:t>Vzhľadom k to</w:t>
      </w:r>
      <w:r w:rsidRPr="00947F98" w:rsidR="00226F46">
        <w:rPr>
          <w:rFonts w:ascii="Book Antiqua" w:hAnsi="Book Antiqua"/>
          <w:sz w:val="22"/>
          <w:szCs w:val="22"/>
        </w:rPr>
        <w:t xml:space="preserve">mu, že Európska únia v </w:t>
      </w:r>
      <w:r w:rsidRPr="00947F98" w:rsidR="00EA0C43">
        <w:rPr>
          <w:rFonts w:ascii="Book Antiqua" w:hAnsi="Book Antiqua"/>
          <w:sz w:val="22"/>
          <w:szCs w:val="22"/>
        </w:rPr>
        <w:t xml:space="preserve">primárnom práve </w:t>
      </w:r>
      <w:r w:rsidRPr="00947F98" w:rsidR="00EB341E">
        <w:rPr>
          <w:rFonts w:ascii="Book Antiqua" w:hAnsi="Book Antiqua"/>
          <w:sz w:val="22"/>
          <w:szCs w:val="22"/>
        </w:rPr>
        <w:t xml:space="preserve">umožňuje </w:t>
      </w:r>
      <w:r w:rsidRPr="00947F98" w:rsidR="00EA0C43">
        <w:rPr>
          <w:rFonts w:ascii="Book Antiqua" w:hAnsi="Book Antiqua"/>
          <w:sz w:val="22"/>
          <w:szCs w:val="22"/>
        </w:rPr>
        <w:t>členským štátom zachovať alebo zaviesť prísnejšie ochranné opatrenia k dosiahnutiu cieľov týkajúcich sa ochrany spotrebiteľa podľa</w:t>
      </w:r>
      <w:r w:rsidRPr="00DD759E" w:rsidR="00EA0C43">
        <w:rPr>
          <w:rFonts w:ascii="Book Antiqua" w:hAnsi="Book Antiqua"/>
          <w:sz w:val="22"/>
          <w:szCs w:val="22"/>
        </w:rPr>
        <w:t xml:space="preserve"> čl. 169 ods. 4 Zml</w:t>
      </w:r>
      <w:r>
        <w:rPr>
          <w:rFonts w:ascii="Book Antiqua" w:hAnsi="Book Antiqua"/>
          <w:sz w:val="22"/>
          <w:szCs w:val="22"/>
        </w:rPr>
        <w:t>uvy o fungovaní Európskej únie</w:t>
      </w:r>
      <w:r w:rsidR="00226F46">
        <w:rPr>
          <w:rFonts w:ascii="Book Antiqua" w:hAnsi="Book Antiqua"/>
          <w:sz w:val="22"/>
          <w:szCs w:val="22"/>
        </w:rPr>
        <w:t xml:space="preserve">, </w:t>
      </w:r>
      <w:r w:rsidRPr="00DD759E" w:rsidR="00EB341E">
        <w:rPr>
          <w:rFonts w:ascii="Book Antiqua" w:hAnsi="Book Antiqua"/>
          <w:sz w:val="22"/>
          <w:szCs w:val="22"/>
        </w:rPr>
        <w:t>zavedenie oprávnenia pre spotrebiteľa na jednej strane a povinnosti predávajúceho na strane druhej týkajúcej sa informovania spotrebiteľa o spôsobe získania jeho telefónneho čísla p</w:t>
      </w:r>
      <w:r>
        <w:rPr>
          <w:rFonts w:ascii="Book Antiqua" w:hAnsi="Book Antiqua"/>
          <w:sz w:val="22"/>
          <w:szCs w:val="22"/>
        </w:rPr>
        <w:t xml:space="preserve">redávajúcim, </w:t>
      </w:r>
      <w:r w:rsidRPr="00947F98">
        <w:rPr>
          <w:rFonts w:ascii="Book Antiqua" w:hAnsi="Book Antiqua"/>
          <w:b/>
          <w:sz w:val="22"/>
          <w:szCs w:val="22"/>
        </w:rPr>
        <w:t>je legitímnym rozšírením úrovne ochrany spotrebiteľa zakotveným v platnom sekundárnom práve Európskej únie</w:t>
      </w:r>
      <w:r w:rsidRPr="00DD759E" w:rsidR="00EB341E">
        <w:rPr>
          <w:rFonts w:ascii="Book Antiqua" w:hAnsi="Book Antiqua"/>
          <w:sz w:val="22"/>
          <w:szCs w:val="22"/>
        </w:rPr>
        <w:t xml:space="preserve">. </w:t>
      </w:r>
      <w:r w:rsidRPr="00DD759E" w:rsidR="005C4AD1">
        <w:rPr>
          <w:rFonts w:ascii="Book Antiqua" w:hAnsi="Book Antiqua"/>
          <w:sz w:val="22"/>
          <w:szCs w:val="22"/>
        </w:rPr>
        <w:tab/>
      </w:r>
    </w:p>
    <w:p w:rsidR="00B60F4E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="00947F98">
        <w:rPr>
          <w:rFonts w:ascii="Book Antiqua" w:hAnsi="Book Antiqua"/>
          <w:sz w:val="22"/>
          <w:szCs w:val="22"/>
        </w:rPr>
        <w:tab/>
        <w:tab/>
      </w:r>
      <w:r w:rsidRPr="00947F98" w:rsidR="005C4AD1">
        <w:rPr>
          <w:rFonts w:ascii="Book Antiqua" w:hAnsi="Book Antiqua"/>
          <w:b/>
          <w:sz w:val="22"/>
          <w:szCs w:val="22"/>
        </w:rPr>
        <w:t>Zavedenie striktnejšieho režimu umožňuje i samotná smernica</w:t>
      </w:r>
      <w:r w:rsidRPr="00947F98" w:rsidR="005C4AD1">
        <w:rPr>
          <w:rFonts w:ascii="Book Antiqua" w:hAnsi="Book Antiqua"/>
          <w:b/>
          <w:bCs/>
          <w:sz w:val="22"/>
          <w:szCs w:val="22"/>
        </w:rPr>
        <w:t xml:space="preserve"> o ochrane spotrebiteľa vzhľadom na zmluvy na diaľku</w:t>
      </w:r>
      <w:r w:rsidRPr="00DD759E" w:rsidR="005C4AD1">
        <w:rPr>
          <w:rFonts w:ascii="Book Antiqua" w:hAnsi="Book Antiqua"/>
          <w:sz w:val="22"/>
          <w:szCs w:val="22"/>
        </w:rPr>
        <w:t>, a to v čl. 14</w:t>
      </w:r>
      <w:r w:rsidR="00947F98">
        <w:rPr>
          <w:rFonts w:ascii="Book Antiqua" w:hAnsi="Book Antiqua"/>
          <w:sz w:val="22"/>
          <w:szCs w:val="22"/>
        </w:rPr>
        <w:t>,</w:t>
      </w:r>
      <w:r w:rsidRPr="00DD759E" w:rsidR="005C4AD1">
        <w:rPr>
          <w:rFonts w:ascii="Book Antiqua" w:hAnsi="Book Antiqua"/>
          <w:sz w:val="22"/>
          <w:szCs w:val="22"/>
        </w:rPr>
        <w:t xml:space="preserve"> podľa ktorého členské štáty môžu zaviesť alebo udržiavať, v oblasti upravenej touto smernicou, striktnejšie ustanovenia v súlade so zmluvou na zabezpečenie vyššej úrovne ochrany spotrebiteľa. </w:t>
      </w:r>
      <w:r w:rsidRPr="00947F98" w:rsidR="00EB341E">
        <w:rPr>
          <w:rFonts w:ascii="Book Antiqua" w:hAnsi="Book Antiqua"/>
          <w:b/>
          <w:sz w:val="22"/>
          <w:szCs w:val="22"/>
        </w:rPr>
        <w:t>Zavedenie ďalšej povinnosti pre predávajúceho je taktiež v záujme ochrany spotrebiteľa a smeruje k podpore jeho práva na informácie</w:t>
      </w:r>
      <w:r w:rsidR="003017DE">
        <w:rPr>
          <w:rFonts w:ascii="Book Antiqua" w:hAnsi="Book Antiqua"/>
          <w:b/>
          <w:sz w:val="22"/>
          <w:szCs w:val="22"/>
        </w:rPr>
        <w:t xml:space="preserve"> a práva na ochranu osobných údajov.</w:t>
      </w:r>
    </w:p>
    <w:p w:rsidR="003017DE" w:rsidRPr="007750B2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ab/>
      </w:r>
      <w:r w:rsidR="007750B2">
        <w:rPr>
          <w:rFonts w:ascii="Book Antiqua" w:hAnsi="Book Antiqua"/>
          <w:sz w:val="22"/>
          <w:szCs w:val="22"/>
        </w:rPr>
        <w:t>Podľa zákona č. 122/2013 Z. z. o ochrane osobných údajov a o zmene a doplnení niektorých zákonov (ďalej len „zákon o ochrane osobných údajov“) má totiž prevádzkovateľ, ktorý získa osobné údaje dotknutej osoby (napr. spotrebiteľa) bez jej vedomia alebo aj priamo od nej, povinnosť poskytnúť tejto dotknutej osobe základné informácie o spracúvaní jej osobných údajov hneď pri prvom kontakte (§ 15 ods. 8), ktorým môže byť aj telefonická komunikácia na účely zásielkového obchodu alebo priameho marketingu.</w:t>
      </w:r>
      <w:r w:rsidR="0040288E">
        <w:rPr>
          <w:rFonts w:ascii="Book Antiqua" w:hAnsi="Book Antiqua"/>
          <w:sz w:val="22"/>
          <w:szCs w:val="22"/>
        </w:rPr>
        <w:t xml:space="preserve"> </w:t>
      </w:r>
      <w:r w:rsidRPr="000A0316" w:rsidR="0040288E">
        <w:rPr>
          <w:rFonts w:ascii="Book Antiqua" w:hAnsi="Book Antiqua"/>
          <w:b/>
          <w:sz w:val="22"/>
          <w:szCs w:val="22"/>
        </w:rPr>
        <w:t>Návrh zákona v tomto smere precizuje právnu úpravu a explicitne vyjadruje túto povinnosť</w:t>
      </w:r>
      <w:r w:rsidR="0040288E">
        <w:rPr>
          <w:rFonts w:ascii="Book Antiqua" w:hAnsi="Book Antiqua"/>
          <w:sz w:val="22"/>
          <w:szCs w:val="22"/>
        </w:rPr>
        <w:t xml:space="preserve"> aj vo vzťahu k zákonu </w:t>
      </w:r>
      <w:r w:rsidRPr="00353039" w:rsidR="0040288E">
        <w:rPr>
          <w:rFonts w:ascii="Book Antiqua" w:hAnsi="Book Antiqua"/>
          <w:sz w:val="22"/>
          <w:szCs w:val="22"/>
        </w:rPr>
        <w:t>č. 102/2014 Z.z. o ochrane spotrebiteľa pri predaji tovaru alebo poskytovaní služieb na  základe zmluvy uzavretej na diaľku alebo zmluvy uzavretej mimo prevádzkových priestorov predávajúceho a o zmene a doplnení niekt</w:t>
      </w:r>
      <w:r w:rsidR="0040288E">
        <w:rPr>
          <w:rFonts w:ascii="Book Antiqua" w:hAnsi="Book Antiqua"/>
          <w:sz w:val="22"/>
          <w:szCs w:val="22"/>
        </w:rPr>
        <w:t>orých zákonov v znení zákona č. </w:t>
      </w:r>
      <w:r w:rsidRPr="00353039" w:rsidR="0040288E">
        <w:rPr>
          <w:rFonts w:ascii="Book Antiqua" w:hAnsi="Book Antiqua"/>
          <w:sz w:val="22"/>
          <w:szCs w:val="22"/>
        </w:rPr>
        <w:t xml:space="preserve">151/2014 Z.z. </w:t>
      </w:r>
      <w:r w:rsidR="0040288E">
        <w:rPr>
          <w:rFonts w:ascii="Book Antiqua" w:hAnsi="Book Antiqua"/>
          <w:sz w:val="22"/>
          <w:szCs w:val="22"/>
        </w:rPr>
        <w:t>(ďalej len „zákon o ochrane spotrebiteľa“).</w:t>
      </w:r>
    </w:p>
    <w:p w:rsidR="0040288E" w:rsidRPr="001D70CC" w:rsidP="0040288E">
      <w:pPr>
        <w:pStyle w:val="NormalWeb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 w:rsidR="00493CF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Keďže</w:t>
      </w:r>
      <w:r w:rsidRPr="00DD759E" w:rsidR="00493CFB">
        <w:rPr>
          <w:rFonts w:ascii="Book Antiqua" w:hAnsi="Book Antiqua"/>
          <w:sz w:val="22"/>
          <w:szCs w:val="22"/>
        </w:rPr>
        <w:t xml:space="preserve"> dozor nad dodržiav</w:t>
      </w:r>
      <w:r w:rsidR="00165E64">
        <w:rPr>
          <w:rFonts w:ascii="Book Antiqua" w:hAnsi="Book Antiqua"/>
          <w:sz w:val="22"/>
          <w:szCs w:val="22"/>
        </w:rPr>
        <w:t>aním zákona a ukladanie pokút sú</w:t>
      </w:r>
      <w:r w:rsidR="00353039">
        <w:rPr>
          <w:rFonts w:ascii="Book Antiqua" w:hAnsi="Book Antiqua"/>
          <w:sz w:val="22"/>
          <w:szCs w:val="22"/>
        </w:rPr>
        <w:t xml:space="preserve"> v </w:t>
      </w:r>
      <w:r w:rsidRPr="00353039" w:rsidR="00353039">
        <w:rPr>
          <w:rFonts w:ascii="Book Antiqua" w:hAnsi="Book Antiqua"/>
          <w:sz w:val="22"/>
          <w:szCs w:val="22"/>
        </w:rPr>
        <w:t>zákon</w:t>
      </w:r>
      <w:r w:rsidR="00353039">
        <w:rPr>
          <w:rFonts w:ascii="Book Antiqua" w:hAnsi="Book Antiqua"/>
          <w:sz w:val="22"/>
          <w:szCs w:val="22"/>
        </w:rPr>
        <w:t>e</w:t>
      </w:r>
      <w:r w:rsidRPr="00353039" w:rsidR="0035303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o ochrane spotrebiteľa </w:t>
      </w:r>
      <w:r w:rsidRPr="00DD759E" w:rsidR="00493CFB">
        <w:rPr>
          <w:rFonts w:ascii="Book Antiqua" w:hAnsi="Book Antiqua"/>
          <w:sz w:val="22"/>
          <w:szCs w:val="22"/>
        </w:rPr>
        <w:t>už</w:t>
      </w:r>
      <w:r w:rsidR="00353039">
        <w:rPr>
          <w:rFonts w:ascii="Book Antiqua" w:hAnsi="Book Antiqua"/>
          <w:sz w:val="22"/>
          <w:szCs w:val="22"/>
        </w:rPr>
        <w:t xml:space="preserve"> upravené, konkrétne v § 15</w:t>
      </w:r>
      <w:r w:rsidRPr="00DD759E" w:rsidR="00493CFB">
        <w:rPr>
          <w:rFonts w:ascii="Book Antiqua" w:hAnsi="Book Antiqua"/>
          <w:sz w:val="22"/>
          <w:szCs w:val="22"/>
        </w:rPr>
        <w:t xml:space="preserve"> ods.</w:t>
      </w:r>
      <w:r w:rsidRPr="00DD759E" w:rsidR="005C4AD1">
        <w:rPr>
          <w:rFonts w:ascii="Book Antiqua" w:hAnsi="Book Antiqua"/>
          <w:sz w:val="22"/>
          <w:szCs w:val="22"/>
        </w:rPr>
        <w:t xml:space="preserve"> </w:t>
      </w:r>
      <w:r w:rsidR="00165E64">
        <w:rPr>
          <w:rFonts w:ascii="Book Antiqua" w:hAnsi="Book Antiqua"/>
          <w:sz w:val="22"/>
          <w:szCs w:val="22"/>
        </w:rPr>
        <w:t>2</w:t>
      </w:r>
      <w:r w:rsidR="00353039">
        <w:rPr>
          <w:rFonts w:ascii="Book Antiqua" w:hAnsi="Book Antiqua"/>
          <w:sz w:val="22"/>
          <w:szCs w:val="22"/>
        </w:rPr>
        <w:t xml:space="preserve"> písm. b)</w:t>
      </w:r>
      <w:r w:rsidR="00165E64">
        <w:rPr>
          <w:rFonts w:ascii="Book Antiqua" w:hAnsi="Book Antiqua"/>
          <w:sz w:val="22"/>
          <w:szCs w:val="22"/>
        </w:rPr>
        <w:t xml:space="preserve">, nebolo potrebné ich týmto návrhom zákona </w:t>
      </w:r>
      <w:r w:rsidRPr="00DD759E" w:rsidR="00493CFB">
        <w:rPr>
          <w:rFonts w:ascii="Book Antiqua" w:hAnsi="Book Antiqua"/>
          <w:sz w:val="22"/>
          <w:szCs w:val="22"/>
        </w:rPr>
        <w:t>meniť. Ak predávajúci v súvislosti s navrhovanou</w:t>
      </w:r>
      <w:r w:rsidR="00353039">
        <w:rPr>
          <w:rFonts w:ascii="Book Antiqua" w:hAnsi="Book Antiqua"/>
          <w:sz w:val="22"/>
          <w:szCs w:val="22"/>
        </w:rPr>
        <w:t xml:space="preserve"> úpravou poruší ustanovenie § 5 ods. 1</w:t>
      </w:r>
      <w:r w:rsidRPr="00DD759E" w:rsidR="00493CFB">
        <w:rPr>
          <w:rFonts w:ascii="Book Antiqua" w:hAnsi="Book Antiqua"/>
          <w:sz w:val="22"/>
          <w:szCs w:val="22"/>
        </w:rPr>
        <w:t xml:space="preserve"> a</w:t>
      </w:r>
      <w:r w:rsidRPr="00DD759E" w:rsidR="000F3FC5">
        <w:rPr>
          <w:rFonts w:ascii="Book Antiqua" w:hAnsi="Book Antiqua"/>
          <w:sz w:val="22"/>
          <w:szCs w:val="22"/>
        </w:rPr>
        <w:t xml:space="preserve"> spotrebiteľovi neoznámi spôsob získania </w:t>
      </w:r>
      <w:r w:rsidR="00165E64">
        <w:rPr>
          <w:rFonts w:ascii="Book Antiqua" w:hAnsi="Book Antiqua"/>
          <w:sz w:val="22"/>
          <w:szCs w:val="22"/>
        </w:rPr>
        <w:t xml:space="preserve">jeho telefónneho čísla už na </w:t>
      </w:r>
      <w:r w:rsidRPr="00DD759E" w:rsidR="00C332D4">
        <w:rPr>
          <w:rFonts w:ascii="Book Antiqua" w:hAnsi="Book Antiqua"/>
          <w:sz w:val="22"/>
          <w:szCs w:val="22"/>
        </w:rPr>
        <w:t xml:space="preserve">začiatku komunikácie, orgán dozoru bude oprávnený predávajúcemu </w:t>
      </w:r>
      <w:r w:rsidRPr="00DD759E" w:rsidR="005C4AD1">
        <w:rPr>
          <w:rFonts w:ascii="Book Antiqua" w:hAnsi="Book Antiqua"/>
          <w:sz w:val="22"/>
          <w:szCs w:val="22"/>
        </w:rPr>
        <w:t>za porušenie</w:t>
      </w:r>
      <w:r w:rsidR="00165E64">
        <w:rPr>
          <w:rFonts w:ascii="Book Antiqua" w:hAnsi="Book Antiqua"/>
          <w:sz w:val="22"/>
          <w:szCs w:val="22"/>
        </w:rPr>
        <w:t xml:space="preserve"> tejto povinnosti</w:t>
      </w:r>
      <w:r w:rsidRPr="00DD759E" w:rsidR="005C4AD1">
        <w:rPr>
          <w:rFonts w:ascii="Book Antiqua" w:hAnsi="Book Antiqua"/>
          <w:sz w:val="22"/>
          <w:szCs w:val="22"/>
        </w:rPr>
        <w:t xml:space="preserve"> </w:t>
      </w:r>
      <w:r w:rsidRPr="00DD759E" w:rsidR="00C332D4">
        <w:rPr>
          <w:rFonts w:ascii="Book Antiqua" w:hAnsi="Book Antiqua"/>
          <w:sz w:val="22"/>
          <w:szCs w:val="22"/>
        </w:rPr>
        <w:t>ul</w:t>
      </w:r>
      <w:r w:rsidR="00353039">
        <w:rPr>
          <w:rFonts w:ascii="Book Antiqua" w:hAnsi="Book Antiqua"/>
          <w:sz w:val="22"/>
          <w:szCs w:val="22"/>
        </w:rPr>
        <w:t>ožiť pokutu až do výšky 10 000</w:t>
      </w:r>
      <w:r w:rsidR="00165E64">
        <w:rPr>
          <w:rFonts w:ascii="Book Antiqua" w:hAnsi="Book Antiqua"/>
          <w:sz w:val="22"/>
          <w:szCs w:val="22"/>
        </w:rPr>
        <w:t xml:space="preserve"> €</w:t>
      </w:r>
      <w:r w:rsidRPr="00DD759E" w:rsidR="00C332D4">
        <w:rPr>
          <w:rFonts w:ascii="Book Antiqua" w:hAnsi="Book Antiqua"/>
          <w:sz w:val="22"/>
          <w:szCs w:val="22"/>
        </w:rPr>
        <w:t xml:space="preserve">. </w:t>
      </w:r>
    </w:p>
    <w:p w:rsidR="00353039" w:rsidRPr="00442726" w:rsidP="000A0316">
      <w:pPr>
        <w:pStyle w:val="NormalWeb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40288E">
        <w:rPr>
          <w:rFonts w:ascii="Book Antiqua" w:hAnsi="Book Antiqua"/>
          <w:sz w:val="22"/>
          <w:szCs w:val="22"/>
        </w:rPr>
        <w:t>Vzhľadom k potenciálnym námietkam voči návrhu zákona je nevyhnutné uviesť, že cieľom predkladanej právnej úpravy nebolo riešiť anonymné telefonáty</w:t>
      </w:r>
      <w:r w:rsidR="000A0316">
        <w:rPr>
          <w:rFonts w:ascii="Book Antiqua" w:hAnsi="Book Antiqua"/>
          <w:sz w:val="22"/>
          <w:szCs w:val="22"/>
        </w:rPr>
        <w:t>,</w:t>
      </w:r>
      <w:r w:rsidR="0040288E">
        <w:rPr>
          <w:rFonts w:ascii="Book Antiqua" w:hAnsi="Book Antiqua"/>
          <w:sz w:val="22"/>
          <w:szCs w:val="22"/>
        </w:rPr>
        <w:t xml:space="preserve"> prípadne tendenčné telefonáty, ktorými by chcel niekto poškodiť konkurenčnej firme. K prvej situácii – anonymným telefonátom – je nutn</w:t>
      </w:r>
      <w:r w:rsidR="00442726">
        <w:rPr>
          <w:rFonts w:ascii="Book Antiqua" w:hAnsi="Book Antiqua"/>
          <w:sz w:val="22"/>
          <w:szCs w:val="22"/>
        </w:rPr>
        <w:t xml:space="preserve">é uviesť, že </w:t>
      </w:r>
      <w:r w:rsidR="0040288E">
        <w:rPr>
          <w:rFonts w:ascii="Book Antiqua" w:hAnsi="Book Antiqua"/>
          <w:sz w:val="22"/>
          <w:szCs w:val="22"/>
        </w:rPr>
        <w:t>z</w:t>
      </w:r>
      <w:r w:rsidR="00442726">
        <w:rPr>
          <w:rFonts w:ascii="Book Antiqua" w:hAnsi="Book Antiqua"/>
          <w:sz w:val="22"/>
          <w:szCs w:val="22"/>
        </w:rPr>
        <w:t>ákon o ochrane spotrebiteľa takého hovory v podstate eliminuje, keďže zavádza povinnosť uvedenia identifikačných údajov volajúceho ešte na začiatku hovoru. Čo sa poškodzovania konkrétnej firmy týka, túto situáciu ošetruje § </w:t>
      </w:r>
      <w:r w:rsidRPr="001D70CC" w:rsidR="0040288E">
        <w:rPr>
          <w:rFonts w:ascii="Book Antiqua" w:hAnsi="Book Antiqua"/>
          <w:sz w:val="22"/>
          <w:szCs w:val="22"/>
        </w:rPr>
        <w:t>12</w:t>
      </w:r>
      <w:r w:rsidR="000A0316">
        <w:rPr>
          <w:rFonts w:ascii="Book Antiqua" w:hAnsi="Book Antiqua"/>
          <w:sz w:val="22"/>
          <w:szCs w:val="22"/>
        </w:rPr>
        <w:t xml:space="preserve"> zákona č. 513/1991 Zb. Obchodný zákonník v znení neskorších predpisov</w:t>
      </w:r>
      <w:r w:rsidR="00442726">
        <w:rPr>
          <w:rFonts w:ascii="Book Antiqua" w:hAnsi="Book Antiqua"/>
          <w:sz w:val="22"/>
          <w:szCs w:val="22"/>
        </w:rPr>
        <w:t xml:space="preserve"> obsahujúci ustanovenia o </w:t>
      </w:r>
      <w:r w:rsidRPr="001D70CC" w:rsidR="0040288E">
        <w:rPr>
          <w:rFonts w:ascii="Book Antiqua" w:hAnsi="Book Antiqua"/>
          <w:sz w:val="22"/>
          <w:szCs w:val="22"/>
        </w:rPr>
        <w:t xml:space="preserve">neoprávnenom používaní obchodného mena. </w:t>
      </w:r>
    </w:p>
    <w:p w:rsidR="00353039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B09D4" w:rsidRPr="00DD759E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D759E">
        <w:rPr>
          <w:rFonts w:ascii="Book Antiqua" w:hAnsi="Book Antiqua"/>
          <w:b/>
          <w:bCs/>
          <w:sz w:val="22"/>
          <w:szCs w:val="22"/>
        </w:rPr>
        <w:t>K Čl. II</w:t>
      </w:r>
    </w:p>
    <w:p w:rsidR="00EB09D4" w:rsidRPr="00966A57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D759E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18663C" w:rsidRPr="00DD759E" w:rsidP="008C0FA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 w:rsidR="00A95989">
        <w:rPr>
          <w:rFonts w:ascii="Book Antiqua" w:hAnsi="Book Antiqua"/>
          <w:color w:val="0070C0"/>
          <w:sz w:val="22"/>
          <w:szCs w:val="22"/>
        </w:rPr>
        <w:tab/>
      </w:r>
      <w:r w:rsidRPr="00DD759E" w:rsidR="00A95989">
        <w:rPr>
          <w:rFonts w:ascii="Book Antiqua" w:hAnsi="Book Antiqua"/>
          <w:sz w:val="22"/>
          <w:szCs w:val="22"/>
        </w:rPr>
        <w:t xml:space="preserve">Pojem priamy marketing ako interaktívna metóda marketingu založená na báze vytvorenia istej databanky, ktorá obsahuje zoznam zákazníkov a slúži na </w:t>
      </w:r>
      <w:r w:rsidRPr="00DD759E" w:rsidR="008166D4">
        <w:rPr>
          <w:rFonts w:ascii="Book Antiqua" w:hAnsi="Book Antiqua"/>
          <w:sz w:val="22"/>
          <w:szCs w:val="22"/>
        </w:rPr>
        <w:t>konkrétne sledovanie a vyhodnocovanie účinku reklamy u jednotlivých zákazníkov, pričom umožňuje priam</w:t>
      </w:r>
      <w:r w:rsidRPr="00DD759E" w:rsidR="005C4AD1">
        <w:rPr>
          <w:rFonts w:ascii="Book Antiqua" w:hAnsi="Book Antiqua"/>
          <w:sz w:val="22"/>
          <w:szCs w:val="22"/>
        </w:rPr>
        <w:t>u</w:t>
      </w:r>
      <w:r w:rsidRPr="00DD759E" w:rsidR="008166D4">
        <w:rPr>
          <w:rFonts w:ascii="Book Antiqua" w:hAnsi="Book Antiqua"/>
          <w:sz w:val="22"/>
          <w:szCs w:val="22"/>
        </w:rPr>
        <w:t xml:space="preserve"> komunikáciu napr. telefónom</w:t>
      </w:r>
      <w:r w:rsidRPr="00DD759E" w:rsidR="005C4AD1">
        <w:rPr>
          <w:rFonts w:ascii="Book Antiqua" w:hAnsi="Book Antiqua"/>
          <w:sz w:val="22"/>
          <w:szCs w:val="22"/>
        </w:rPr>
        <w:t>,</w:t>
      </w:r>
      <w:r w:rsidRPr="00DD759E" w:rsidR="008166D4">
        <w:rPr>
          <w:rFonts w:ascii="Book Antiqua" w:hAnsi="Book Antiqua"/>
          <w:sz w:val="22"/>
          <w:szCs w:val="22"/>
        </w:rPr>
        <w:t xml:space="preserve"> je upravený v § 62 ods. 2 a 3 zákona č. 351/2011 Z. z. o elektronických komunikáciách v znení neskorších predpisov</w:t>
      </w:r>
      <w:r w:rsidRPr="00DD759E" w:rsidR="00FA05BE">
        <w:rPr>
          <w:rFonts w:ascii="Book Antiqua" w:hAnsi="Book Antiqua"/>
          <w:sz w:val="22"/>
          <w:szCs w:val="22"/>
        </w:rPr>
        <w:t xml:space="preserve"> (ďalej len „zákon o elektronických komunikáciách)</w:t>
      </w:r>
      <w:r w:rsidRPr="00DD759E" w:rsidR="008166D4">
        <w:rPr>
          <w:rFonts w:ascii="Book Antiqua" w:hAnsi="Book Antiqua"/>
          <w:sz w:val="22"/>
          <w:szCs w:val="22"/>
        </w:rPr>
        <w:t xml:space="preserve">. </w:t>
      </w:r>
    </w:p>
    <w:p w:rsidR="00900988" w:rsidRPr="00DD759E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sz w:val="22"/>
          <w:szCs w:val="22"/>
        </w:rPr>
        <w:t>C</w:t>
      </w:r>
      <w:r w:rsidRPr="00DD759E" w:rsidR="001A7D2F">
        <w:rPr>
          <w:rFonts w:ascii="Book Antiqua" w:hAnsi="Book Antiqua"/>
          <w:sz w:val="22"/>
          <w:szCs w:val="22"/>
        </w:rPr>
        <w:t xml:space="preserve">ieľom </w:t>
      </w:r>
      <w:r w:rsidRPr="00DD759E" w:rsidR="002E6D8F">
        <w:rPr>
          <w:rFonts w:ascii="Book Antiqua" w:hAnsi="Book Antiqua"/>
          <w:sz w:val="22"/>
          <w:szCs w:val="22"/>
        </w:rPr>
        <w:t xml:space="preserve">priameho marketingu </w:t>
      </w:r>
      <w:r w:rsidRPr="00DD759E" w:rsidR="001A7D2F">
        <w:rPr>
          <w:rFonts w:ascii="Book Antiqua" w:hAnsi="Book Antiqua"/>
          <w:sz w:val="22"/>
          <w:szCs w:val="22"/>
        </w:rPr>
        <w:t>z hľadiska výrobcu je nájsť vhodných zákazníkov ochotných nakúpiť čo najviac výrobkov</w:t>
      </w:r>
      <w:r w:rsidRPr="00DD759E">
        <w:rPr>
          <w:rFonts w:ascii="Book Antiqua" w:hAnsi="Book Antiqua"/>
          <w:sz w:val="22"/>
          <w:szCs w:val="22"/>
        </w:rPr>
        <w:t>. Na tieto účely s</w:t>
      </w:r>
      <w:r w:rsidR="008244C3">
        <w:rPr>
          <w:rFonts w:ascii="Book Antiqua" w:hAnsi="Book Antiqua"/>
          <w:sz w:val="22"/>
          <w:szCs w:val="22"/>
        </w:rPr>
        <w:t>a často využíva prezentovanie a </w:t>
      </w:r>
      <w:r w:rsidRPr="00DD759E">
        <w:rPr>
          <w:rFonts w:ascii="Book Antiqua" w:hAnsi="Book Antiqua"/>
          <w:sz w:val="22"/>
          <w:szCs w:val="22"/>
        </w:rPr>
        <w:t>ponúkanie tovarov a sl</w:t>
      </w:r>
      <w:r w:rsidR="00947F98">
        <w:rPr>
          <w:rFonts w:ascii="Book Antiqua" w:hAnsi="Book Antiqua"/>
          <w:sz w:val="22"/>
          <w:szCs w:val="22"/>
        </w:rPr>
        <w:t>užieb prostredníctvom telefonickej komunikácie</w:t>
      </w:r>
      <w:r w:rsidRPr="00DD759E">
        <w:rPr>
          <w:rFonts w:ascii="Book Antiqua" w:hAnsi="Book Antiqua"/>
          <w:sz w:val="22"/>
          <w:szCs w:val="22"/>
        </w:rPr>
        <w:t xml:space="preserve"> a oslovo</w:t>
      </w:r>
      <w:r w:rsidR="00165E64">
        <w:rPr>
          <w:rFonts w:ascii="Book Antiqua" w:hAnsi="Book Antiqua"/>
          <w:sz w:val="22"/>
          <w:szCs w:val="22"/>
        </w:rPr>
        <w:t xml:space="preserve">vania širokej škály verejnosti. </w:t>
      </w:r>
      <w:r w:rsidRPr="00DD759E" w:rsidR="005C4AD1">
        <w:rPr>
          <w:rFonts w:ascii="Book Antiqua" w:hAnsi="Book Antiqua"/>
          <w:sz w:val="22"/>
          <w:szCs w:val="22"/>
        </w:rPr>
        <w:t xml:space="preserve">Z toho dôvodu </w:t>
      </w:r>
      <w:r w:rsidRPr="007750B2" w:rsidR="005C4AD1">
        <w:rPr>
          <w:rFonts w:ascii="Book Antiqua" w:hAnsi="Book Antiqua"/>
          <w:b/>
          <w:sz w:val="22"/>
          <w:szCs w:val="22"/>
        </w:rPr>
        <w:t xml:space="preserve">sa navrhuje </w:t>
      </w:r>
      <w:r w:rsidRPr="007750B2" w:rsidR="008C7E3F">
        <w:rPr>
          <w:rFonts w:ascii="Book Antiqua" w:hAnsi="Book Antiqua"/>
          <w:b/>
          <w:sz w:val="22"/>
          <w:szCs w:val="22"/>
        </w:rPr>
        <w:t xml:space="preserve">doplniť zákon </w:t>
      </w:r>
      <w:r w:rsidRPr="007750B2" w:rsidR="003A3A71">
        <w:rPr>
          <w:rFonts w:ascii="Book Antiqua" w:hAnsi="Book Antiqua"/>
          <w:b/>
          <w:sz w:val="22"/>
          <w:szCs w:val="22"/>
        </w:rPr>
        <w:t xml:space="preserve">o reklame </w:t>
      </w:r>
      <w:r w:rsidRPr="007750B2" w:rsidR="008C7E3F">
        <w:rPr>
          <w:rFonts w:ascii="Book Antiqua" w:hAnsi="Book Antiqua"/>
          <w:b/>
          <w:sz w:val="22"/>
          <w:szCs w:val="22"/>
        </w:rPr>
        <w:t xml:space="preserve">tak, </w:t>
      </w:r>
      <w:r w:rsidRPr="007750B2">
        <w:rPr>
          <w:rFonts w:ascii="Book Antiqua" w:hAnsi="Book Antiqua"/>
          <w:b/>
          <w:sz w:val="22"/>
          <w:szCs w:val="22"/>
        </w:rPr>
        <w:t>aby</w:t>
      </w:r>
      <w:r w:rsidRPr="007750B2" w:rsidR="008A0B38">
        <w:rPr>
          <w:rFonts w:ascii="Book Antiqua" w:hAnsi="Book Antiqua"/>
          <w:b/>
          <w:sz w:val="22"/>
          <w:szCs w:val="22"/>
        </w:rPr>
        <w:t xml:space="preserve"> </w:t>
      </w:r>
      <w:r w:rsidRPr="007750B2" w:rsidR="001A7D2F">
        <w:rPr>
          <w:rFonts w:ascii="Book Antiqua" w:hAnsi="Book Antiqua"/>
          <w:b/>
          <w:sz w:val="22"/>
          <w:szCs w:val="22"/>
        </w:rPr>
        <w:t>šírenie</w:t>
      </w:r>
      <w:r w:rsidRPr="00DD759E" w:rsidR="001A7D2F">
        <w:rPr>
          <w:rFonts w:ascii="Book Antiqua" w:hAnsi="Book Antiqua"/>
          <w:b/>
          <w:sz w:val="22"/>
          <w:szCs w:val="22"/>
        </w:rPr>
        <w:t xml:space="preserve"> reklamy bolo podmienené </w:t>
      </w:r>
      <w:r w:rsidR="00947F98">
        <w:rPr>
          <w:rFonts w:ascii="Book Antiqua" w:hAnsi="Book Antiqua"/>
          <w:b/>
          <w:sz w:val="22"/>
          <w:szCs w:val="22"/>
        </w:rPr>
        <w:t xml:space="preserve">predchádzajúcim </w:t>
      </w:r>
      <w:r w:rsidRPr="00DD759E" w:rsidR="001A7D2F">
        <w:rPr>
          <w:rFonts w:ascii="Book Antiqua" w:hAnsi="Book Antiqua"/>
          <w:b/>
          <w:sz w:val="22"/>
          <w:szCs w:val="22"/>
        </w:rPr>
        <w:t xml:space="preserve">súhlasom </w:t>
      </w:r>
      <w:r w:rsidR="00947F98">
        <w:rPr>
          <w:rFonts w:ascii="Book Antiqua" w:hAnsi="Book Antiqua"/>
          <w:b/>
          <w:sz w:val="22"/>
          <w:szCs w:val="22"/>
        </w:rPr>
        <w:t xml:space="preserve">príjemcu reklamy (spotrebiteľa) </w:t>
      </w:r>
      <w:r w:rsidRPr="00DD759E" w:rsidR="001A7D2F">
        <w:rPr>
          <w:rFonts w:ascii="Book Antiqua" w:hAnsi="Book Antiqua"/>
          <w:b/>
          <w:sz w:val="22"/>
          <w:szCs w:val="22"/>
        </w:rPr>
        <w:t>aj na prípady šírenia reklamy telefónom</w:t>
      </w:r>
      <w:r w:rsidRPr="00DD759E" w:rsidR="001A7D2F">
        <w:rPr>
          <w:rFonts w:ascii="Book Antiqua" w:hAnsi="Book Antiqua"/>
          <w:sz w:val="22"/>
          <w:szCs w:val="22"/>
        </w:rPr>
        <w:t xml:space="preserve">. </w:t>
      </w:r>
      <w:r w:rsidRPr="00DD759E" w:rsidR="005662DE">
        <w:rPr>
          <w:rFonts w:ascii="Book Antiqua" w:hAnsi="Book Antiqua"/>
          <w:sz w:val="22"/>
          <w:szCs w:val="22"/>
        </w:rPr>
        <w:t xml:space="preserve"> </w:t>
      </w:r>
    </w:p>
    <w:p w:rsidR="001A7D2F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D759E" w:rsidR="00900988">
        <w:rPr>
          <w:rFonts w:ascii="Book Antiqua" w:hAnsi="Book Antiqua"/>
          <w:sz w:val="22"/>
          <w:szCs w:val="22"/>
        </w:rPr>
        <w:t>V súčasnosti je šírenie reklamy podmienené predchádzajúcim súhlasom príjemcu reklamy len v prípadoch šírenia prostredníctvom automatick</w:t>
      </w:r>
      <w:r w:rsidRPr="00DD759E" w:rsidR="00604107">
        <w:rPr>
          <w:rFonts w:ascii="Book Antiqua" w:hAnsi="Book Antiqua"/>
          <w:sz w:val="22"/>
          <w:szCs w:val="22"/>
        </w:rPr>
        <w:t>ého</w:t>
      </w:r>
      <w:r w:rsidRPr="00DD759E" w:rsidR="00900988">
        <w:rPr>
          <w:rFonts w:ascii="Book Antiqua" w:hAnsi="Book Antiqua"/>
          <w:sz w:val="22"/>
          <w:szCs w:val="22"/>
        </w:rPr>
        <w:t xml:space="preserve"> telefonick</w:t>
      </w:r>
      <w:r w:rsidRPr="00DD759E" w:rsidR="00604107">
        <w:rPr>
          <w:rFonts w:ascii="Book Antiqua" w:hAnsi="Book Antiqua"/>
          <w:sz w:val="22"/>
          <w:szCs w:val="22"/>
        </w:rPr>
        <w:t>ého</w:t>
      </w:r>
      <w:r w:rsidRPr="00DD759E" w:rsidR="00900988">
        <w:rPr>
          <w:rFonts w:ascii="Book Antiqua" w:hAnsi="Book Antiqua"/>
          <w:sz w:val="22"/>
          <w:szCs w:val="22"/>
        </w:rPr>
        <w:t xml:space="preserve"> volac</w:t>
      </w:r>
      <w:r w:rsidRPr="00DD759E" w:rsidR="00604107">
        <w:rPr>
          <w:rFonts w:ascii="Book Antiqua" w:hAnsi="Book Antiqua"/>
          <w:sz w:val="22"/>
          <w:szCs w:val="22"/>
        </w:rPr>
        <w:t>ieho</w:t>
      </w:r>
      <w:r w:rsidRPr="00DD759E" w:rsidR="00900988">
        <w:rPr>
          <w:rFonts w:ascii="Book Antiqua" w:hAnsi="Book Antiqua"/>
          <w:sz w:val="22"/>
          <w:szCs w:val="22"/>
        </w:rPr>
        <w:t xml:space="preserve"> systém</w:t>
      </w:r>
      <w:r w:rsidRPr="00DD759E" w:rsidR="00604107">
        <w:rPr>
          <w:rFonts w:ascii="Book Antiqua" w:hAnsi="Book Antiqua"/>
          <w:sz w:val="22"/>
          <w:szCs w:val="22"/>
        </w:rPr>
        <w:t>u</w:t>
      </w:r>
      <w:r w:rsidRPr="00DD759E" w:rsidR="00900988">
        <w:rPr>
          <w:rFonts w:ascii="Book Antiqua" w:hAnsi="Book Antiqua"/>
          <w:sz w:val="22"/>
          <w:szCs w:val="22"/>
        </w:rPr>
        <w:t>, telefax</w:t>
      </w:r>
      <w:r w:rsidRPr="00DD759E" w:rsidR="00604107">
        <w:rPr>
          <w:rFonts w:ascii="Book Antiqua" w:hAnsi="Book Antiqua"/>
          <w:sz w:val="22"/>
          <w:szCs w:val="22"/>
        </w:rPr>
        <w:t>u</w:t>
      </w:r>
      <w:r w:rsidRPr="00DD759E" w:rsidR="00900988">
        <w:rPr>
          <w:rFonts w:ascii="Book Antiqua" w:hAnsi="Book Antiqua"/>
          <w:sz w:val="22"/>
          <w:szCs w:val="22"/>
        </w:rPr>
        <w:t xml:space="preserve"> alebo elektronick</w:t>
      </w:r>
      <w:r w:rsidRPr="00DD759E" w:rsidR="00604107">
        <w:rPr>
          <w:rFonts w:ascii="Book Antiqua" w:hAnsi="Book Antiqua"/>
          <w:sz w:val="22"/>
          <w:szCs w:val="22"/>
        </w:rPr>
        <w:t>ej pošty</w:t>
      </w:r>
      <w:r w:rsidRPr="00DD759E" w:rsidR="00900988">
        <w:rPr>
          <w:rFonts w:ascii="Book Antiqua" w:hAnsi="Book Antiqua"/>
          <w:sz w:val="22"/>
          <w:szCs w:val="22"/>
        </w:rPr>
        <w:t xml:space="preserve">. Užívateľ týchto zariadení musí dať </w:t>
      </w:r>
      <w:r w:rsidR="00947F98">
        <w:rPr>
          <w:rFonts w:ascii="Book Antiqua" w:hAnsi="Book Antiqua"/>
          <w:sz w:val="22"/>
          <w:szCs w:val="22"/>
        </w:rPr>
        <w:t>súhlas, aby mu napr. na jeho e-</w:t>
      </w:r>
      <w:r w:rsidRPr="00DD759E" w:rsidR="00900988">
        <w:rPr>
          <w:rFonts w:ascii="Book Antiqua" w:hAnsi="Book Antiqua"/>
          <w:sz w:val="22"/>
          <w:szCs w:val="22"/>
        </w:rPr>
        <w:t xml:space="preserve">mailovú </w:t>
      </w:r>
      <w:r w:rsidRPr="00DD759E" w:rsidR="00604107">
        <w:rPr>
          <w:rFonts w:ascii="Book Antiqua" w:hAnsi="Book Antiqua"/>
          <w:sz w:val="22"/>
          <w:szCs w:val="22"/>
        </w:rPr>
        <w:t>adresu</w:t>
      </w:r>
      <w:r w:rsidRPr="00DD759E" w:rsidR="00900988">
        <w:rPr>
          <w:rFonts w:ascii="Book Antiqua" w:hAnsi="Book Antiqua"/>
          <w:sz w:val="22"/>
          <w:szCs w:val="22"/>
        </w:rPr>
        <w:t xml:space="preserve"> mohol byť doručený reklamný leták. V mnohých prípadoch sa však reklama môže šíriť aj prostredníctvom telefónu</w:t>
      </w:r>
      <w:r w:rsidRPr="00DD759E" w:rsidR="008C7E3F">
        <w:rPr>
          <w:rFonts w:ascii="Book Antiqua" w:hAnsi="Book Antiqua"/>
          <w:sz w:val="22"/>
          <w:szCs w:val="22"/>
        </w:rPr>
        <w:t xml:space="preserve">, pričom telefónne čísla príjemcov reklamy sú získavané rôznym spôsobom. Práve z tohto dôvodu je </w:t>
      </w:r>
      <w:r w:rsidRPr="00DD759E" w:rsidR="00604107">
        <w:rPr>
          <w:rFonts w:ascii="Book Antiqua" w:hAnsi="Book Antiqua"/>
          <w:sz w:val="22"/>
          <w:szCs w:val="22"/>
        </w:rPr>
        <w:t>účelné, aby na šírenie</w:t>
      </w:r>
      <w:r w:rsidR="00947F98">
        <w:rPr>
          <w:rFonts w:ascii="Book Antiqua" w:hAnsi="Book Antiqua"/>
          <w:sz w:val="22"/>
          <w:szCs w:val="22"/>
        </w:rPr>
        <w:t xml:space="preserve"> reklamy cez telefón </w:t>
      </w:r>
      <w:r w:rsidRPr="00DD759E" w:rsidR="008C7E3F">
        <w:rPr>
          <w:rFonts w:ascii="Book Antiqua" w:hAnsi="Book Antiqua"/>
          <w:sz w:val="22"/>
          <w:szCs w:val="22"/>
        </w:rPr>
        <w:t xml:space="preserve">platili rovnaké pravidlá ako na šírenie reklamy </w:t>
      </w:r>
      <w:r w:rsidR="00947F98">
        <w:rPr>
          <w:rFonts w:ascii="Book Antiqua" w:hAnsi="Book Antiqua"/>
          <w:sz w:val="22"/>
          <w:szCs w:val="22"/>
        </w:rPr>
        <w:t xml:space="preserve">                   </w:t>
      </w:r>
      <w:r w:rsidRPr="00DD759E" w:rsidR="008C7E3F">
        <w:rPr>
          <w:rFonts w:ascii="Book Antiqua" w:hAnsi="Book Antiqua"/>
          <w:sz w:val="22"/>
          <w:szCs w:val="22"/>
        </w:rPr>
        <w:t>napr. pros</w:t>
      </w:r>
      <w:r w:rsidR="007750B2">
        <w:rPr>
          <w:rFonts w:ascii="Book Antiqua" w:hAnsi="Book Antiqua"/>
          <w:sz w:val="22"/>
          <w:szCs w:val="22"/>
        </w:rPr>
        <w:t xml:space="preserve">tredníctvom elektronickej pošty, </w:t>
      </w:r>
      <w:r w:rsidRPr="007750B2" w:rsidR="007750B2">
        <w:rPr>
          <w:rFonts w:ascii="Book Antiqua" w:hAnsi="Book Antiqua"/>
          <w:b/>
          <w:sz w:val="22"/>
          <w:szCs w:val="22"/>
        </w:rPr>
        <w:t>a to aj z hľadiska práva na ochranu osobných údajov spotrebiteľa</w:t>
      </w:r>
      <w:r w:rsidR="007750B2">
        <w:rPr>
          <w:rFonts w:ascii="Book Antiqua" w:hAnsi="Book Antiqua"/>
          <w:sz w:val="22"/>
          <w:szCs w:val="22"/>
        </w:rPr>
        <w:t>.</w:t>
      </w:r>
    </w:p>
    <w:p w:rsidR="007750B2" w:rsidRPr="00DD759E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Podľa zákona č. 122/2013 Z. z. o ochrane osobných údajov a o zmene a doplnení niektorých zákonov</w:t>
      </w:r>
      <w:r w:rsidR="00606E26">
        <w:rPr>
          <w:rFonts w:ascii="Book Antiqua" w:hAnsi="Book Antiqua"/>
          <w:sz w:val="22"/>
          <w:szCs w:val="22"/>
        </w:rPr>
        <w:t xml:space="preserve"> v znení zákona  č. </w:t>
      </w:r>
      <w:r w:rsidRPr="00606E26" w:rsidR="00606E26">
        <w:rPr>
          <w:rFonts w:ascii="Book Antiqua" w:hAnsi="Book Antiqua"/>
          <w:sz w:val="22"/>
          <w:szCs w:val="22"/>
        </w:rPr>
        <w:t>84/2014 Z</w:t>
      </w:r>
      <w:r w:rsidR="00606E26">
        <w:rPr>
          <w:rFonts w:ascii="Book Antiqua" w:hAnsi="Book Antiqua"/>
          <w:sz w:val="22"/>
          <w:szCs w:val="22"/>
        </w:rPr>
        <w:t>.z.</w:t>
      </w:r>
      <w:r>
        <w:rPr>
          <w:rFonts w:ascii="Book Antiqua" w:hAnsi="Book Antiqua"/>
          <w:sz w:val="22"/>
          <w:szCs w:val="22"/>
        </w:rPr>
        <w:t xml:space="preserve"> </w:t>
      </w:r>
      <w:r w:rsidR="00606E26">
        <w:rPr>
          <w:rFonts w:ascii="Book Antiqua" w:hAnsi="Book Antiqua"/>
          <w:sz w:val="22"/>
          <w:szCs w:val="22"/>
        </w:rPr>
        <w:t xml:space="preserve">(ďalej len „zákon o ochrane osobných údajov“) </w:t>
      </w:r>
      <w:r>
        <w:rPr>
          <w:rFonts w:ascii="Book Antiqua" w:hAnsi="Book Antiqua"/>
          <w:sz w:val="22"/>
          <w:szCs w:val="22"/>
        </w:rPr>
        <w:t>má totiž dotknutá osoba (napr. spotrebiteľ) právo namietať u prevádzkovateľa spracúvanie jej osobných údajov, o ktorých predpokladá, že sú alebo budú spracúvané na účely priameho marketingu bez jej súhlasu [§ 28 ods. 3 písm. c)] a rovnako má možnosť namietať poskytovanie jej osobných údajov na účely priameho marketingu [§ 28 ods. 3 písm. c)].</w:t>
      </w:r>
    </w:p>
    <w:p w:rsidR="00442726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442726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18663C" w:rsidRPr="00DD759E" w:rsidP="008C0FA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966A57">
        <w:rPr>
          <w:rFonts w:ascii="Book Antiqua" w:hAnsi="Book Antiqua"/>
          <w:sz w:val="22"/>
          <w:szCs w:val="22"/>
          <w:u w:val="single"/>
        </w:rPr>
        <w:t>K bodom</w:t>
      </w:r>
      <w:r w:rsidRPr="00DD759E">
        <w:rPr>
          <w:rFonts w:ascii="Book Antiqua" w:hAnsi="Book Antiqua"/>
          <w:sz w:val="22"/>
          <w:szCs w:val="22"/>
          <w:u w:val="single"/>
        </w:rPr>
        <w:t xml:space="preserve"> </w:t>
      </w:r>
      <w:r w:rsidRPr="00DD759E" w:rsidR="00EB09D4">
        <w:rPr>
          <w:rFonts w:ascii="Book Antiqua" w:hAnsi="Book Antiqua"/>
          <w:sz w:val="22"/>
          <w:szCs w:val="22"/>
          <w:u w:val="single"/>
        </w:rPr>
        <w:t>2</w:t>
      </w:r>
      <w:r w:rsidRPr="00DD759E" w:rsidR="001A7D2F">
        <w:rPr>
          <w:rFonts w:ascii="Book Antiqua" w:hAnsi="Book Antiqua"/>
          <w:sz w:val="22"/>
          <w:szCs w:val="22"/>
          <w:u w:val="single"/>
        </w:rPr>
        <w:t xml:space="preserve"> a 3</w:t>
      </w:r>
    </w:p>
    <w:p w:rsidR="00442726" w:rsidP="008C0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D759E" w:rsidR="00900988">
        <w:rPr>
          <w:rFonts w:ascii="Book Antiqua" w:hAnsi="Book Antiqua"/>
          <w:sz w:val="22"/>
          <w:szCs w:val="22"/>
        </w:rPr>
        <w:t>Keďže priamy marketing je úzko spätý s rekla</w:t>
      </w:r>
      <w:r w:rsidR="00947F98">
        <w:rPr>
          <w:rFonts w:ascii="Book Antiqua" w:hAnsi="Book Antiqua"/>
          <w:sz w:val="22"/>
          <w:szCs w:val="22"/>
        </w:rPr>
        <w:t>mou, teda s prezentáciou tovaru</w:t>
      </w:r>
      <w:r w:rsidRPr="00DD759E" w:rsidR="00900988">
        <w:rPr>
          <w:rFonts w:ascii="Book Antiqua" w:hAnsi="Book Antiqua"/>
          <w:sz w:val="22"/>
          <w:szCs w:val="22"/>
        </w:rPr>
        <w:t xml:space="preserve"> a služieb s cieľom uplatniť ich na trhu</w:t>
      </w:r>
      <w:r w:rsidR="00947F98">
        <w:rPr>
          <w:rFonts w:ascii="Book Antiqua" w:hAnsi="Book Antiqua"/>
          <w:sz w:val="22"/>
          <w:szCs w:val="22"/>
        </w:rPr>
        <w:t>,</w:t>
      </w:r>
      <w:r w:rsidRPr="00DD759E" w:rsidR="00900988">
        <w:rPr>
          <w:rFonts w:ascii="Book Antiqua" w:hAnsi="Book Antiqua"/>
          <w:sz w:val="22"/>
          <w:szCs w:val="22"/>
        </w:rPr>
        <w:t xml:space="preserve"> </w:t>
      </w:r>
      <w:r w:rsidRPr="00DD759E" w:rsidR="008C7E3F">
        <w:rPr>
          <w:rFonts w:ascii="Book Antiqua" w:hAnsi="Book Antiqua"/>
          <w:sz w:val="22"/>
          <w:szCs w:val="22"/>
        </w:rPr>
        <w:t>navrhuje sa</w:t>
      </w:r>
      <w:r w:rsidRPr="00DD759E" w:rsidR="00E36C1E">
        <w:rPr>
          <w:rFonts w:ascii="Book Antiqua" w:hAnsi="Book Antiqua"/>
          <w:sz w:val="22"/>
          <w:szCs w:val="22"/>
        </w:rPr>
        <w:t>, analogicky s poukazom na zákon o elektronických komunikáciách, sprísniť režim predchádzajúceho súhlasu</w:t>
      </w:r>
      <w:r w:rsidR="00947F98">
        <w:rPr>
          <w:rFonts w:ascii="Book Antiqua" w:hAnsi="Book Antiqua"/>
          <w:sz w:val="22"/>
          <w:szCs w:val="22"/>
        </w:rPr>
        <w:t xml:space="preserve">, pokiaľ ide o jeho preukázateľnosť. </w:t>
      </w:r>
      <w:r w:rsidRPr="00DD759E" w:rsidR="00E36C1E">
        <w:rPr>
          <w:rFonts w:ascii="Book Antiqua" w:hAnsi="Book Antiqua"/>
          <w:sz w:val="22"/>
          <w:szCs w:val="22"/>
        </w:rPr>
        <w:t xml:space="preserve">Osoba, ktorá bude šíriť reklamu prostredníctvom vybraných komunikačných prostriedkov </w:t>
      </w:r>
      <w:r w:rsidRPr="00DD759E" w:rsidR="00E36C1E">
        <w:rPr>
          <w:rFonts w:ascii="Book Antiqua" w:hAnsi="Book Antiqua"/>
          <w:b/>
          <w:sz w:val="22"/>
          <w:szCs w:val="22"/>
        </w:rPr>
        <w:t>bude povinná súhlasy získané od užívateľov automatického telefonického volacieho systému, telefaxu, elektronickej pošty alebo telefónu</w:t>
      </w:r>
      <w:r w:rsidRPr="00DD759E" w:rsidR="00E36C1E">
        <w:rPr>
          <w:rFonts w:ascii="Book Antiqua" w:hAnsi="Book Antiqua"/>
          <w:sz w:val="22"/>
          <w:szCs w:val="22"/>
        </w:rPr>
        <w:t xml:space="preserve"> (s ohľadom na Čl. II bod 1 návrhu zákona)</w:t>
      </w:r>
      <w:r w:rsidRPr="00DD759E" w:rsidR="00186212">
        <w:rPr>
          <w:rFonts w:ascii="Book Antiqua" w:hAnsi="Book Antiqua"/>
          <w:sz w:val="22"/>
          <w:szCs w:val="22"/>
        </w:rPr>
        <w:t>,</w:t>
      </w:r>
      <w:r w:rsidRPr="00DD759E" w:rsidR="00186212">
        <w:rPr>
          <w:rFonts w:ascii="Book Antiqua" w:hAnsi="Book Antiqua"/>
          <w:b/>
          <w:sz w:val="22"/>
          <w:szCs w:val="22"/>
        </w:rPr>
        <w:t xml:space="preserve"> ktorí sú príjemcami reklamy, preukázať</w:t>
      </w:r>
      <w:r w:rsidRPr="00DD759E" w:rsidR="00186212">
        <w:rPr>
          <w:rFonts w:ascii="Book Antiqua" w:hAnsi="Book Antiqua"/>
          <w:sz w:val="22"/>
          <w:szCs w:val="22"/>
        </w:rPr>
        <w:t xml:space="preserve">. Z uvedeného explicitne plynie povinnosť uchovávať údaje, záznamy a nosiče, na ktorých sa </w:t>
      </w:r>
      <w:r w:rsidR="008244C3">
        <w:rPr>
          <w:rFonts w:ascii="Book Antiqua" w:hAnsi="Book Antiqua"/>
          <w:sz w:val="22"/>
          <w:szCs w:val="22"/>
        </w:rPr>
        <w:t>súhlasy so </w:t>
      </w:r>
      <w:r w:rsidRPr="00DD759E" w:rsidR="006A60FE">
        <w:rPr>
          <w:rFonts w:ascii="Book Antiqua" w:hAnsi="Book Antiqua"/>
          <w:sz w:val="22"/>
          <w:szCs w:val="22"/>
        </w:rPr>
        <w:t>šírením reklamy prostredníctvom vybraných komunikačných prostriedkov nachádzajú.</w:t>
      </w:r>
    </w:p>
    <w:p w:rsidR="00442726" w:rsidP="003B76F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Stanovovať konkrétny spôsob získavania súhlasu je z pohľadu realizácie ustanovení  návrhu zákona kontraproduktívne.</w:t>
      </w:r>
      <w:r w:rsidRPr="00DD759E" w:rsidR="006A60F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Podľa názoru predkladateľov nie je potrebné </w:t>
      </w:r>
      <w:r w:rsidRPr="001D70CC">
        <w:rPr>
          <w:rFonts w:ascii="Book Antiqua" w:hAnsi="Book Antiqua"/>
          <w:sz w:val="22"/>
          <w:szCs w:val="22"/>
        </w:rPr>
        <w:t>za každú cenu raziť cestu striktného právneho normativizmu, obzvlášť v súkromnoprávnych (obchodnoprávnych) vzťahoch. Formulácia „súhlas musí byť preukázateľný</w:t>
      </w:r>
      <w:r>
        <w:rPr>
          <w:rFonts w:ascii="Book Antiqua" w:hAnsi="Book Antiqua"/>
          <w:sz w:val="22"/>
          <w:szCs w:val="22"/>
        </w:rPr>
        <w:t xml:space="preserve">“ </w:t>
      </w:r>
      <w:r w:rsidRPr="001D70CC">
        <w:rPr>
          <w:rFonts w:ascii="Book Antiqua" w:hAnsi="Book Antiqua"/>
          <w:sz w:val="22"/>
          <w:szCs w:val="22"/>
        </w:rPr>
        <w:t>jednoznačne definuje zákonný limit (pravidlo), pričom ponecháva subjektom dostatoč</w:t>
      </w:r>
      <w:r w:rsidR="003B76F9">
        <w:rPr>
          <w:rFonts w:ascii="Book Antiqua" w:hAnsi="Book Antiqua"/>
          <w:sz w:val="22"/>
          <w:szCs w:val="22"/>
        </w:rPr>
        <w:t xml:space="preserve">ný priestor na jeho realizáciu. </w:t>
      </w:r>
      <w:r>
        <w:rPr>
          <w:rFonts w:ascii="Book Antiqua" w:hAnsi="Book Antiqua"/>
          <w:sz w:val="22"/>
          <w:szCs w:val="22"/>
        </w:rPr>
        <w:t>P</w:t>
      </w:r>
      <w:r w:rsidRPr="001D70CC">
        <w:rPr>
          <w:rFonts w:ascii="Book Antiqua" w:hAnsi="Book Antiqua"/>
          <w:sz w:val="22"/>
          <w:szCs w:val="22"/>
        </w:rPr>
        <w:t>resne špecifikovan</w:t>
      </w:r>
      <w:r>
        <w:rPr>
          <w:rFonts w:ascii="Book Antiqua" w:hAnsi="Book Antiqua"/>
          <w:sz w:val="22"/>
          <w:szCs w:val="22"/>
        </w:rPr>
        <w:t>á forma, akou</w:t>
      </w:r>
      <w:r w:rsidRPr="001D70CC">
        <w:rPr>
          <w:rFonts w:ascii="Book Antiqua" w:hAnsi="Book Antiqua"/>
          <w:sz w:val="22"/>
          <w:szCs w:val="22"/>
        </w:rPr>
        <w:t xml:space="preserve"> sa súhlas prejavuje</w:t>
      </w:r>
      <w:r>
        <w:rPr>
          <w:rFonts w:ascii="Book Antiqua" w:hAnsi="Book Antiqua"/>
          <w:sz w:val="22"/>
          <w:szCs w:val="22"/>
        </w:rPr>
        <w:t>, absentuje aj v iných zákonoch vyžadujúcich získanie súhlasu – príkladom môže byť</w:t>
      </w:r>
      <w:r w:rsidR="00606E26">
        <w:rPr>
          <w:rFonts w:ascii="Book Antiqua" w:hAnsi="Book Antiqua"/>
          <w:sz w:val="22"/>
          <w:szCs w:val="22"/>
        </w:rPr>
        <w:t xml:space="preserve"> § 11 zákona</w:t>
      </w:r>
      <w:r>
        <w:rPr>
          <w:rFonts w:ascii="Book Antiqua" w:hAnsi="Book Antiqua"/>
          <w:sz w:val="22"/>
          <w:szCs w:val="22"/>
        </w:rPr>
        <w:t xml:space="preserve"> o ochrane osobných údajov</w:t>
      </w:r>
      <w:r w:rsidR="003B76F9">
        <w:rPr>
          <w:rFonts w:ascii="Book Antiqua" w:hAnsi="Book Antiqua"/>
          <w:sz w:val="22"/>
          <w:szCs w:val="22"/>
        </w:rPr>
        <w:t xml:space="preserve">. </w:t>
      </w:r>
      <w:r w:rsidRPr="00DD759E">
        <w:rPr>
          <w:rFonts w:ascii="Book Antiqua" w:hAnsi="Book Antiqua"/>
          <w:sz w:val="22"/>
          <w:szCs w:val="22"/>
        </w:rPr>
        <w:t xml:space="preserve"> </w:t>
      </w:r>
    </w:p>
    <w:p w:rsidR="001D70CC" w:rsidP="003B76F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D759E" w:rsidR="006A60FE">
        <w:rPr>
          <w:rFonts w:ascii="Book Antiqua" w:hAnsi="Book Antiqua"/>
          <w:sz w:val="22"/>
          <w:szCs w:val="22"/>
        </w:rPr>
        <w:t xml:space="preserve">Príjemca reklamy, ktorý už nebude chcieť byť príjemcom reklamy a dostávať </w:t>
      </w:r>
      <w:r w:rsidRPr="00DD759E" w:rsidR="004E6938">
        <w:rPr>
          <w:rFonts w:ascii="Book Antiqua" w:hAnsi="Book Antiqua"/>
          <w:sz w:val="22"/>
          <w:szCs w:val="22"/>
        </w:rPr>
        <w:t>napr. reklamné letáky a</w:t>
      </w:r>
      <w:r w:rsidRPr="00DD759E" w:rsidR="006A60FE">
        <w:rPr>
          <w:rFonts w:ascii="Book Antiqua" w:hAnsi="Book Antiqua"/>
          <w:sz w:val="22"/>
          <w:szCs w:val="22"/>
        </w:rPr>
        <w:t xml:space="preserve"> nebude chcieť byť informovaný o nových produktoch, </w:t>
      </w:r>
      <w:r w:rsidRPr="00DD759E" w:rsidR="006A60FE">
        <w:rPr>
          <w:rFonts w:ascii="Book Antiqua" w:hAnsi="Book Antiqua"/>
          <w:b/>
          <w:sz w:val="22"/>
          <w:szCs w:val="22"/>
        </w:rPr>
        <w:t>bude môcť kedykoľvek svoj skôr vydaný súhlas odvolať</w:t>
      </w:r>
      <w:r w:rsidRPr="00DD759E" w:rsidR="006A60FE">
        <w:rPr>
          <w:rFonts w:ascii="Book Antiqua" w:hAnsi="Book Antiqua"/>
          <w:sz w:val="22"/>
          <w:szCs w:val="22"/>
        </w:rPr>
        <w:t xml:space="preserve">. </w:t>
      </w:r>
      <w:r w:rsidR="00947F98">
        <w:rPr>
          <w:rFonts w:ascii="Book Antiqua" w:hAnsi="Book Antiqua"/>
          <w:sz w:val="22"/>
          <w:szCs w:val="22"/>
        </w:rPr>
        <w:t xml:space="preserve">Takýto systém sa už v súčasnosti uplatňuje v prípade </w:t>
      </w:r>
      <w:r w:rsidRPr="001D70CC" w:rsidR="00947F98">
        <w:rPr>
          <w:rFonts w:ascii="Book Antiqua" w:hAnsi="Book Antiqua"/>
          <w:sz w:val="22"/>
          <w:szCs w:val="22"/>
        </w:rPr>
        <w:t>nevyžiadanej komunikácie na účely priameho marketingu podľa § 62 ods. 2 a 3 zákona o elektronických komunikáciách.</w:t>
      </w:r>
      <w:r w:rsidRPr="001D70CC">
        <w:rPr>
          <w:rFonts w:ascii="Book Antiqua" w:hAnsi="Book Antiqua"/>
          <w:sz w:val="22"/>
          <w:szCs w:val="22"/>
        </w:rPr>
        <w:tab/>
        <w:t xml:space="preserve"> </w:t>
      </w:r>
    </w:p>
    <w:p w:rsidR="003B76F9" w:rsidP="003B76F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3B76F9" w:rsidRPr="003B76F9" w:rsidP="003B76F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322B2C" w:rsidRPr="00DD759E" w:rsidP="008C0FA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DD759E" w:rsidR="002E0B07">
        <w:rPr>
          <w:rFonts w:ascii="Book Antiqua" w:hAnsi="Book Antiqua"/>
          <w:b/>
          <w:sz w:val="22"/>
          <w:szCs w:val="22"/>
        </w:rPr>
        <w:t>K Čl. II</w:t>
      </w:r>
      <w:r w:rsidRPr="00DD759E" w:rsidR="003530FC">
        <w:rPr>
          <w:rFonts w:ascii="Book Antiqua" w:hAnsi="Book Antiqua"/>
          <w:b/>
          <w:sz w:val="22"/>
          <w:szCs w:val="22"/>
        </w:rPr>
        <w:t>I</w:t>
      </w:r>
    </w:p>
    <w:p w:rsidR="00580C71" w:rsidP="00580C71">
      <w:pP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D759E" w:rsidR="00891FAF">
        <w:rPr>
          <w:rFonts w:ascii="Book Antiqua" w:hAnsi="Book Antiqua"/>
          <w:sz w:val="22"/>
          <w:szCs w:val="22"/>
        </w:rPr>
        <w:t>Navrhuje sa účinnosť predkladaného zákona so zohľadnením</w:t>
      </w:r>
      <w:r w:rsidR="003B76F9">
        <w:rPr>
          <w:rFonts w:ascii="Book Antiqua" w:hAnsi="Book Antiqua"/>
          <w:sz w:val="22"/>
          <w:szCs w:val="22"/>
        </w:rPr>
        <w:t xml:space="preserve"> legisvakančnej lehoty, a to od </w:t>
      </w:r>
      <w:r w:rsidRPr="00DD759E" w:rsidR="00891FAF"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>júla 2015</w:t>
      </w:r>
      <w:r w:rsidRPr="00DD759E" w:rsidR="00891FAF">
        <w:rPr>
          <w:rFonts w:ascii="Book Antiqua" w:hAnsi="Book Antiqua"/>
          <w:sz w:val="22"/>
          <w:szCs w:val="22"/>
        </w:rPr>
        <w:t>.</w:t>
      </w:r>
      <w:r w:rsidRPr="00580C71"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 </w:t>
      </w:r>
    </w:p>
    <w:p w:rsidR="001D70CC" w:rsidP="00580C71">
      <w:pP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D70CC" w:rsidP="00580C71">
      <w:pP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P="00580C7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P="00580C7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P="00580C7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P="00580C7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P="003B76F9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B76F9" w:rsidP="003B76F9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B76F9" w:rsidP="003B76F9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P="00580C7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80C71" w:rsidRPr="00DD759E" w:rsidP="00580C71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D759E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sz w:val="22"/>
          <w:szCs w:val="22"/>
        </w:rPr>
        <w:t>návrhu zákona</w:t>
      </w:r>
      <w:r w:rsidRPr="00DD759E">
        <w:rPr>
          <w:rFonts w:ascii="Book Antiqua" w:hAnsi="Book Antiqua"/>
          <w:sz w:val="22"/>
          <w:szCs w:val="22"/>
        </w:rPr>
        <w:t xml:space="preserve"> </w:t>
      </w:r>
      <w:r w:rsidRPr="00DD759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sz w:val="22"/>
          <w:szCs w:val="22"/>
        </w:rPr>
        <w:t> </w:t>
      </w:r>
    </w:p>
    <w:p w:rsidR="00580C71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DD759E">
        <w:rPr>
          <w:rFonts w:ascii="Book Antiqua" w:hAnsi="Book Antiqua"/>
          <w:sz w:val="22"/>
          <w:szCs w:val="22"/>
        </w:rPr>
        <w:t xml:space="preserve"> poslanc</w:t>
      </w:r>
      <w:r w:rsidR="001D70CC">
        <w:rPr>
          <w:rFonts w:ascii="Book Antiqua" w:hAnsi="Book Antiqua"/>
          <w:sz w:val="22"/>
          <w:szCs w:val="22"/>
        </w:rPr>
        <w:t>i</w:t>
      </w:r>
      <w:r w:rsidRPr="00DD759E">
        <w:rPr>
          <w:rFonts w:ascii="Book Antiqua" w:hAnsi="Book Antiqua"/>
          <w:sz w:val="22"/>
          <w:szCs w:val="22"/>
        </w:rPr>
        <w:t xml:space="preserve"> Národnej rady Slovenskej republiky Miroslav Kadúc</w:t>
      </w:r>
      <w:r w:rsidR="001D70CC">
        <w:rPr>
          <w:rFonts w:ascii="Book Antiqua" w:hAnsi="Book Antiqua"/>
          <w:sz w:val="22"/>
          <w:szCs w:val="22"/>
        </w:rPr>
        <w:t xml:space="preserve"> a Juraj Droba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80C71" w:rsidRPr="00DD759E" w:rsidP="00580C7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DD759E">
        <w:rPr>
          <w:rFonts w:ascii="Book Antiqua" w:hAnsi="Book Antiqua"/>
          <w:sz w:val="22"/>
          <w:szCs w:val="22"/>
        </w:rPr>
        <w:t xml:space="preserve"> </w:t>
      </w:r>
      <w:r w:rsidR="003B76F9">
        <w:rPr>
          <w:rFonts w:ascii="Book Antiqua" w:hAnsi="Book Antiqua"/>
          <w:sz w:val="22"/>
          <w:szCs w:val="22"/>
        </w:rPr>
        <w:t>zákon</w:t>
      </w:r>
      <w:r w:rsidRPr="003B76F9" w:rsidR="003B76F9">
        <w:rPr>
          <w:rFonts w:ascii="Book Antiqua" w:hAnsi="Book Antiqua"/>
          <w:sz w:val="22"/>
          <w:szCs w:val="22"/>
        </w:rPr>
        <w:t xml:space="preserve">, ktorým sa dopĺňa zákon č. 102/2014 Z.z. o ochrane spotrebiteľa pri predaji tovaru alebo poskytovaní služieb </w:t>
      </w:r>
      <w:r w:rsidR="003B76F9">
        <w:rPr>
          <w:rFonts w:ascii="Book Antiqua" w:hAnsi="Book Antiqua"/>
          <w:sz w:val="22"/>
          <w:szCs w:val="22"/>
        </w:rPr>
        <w:t>na  základe zmluvy uzavretej na </w:t>
      </w:r>
      <w:r w:rsidRPr="003B76F9" w:rsidR="003B76F9">
        <w:rPr>
          <w:rFonts w:ascii="Book Antiqua" w:hAnsi="Book Antiqua"/>
          <w:sz w:val="22"/>
          <w:szCs w:val="22"/>
        </w:rPr>
        <w:t>diaľku alebo zmluvy uzavretej mimo prevádzkových pries</w:t>
      </w:r>
      <w:r w:rsidR="003B76F9">
        <w:rPr>
          <w:rFonts w:ascii="Book Antiqua" w:hAnsi="Book Antiqua"/>
          <w:sz w:val="22"/>
          <w:szCs w:val="22"/>
        </w:rPr>
        <w:t>torov predávajúceho a o zmene a </w:t>
      </w:r>
      <w:r w:rsidRPr="003B76F9" w:rsidR="003B76F9">
        <w:rPr>
          <w:rFonts w:ascii="Book Antiqua" w:hAnsi="Book Antiqua"/>
          <w:sz w:val="22"/>
          <w:szCs w:val="22"/>
        </w:rPr>
        <w:t>doplnení niektorých zákonov v znení zákona č. 151/2014 Z.z</w:t>
      </w:r>
      <w:r w:rsidR="003B76F9">
        <w:rPr>
          <w:rFonts w:ascii="Book Antiqua" w:hAnsi="Book Antiqua"/>
          <w:sz w:val="22"/>
          <w:szCs w:val="22"/>
        </w:rPr>
        <w:t>. a ktorým sa dopĺňa zákon č. </w:t>
      </w:r>
      <w:r w:rsidRPr="003B76F9" w:rsidR="003B76F9">
        <w:rPr>
          <w:rFonts w:ascii="Book Antiqua" w:hAnsi="Book Antiqua"/>
          <w:sz w:val="22"/>
          <w:szCs w:val="22"/>
        </w:rPr>
        <w:t>147/2001 Z. z. o reklame a o zmene a doplnení niektorých zákonov v znení neskorších predpisov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D759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580C71" w:rsidRPr="00DD759E" w:rsidP="00580C7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D759E">
        <w:rPr>
          <w:rFonts w:ascii="Book Antiqua" w:hAnsi="Book Antiqua"/>
          <w:bCs/>
          <w:sz w:val="22"/>
          <w:szCs w:val="22"/>
        </w:rPr>
        <w:t xml:space="preserve">je upravený v primárnom práve Európskej únie, a to v čl. 16 (právo na ochranu osobných údajov) a v čl. 169 (ochrana spotrebiteľa) </w:t>
      </w:r>
      <w:r w:rsidRPr="00DD759E">
        <w:rPr>
          <w:rFonts w:ascii="Book Antiqua" w:hAnsi="Book Antiqua"/>
          <w:sz w:val="22"/>
          <w:szCs w:val="22"/>
        </w:rPr>
        <w:t>Zmluvy o fungovaní Európskej únie,</w:t>
      </w:r>
    </w:p>
    <w:p w:rsidR="00580C71" w:rsidP="00580C7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D759E">
        <w:rPr>
          <w:rFonts w:ascii="Book Antiqua" w:hAnsi="Book Antiqua"/>
          <w:bCs/>
          <w:sz w:val="22"/>
          <w:szCs w:val="22"/>
        </w:rPr>
        <w:t>je upravený v sekundárn</w:t>
      </w:r>
      <w:r>
        <w:rPr>
          <w:rFonts w:ascii="Book Antiqua" w:hAnsi="Book Antiqua"/>
          <w:bCs/>
          <w:sz w:val="22"/>
          <w:szCs w:val="22"/>
        </w:rPr>
        <w:t>om práve Európskej únie, a to v:</w:t>
      </w:r>
    </w:p>
    <w:p w:rsidR="00580C71" w:rsidP="00580C71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D759E">
        <w:rPr>
          <w:rFonts w:ascii="Book Antiqua" w:hAnsi="Book Antiqua"/>
          <w:bCs/>
          <w:sz w:val="22"/>
          <w:szCs w:val="22"/>
        </w:rPr>
        <w:t xml:space="preserve">smernici Európskeho Parlamentu a Rady  97/7/ES z 20. mája 1997 o ochrane spotrebiteľa vzhľadom na zmluvy na diaľku (Mimoriadne vydanie Ú. </w:t>
      </w:r>
      <w:r>
        <w:rPr>
          <w:rFonts w:ascii="Book Antiqua" w:hAnsi="Book Antiqua"/>
          <w:bCs/>
          <w:sz w:val="22"/>
          <w:szCs w:val="22"/>
        </w:rPr>
        <w:t>v. EÚ, kap.15/zv. 03</w:t>
      </w:r>
      <w:r w:rsidRPr="00DD759E">
        <w:rPr>
          <w:rFonts w:ascii="Book Antiqua" w:hAnsi="Book Antiqua"/>
          <w:bCs/>
          <w:sz w:val="22"/>
          <w:szCs w:val="22"/>
        </w:rPr>
        <w:t>) v platnom znení</w:t>
      </w:r>
      <w:r>
        <w:rPr>
          <w:rFonts w:ascii="Book Antiqua" w:hAnsi="Book Antiqua"/>
          <w:bCs/>
          <w:sz w:val="22"/>
          <w:szCs w:val="22"/>
        </w:rPr>
        <w:t xml:space="preserve"> (ďalej len „smernica o ochrane spotrebiteľa vzhľadom na zmluvy na diaľku“) </w:t>
      </w:r>
      <w:r w:rsidRPr="00DD759E">
        <w:rPr>
          <w:rFonts w:ascii="Book Antiqua" w:hAnsi="Book Antiqua"/>
          <w:bCs/>
          <w:sz w:val="22"/>
          <w:szCs w:val="22"/>
        </w:rPr>
        <w:t>- osobitne v</w:t>
      </w:r>
      <w:r>
        <w:rPr>
          <w:rFonts w:ascii="Book Antiqua" w:hAnsi="Book Antiqua"/>
          <w:bCs/>
          <w:sz w:val="22"/>
          <w:szCs w:val="22"/>
        </w:rPr>
        <w:t> odôvodnení 12 a odôvodnení 17 preambuly smernice (ochrana súkromia spotrebiteľa a poskytnutie informácií na začiatku telefonickej komunikácie)</w:t>
      </w:r>
      <w:r w:rsidRPr="00DD759E">
        <w:rPr>
          <w:rFonts w:ascii="Book Antiqua" w:hAnsi="Book Antiqua"/>
          <w:bCs/>
          <w:sz w:val="22"/>
          <w:szCs w:val="22"/>
        </w:rPr>
        <w:t>, čl. 4 ods. 3 smernice (informácie pred uzavretím zmluvy</w:t>
      </w:r>
      <w:r>
        <w:rPr>
          <w:rFonts w:ascii="Book Antiqua" w:hAnsi="Book Antiqua"/>
          <w:bCs/>
          <w:sz w:val="22"/>
          <w:szCs w:val="22"/>
        </w:rPr>
        <w:t xml:space="preserve"> prostredníctvom telefónu</w:t>
      </w:r>
      <w:r w:rsidRPr="00DD759E">
        <w:rPr>
          <w:rFonts w:ascii="Book Antiqua" w:hAnsi="Book Antiqua"/>
          <w:bCs/>
          <w:sz w:val="22"/>
          <w:szCs w:val="22"/>
        </w:rPr>
        <w:t>) a čl. 14 smernice (minimálna doložka</w:t>
      </w:r>
      <w:r>
        <w:rPr>
          <w:rFonts w:ascii="Book Antiqua" w:hAnsi="Book Antiqua"/>
          <w:bCs/>
          <w:sz w:val="22"/>
          <w:szCs w:val="22"/>
        </w:rPr>
        <w:t xml:space="preserve"> – doložka v prospech vyššej úrovne ochrany spotrebiteľa</w:t>
      </w:r>
      <w:r w:rsidRPr="00DD759E">
        <w:rPr>
          <w:rFonts w:ascii="Book Antiqua" w:hAnsi="Book Antiqua"/>
          <w:bCs/>
          <w:sz w:val="22"/>
          <w:szCs w:val="22"/>
        </w:rPr>
        <w:t>)</w:t>
      </w:r>
      <w:r>
        <w:rPr>
          <w:rFonts w:ascii="Book Antiqua" w:hAnsi="Book Antiqua"/>
          <w:bCs/>
          <w:sz w:val="22"/>
          <w:szCs w:val="22"/>
        </w:rPr>
        <w:t>,</w:t>
      </w:r>
    </w:p>
    <w:p w:rsidR="00580C71" w:rsidRPr="00DD759E" w:rsidP="00580C71">
      <w:pPr>
        <w:pStyle w:val="NormalWeb"/>
        <w:numPr>
          <w:numId w:val="1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D759E">
        <w:rPr>
          <w:rFonts w:ascii="Book Antiqua" w:hAnsi="Book Antiqua"/>
          <w:bCs/>
          <w:sz w:val="22"/>
          <w:szCs w:val="22"/>
        </w:rPr>
        <w:t xml:space="preserve">smernici Európskeho parlamentu a Rady 2002/65/ES z 23. </w:t>
      </w:r>
      <w:r>
        <w:rPr>
          <w:rFonts w:ascii="Book Antiqua" w:hAnsi="Book Antiqua"/>
          <w:bCs/>
          <w:sz w:val="22"/>
          <w:szCs w:val="22"/>
        </w:rPr>
        <w:t>s</w:t>
      </w:r>
      <w:r w:rsidRPr="00DD759E">
        <w:rPr>
          <w:rFonts w:ascii="Book Antiqua" w:hAnsi="Book Antiqua"/>
          <w:bCs/>
          <w:sz w:val="22"/>
          <w:szCs w:val="22"/>
        </w:rPr>
        <w:t>eptembra</w:t>
      </w:r>
      <w:r>
        <w:rPr>
          <w:rFonts w:ascii="Book Antiqua" w:hAnsi="Book Antiqua"/>
          <w:bCs/>
          <w:sz w:val="22"/>
          <w:szCs w:val="22"/>
        </w:rPr>
        <w:t xml:space="preserve"> 2002</w:t>
      </w:r>
      <w:r w:rsidRPr="00DD759E">
        <w:rPr>
          <w:rFonts w:ascii="Book Antiqua" w:hAnsi="Book Antiqua"/>
          <w:bCs/>
          <w:sz w:val="22"/>
          <w:szCs w:val="22"/>
        </w:rPr>
        <w:t xml:space="preserve">  o poskytovaní finančných služieb spotrebiteľom na diaľku a o zmene a doplnení smernice Rady 90/619/EHS a smerníc 97/7/ES na 98/27/ES (Mimoriadne vydanie Ú. </w:t>
      </w:r>
      <w:r>
        <w:rPr>
          <w:rFonts w:ascii="Book Antiqua" w:hAnsi="Book Antiqua"/>
          <w:bCs/>
          <w:sz w:val="22"/>
          <w:szCs w:val="22"/>
        </w:rPr>
        <w:t>v. EÚ, kap.06/zv. 04</w:t>
      </w:r>
      <w:r w:rsidRPr="00DD759E">
        <w:rPr>
          <w:rFonts w:ascii="Book Antiqua" w:hAnsi="Book Antiqua"/>
          <w:bCs/>
          <w:sz w:val="22"/>
          <w:szCs w:val="22"/>
        </w:rPr>
        <w:t xml:space="preserve">) </w:t>
      </w:r>
      <w:r>
        <w:rPr>
          <w:rFonts w:ascii="Book Antiqua" w:hAnsi="Book Antiqua"/>
          <w:bCs/>
          <w:sz w:val="22"/>
          <w:szCs w:val="22"/>
        </w:rPr>
        <w:t xml:space="preserve">v </w:t>
      </w:r>
      <w:r w:rsidRPr="00DD759E">
        <w:rPr>
          <w:rFonts w:ascii="Book Antiqua" w:hAnsi="Book Antiqua"/>
          <w:bCs/>
          <w:sz w:val="22"/>
          <w:szCs w:val="22"/>
        </w:rPr>
        <w:t>platnom znení</w:t>
      </w:r>
      <w:r>
        <w:rPr>
          <w:rFonts w:ascii="Book Antiqua" w:hAnsi="Book Antiqua"/>
          <w:bCs/>
          <w:sz w:val="22"/>
          <w:szCs w:val="22"/>
        </w:rPr>
        <w:t xml:space="preserve"> (ďalej len „smernica o poskytovaní finančných služieb spotrebiteľom na diaľku“) </w:t>
      </w:r>
      <w:r w:rsidRPr="00DD759E">
        <w:rPr>
          <w:rFonts w:ascii="Book Antiqua" w:hAnsi="Book Antiqua"/>
          <w:bCs/>
          <w:sz w:val="22"/>
          <w:szCs w:val="22"/>
        </w:rPr>
        <w:t>- osobitne v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DD759E">
        <w:rPr>
          <w:rFonts w:ascii="Book Antiqua" w:hAnsi="Book Antiqua"/>
          <w:bCs/>
          <w:sz w:val="22"/>
          <w:szCs w:val="22"/>
        </w:rPr>
        <w:t>čl. 3 ods. 3 písm. a) smernice (informovanie spotrebiteľa pred uzatvorením zmluvy na diaľku</w:t>
      </w:r>
      <w:r>
        <w:rPr>
          <w:rFonts w:ascii="Book Antiqua" w:hAnsi="Book Antiqua"/>
          <w:bCs/>
          <w:sz w:val="22"/>
          <w:szCs w:val="22"/>
        </w:rPr>
        <w:t xml:space="preserve"> v prípade telefonickej komunikácie</w:t>
      </w:r>
      <w:r w:rsidRPr="00DD759E">
        <w:rPr>
          <w:rFonts w:ascii="Book Antiqua" w:hAnsi="Book Antiqua"/>
          <w:bCs/>
          <w:sz w:val="22"/>
          <w:szCs w:val="22"/>
        </w:rPr>
        <w:t>) a čl. 10 smernice (</w:t>
      </w:r>
      <w:r>
        <w:rPr>
          <w:rFonts w:ascii="Book Antiqua" w:hAnsi="Book Antiqua"/>
          <w:bCs/>
          <w:sz w:val="22"/>
          <w:szCs w:val="22"/>
        </w:rPr>
        <w:t>predchádzajúci súhlas v prípade nevyžiadanej komunikácie</w:t>
      </w:r>
      <w:r w:rsidRPr="00DD759E">
        <w:rPr>
          <w:rFonts w:ascii="Book Antiqua" w:hAnsi="Book Antiqua"/>
          <w:bCs/>
          <w:sz w:val="22"/>
          <w:szCs w:val="22"/>
        </w:rPr>
        <w:t>),</w:t>
      </w:r>
    </w:p>
    <w:p w:rsidR="00580C71" w:rsidRPr="00DD759E" w:rsidP="00580C71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D759E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highlight w:val="yellow"/>
        </w:rPr>
      </w:pPr>
    </w:p>
    <w:p w:rsidR="00580C71" w:rsidRPr="00DD759E" w:rsidP="00580C71">
      <w:pPr>
        <w:numPr>
          <w:ilvl w:val="3"/>
          <w:numId w:val="11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i/>
          <w:sz w:val="22"/>
          <w:szCs w:val="22"/>
        </w:rPr>
      </w:pPr>
      <w:r w:rsidRPr="00DD759E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580C71" w:rsidRPr="00DD759E" w:rsidP="00580C71">
      <w:pPr>
        <w:numPr>
          <w:numId w:val="1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sz w:val="22"/>
          <w:szCs w:val="22"/>
        </w:rPr>
        <w:t>lehota na transpozíciu smerníc uvedených v bode 3 písm. b) tejto doložky zlučiteľnosti bola stanovená</w:t>
      </w:r>
      <w:r>
        <w:rPr>
          <w:rFonts w:ascii="Book Antiqua" w:hAnsi="Book Antiqua"/>
          <w:sz w:val="22"/>
          <w:szCs w:val="22"/>
        </w:rPr>
        <w:t xml:space="preserve"> takto</w:t>
      </w:r>
      <w:r w:rsidRPr="00DD759E">
        <w:rPr>
          <w:rFonts w:ascii="Book Antiqua" w:hAnsi="Book Antiqua"/>
          <w:sz w:val="22"/>
          <w:szCs w:val="22"/>
        </w:rPr>
        <w:t>:</w:t>
      </w:r>
    </w:p>
    <w:p w:rsidR="00580C71" w:rsidP="00580C71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smernica </w:t>
      </w:r>
      <w:r w:rsidRPr="008D415F">
        <w:rPr>
          <w:rFonts w:ascii="Book Antiqua" w:hAnsi="Book Antiqua"/>
          <w:bCs/>
          <w:sz w:val="22"/>
          <w:szCs w:val="22"/>
        </w:rPr>
        <w:t>o ochrane spotrebiteľa vzhľadom na zmluvy na diaľku</w:t>
      </w:r>
      <w:r w:rsidRPr="008D415F">
        <w:rPr>
          <w:rFonts w:ascii="Book Antiqua" w:hAnsi="Book Antiqua"/>
          <w:sz w:val="22"/>
          <w:szCs w:val="22"/>
        </w:rPr>
        <w:t xml:space="preserve"> do </w:t>
      </w:r>
      <w:r>
        <w:rPr>
          <w:rFonts w:ascii="Book Antiqua" w:hAnsi="Book Antiqua"/>
          <w:sz w:val="22"/>
          <w:szCs w:val="22"/>
        </w:rPr>
        <w:t xml:space="preserve">4. júna 2000 (resp. pre Slovenskú republiku do </w:t>
      </w:r>
      <w:r w:rsidRPr="008D415F">
        <w:rPr>
          <w:rFonts w:ascii="Book Antiqua" w:hAnsi="Book Antiqua" w:cs="Tahoma"/>
          <w:sz w:val="22"/>
          <w:szCs w:val="22"/>
        </w:rPr>
        <w:t>1. mája 2004</w:t>
      </w:r>
      <w:r>
        <w:rPr>
          <w:rFonts w:ascii="Book Antiqua" w:hAnsi="Book Antiqua" w:cs="Tahoma"/>
          <w:sz w:val="22"/>
          <w:szCs w:val="22"/>
        </w:rPr>
        <w:t>)</w:t>
      </w:r>
      <w:r w:rsidRPr="008D415F">
        <w:rPr>
          <w:rFonts w:ascii="Book Antiqua" w:hAnsi="Book Antiqua" w:cs="Tahoma"/>
          <w:sz w:val="22"/>
          <w:szCs w:val="22"/>
        </w:rPr>
        <w:t>,</w:t>
      </w:r>
    </w:p>
    <w:p w:rsidR="00580C71" w:rsidRPr="008D415F" w:rsidP="00580C71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r w:rsidRPr="008D415F">
        <w:rPr>
          <w:rFonts w:ascii="Book Antiqua" w:hAnsi="Book Antiqua" w:cs="Tahoma"/>
          <w:sz w:val="22"/>
          <w:szCs w:val="22"/>
        </w:rPr>
        <w:t>smernic</w:t>
      </w:r>
      <w:r>
        <w:rPr>
          <w:rFonts w:ascii="Book Antiqua" w:hAnsi="Book Antiqua" w:cs="Tahoma"/>
          <w:sz w:val="22"/>
          <w:szCs w:val="22"/>
        </w:rPr>
        <w:t xml:space="preserve">a </w:t>
      </w:r>
      <w:r w:rsidRPr="008D415F">
        <w:rPr>
          <w:rFonts w:ascii="Book Antiqua" w:hAnsi="Book Antiqua"/>
          <w:bCs/>
          <w:sz w:val="22"/>
          <w:szCs w:val="22"/>
        </w:rPr>
        <w:t>o poskytovaní finančných služieb spot</w:t>
      </w:r>
      <w:r>
        <w:rPr>
          <w:rFonts w:ascii="Book Antiqua" w:hAnsi="Book Antiqua"/>
          <w:bCs/>
          <w:sz w:val="22"/>
          <w:szCs w:val="22"/>
        </w:rPr>
        <w:t>rebiteľom na diaľku</w:t>
      </w:r>
      <w:r>
        <w:rPr>
          <w:rFonts w:ascii="Book Antiqua" w:hAnsi="Book Antiqua" w:cs="Tahoma"/>
          <w:sz w:val="22"/>
          <w:szCs w:val="22"/>
        </w:rPr>
        <w:t xml:space="preserve"> do           </w:t>
      </w:r>
      <w:r w:rsidRPr="008D415F">
        <w:rPr>
          <w:rFonts w:ascii="Book Antiqua" w:hAnsi="Book Antiqua" w:cs="Tahoma"/>
          <w:sz w:val="22"/>
          <w:szCs w:val="22"/>
        </w:rPr>
        <w:t>9. októbra 2004,</w:t>
      </w:r>
      <w:r w:rsidRPr="008D415F">
        <w:rPr>
          <w:rFonts w:ascii="Book Antiqua" w:hAnsi="Book Antiqua"/>
          <w:sz w:val="22"/>
          <w:szCs w:val="22"/>
        </w:rPr>
        <w:t xml:space="preserve"> </w:t>
      </w:r>
    </w:p>
    <w:p w:rsidR="00580C71" w:rsidRPr="00DD759E" w:rsidP="00580C71">
      <w:pPr>
        <w:numPr>
          <w:numId w:val="1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580C71" w:rsidP="00580C71">
      <w:pPr>
        <w:numPr>
          <w:numId w:val="1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sz w:val="22"/>
          <w:szCs w:val="22"/>
        </w:rPr>
        <w:t>smernice uvedené v bode 3 písm. b) tejto doložky zlučiteľnosti boli úplne transponované do nasledujúcich právnych predpisov:</w:t>
      </w:r>
    </w:p>
    <w:p w:rsidR="00580C71" w:rsidRPr="00391372" w:rsidP="003B76F9">
      <w:pPr>
        <w:pStyle w:val="ListParagraph"/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smernica </w:t>
      </w:r>
      <w:r w:rsidRPr="00391372">
        <w:rPr>
          <w:rFonts w:ascii="Book Antiqua" w:hAnsi="Book Antiqua"/>
          <w:bCs/>
          <w:sz w:val="22"/>
          <w:szCs w:val="22"/>
        </w:rPr>
        <w:t>o ochrane spotrebiteľa vzhľadom na zmluvy na diaľku</w:t>
      </w:r>
      <w:bookmarkStart w:id="0" w:name="FIELD_SK"/>
      <w:r>
        <w:rPr>
          <w:rFonts w:ascii="Book Antiqua" w:hAnsi="Book Antiqua"/>
          <w:bCs/>
          <w:sz w:val="22"/>
          <w:szCs w:val="22"/>
        </w:rPr>
        <w:t xml:space="preserve"> do </w:t>
      </w:r>
      <w:r w:rsidRPr="00391372">
        <w:rPr>
          <w:rFonts w:ascii="Book Antiqua" w:hAnsi="Book Antiqua"/>
          <w:sz w:val="22"/>
          <w:szCs w:val="22"/>
        </w:rPr>
        <w:t>zákon</w:t>
      </w:r>
      <w:r>
        <w:rPr>
          <w:rFonts w:ascii="Book Antiqua" w:hAnsi="Book Antiqua"/>
          <w:sz w:val="22"/>
          <w:szCs w:val="22"/>
        </w:rPr>
        <w:t>a</w:t>
      </w:r>
      <w:r w:rsidRPr="0039137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</w:t>
      </w:r>
      <w:r w:rsidRPr="003B76F9" w:rsidR="003B76F9">
        <w:rPr>
          <w:rFonts w:ascii="Book Antiqua" w:hAnsi="Book Antiqua"/>
          <w:sz w:val="22"/>
          <w:szCs w:val="22"/>
        </w:rPr>
        <w:t>č. 102/2014 Z.z. o ochrane spotrebiteľa pri predaji tovaru alebo poskytovaní služieb na  základe zmluvy uzavretej na diaľku alebo zmluvy uzavretej mimo prevádzkových priestorov predávajúceho a o zmene a doplnení niektorých zákonov v znení zákona č. 151/2014 Z.z.</w:t>
      </w:r>
      <w:r w:rsidRPr="00391372">
        <w:rPr>
          <w:rFonts w:ascii="Book Antiqua" w:hAnsi="Book Antiqua"/>
          <w:sz w:val="22"/>
          <w:szCs w:val="22"/>
        </w:rPr>
        <w:t>,</w:t>
      </w:r>
    </w:p>
    <w:p w:rsidR="00580C71" w:rsidRPr="00391372" w:rsidP="00580C71">
      <w:pPr>
        <w:pStyle w:val="ListParagraph"/>
        <w:numPr>
          <w:numId w:val="19"/>
        </w:numPr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bookmarkEnd w:id="0"/>
      <w:r w:rsidRPr="00391372">
        <w:rPr>
          <w:rFonts w:ascii="Book Antiqua" w:hAnsi="Book Antiqua" w:cs="Tahoma"/>
          <w:sz w:val="22"/>
          <w:szCs w:val="22"/>
        </w:rPr>
        <w:t>smernic</w:t>
      </w:r>
      <w:r>
        <w:rPr>
          <w:rFonts w:ascii="Book Antiqua" w:hAnsi="Book Antiqua" w:cs="Tahoma"/>
          <w:sz w:val="22"/>
          <w:szCs w:val="22"/>
        </w:rPr>
        <w:t xml:space="preserve">a </w:t>
      </w:r>
      <w:r w:rsidRPr="00391372">
        <w:rPr>
          <w:rFonts w:ascii="Book Antiqua" w:hAnsi="Book Antiqua"/>
          <w:bCs/>
          <w:sz w:val="22"/>
          <w:szCs w:val="22"/>
        </w:rPr>
        <w:t>o poskytovaní finančných služieb spo</w:t>
      </w:r>
      <w:r>
        <w:rPr>
          <w:rFonts w:ascii="Book Antiqua" w:hAnsi="Book Antiqua"/>
          <w:bCs/>
          <w:sz w:val="22"/>
          <w:szCs w:val="22"/>
        </w:rPr>
        <w:t>trebiteľom na diaľku do</w:t>
      </w:r>
      <w:r w:rsidRPr="00391372">
        <w:rPr>
          <w:rFonts w:ascii="Book Antiqua" w:hAnsi="Book Antiqua" w:cs="Tahoma"/>
          <w:sz w:val="22"/>
          <w:szCs w:val="22"/>
        </w:rPr>
        <w:t>:</w:t>
      </w:r>
    </w:p>
    <w:p w:rsidR="00580C71" w:rsidP="00580C71">
      <w:pPr>
        <w:pStyle w:val="ListParagraph"/>
        <w:numPr>
          <w:numId w:val="2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91372">
        <w:rPr>
          <w:rFonts w:ascii="Book Antiqua" w:hAnsi="Book Antiqua"/>
          <w:sz w:val="22"/>
          <w:szCs w:val="22"/>
        </w:rPr>
        <w:t>zákon</w:t>
      </w:r>
      <w:r>
        <w:rPr>
          <w:rFonts w:ascii="Book Antiqua" w:hAnsi="Book Antiqua"/>
          <w:sz w:val="22"/>
          <w:szCs w:val="22"/>
        </w:rPr>
        <w:t>a</w:t>
      </w:r>
      <w:r w:rsidRPr="00391372">
        <w:rPr>
          <w:rFonts w:ascii="Book Antiqua" w:hAnsi="Book Antiqua"/>
          <w:sz w:val="22"/>
          <w:szCs w:val="22"/>
        </w:rPr>
        <w:t xml:space="preserve"> č. 186/2009 Z. z. o finančnom sprostredkovaní a finančnom poradenstve a o zmene a doplnení niektorých zákonov v znení neskorších predpisov,</w:t>
      </w:r>
    </w:p>
    <w:p w:rsidR="00580C71" w:rsidP="00580C71">
      <w:pPr>
        <w:pStyle w:val="ListParagraph"/>
        <w:numPr>
          <w:numId w:val="2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91372">
        <w:rPr>
          <w:rFonts w:ascii="Book Antiqua" w:hAnsi="Book Antiqua"/>
          <w:sz w:val="22"/>
          <w:szCs w:val="22"/>
        </w:rPr>
        <w:t>zákon</w:t>
      </w:r>
      <w:r>
        <w:rPr>
          <w:rFonts w:ascii="Book Antiqua" w:hAnsi="Book Antiqua"/>
          <w:sz w:val="22"/>
          <w:szCs w:val="22"/>
        </w:rPr>
        <w:t>a</w:t>
      </w:r>
      <w:r w:rsidRPr="00391372">
        <w:rPr>
          <w:rFonts w:ascii="Book Antiqua" w:hAnsi="Book Antiqua"/>
          <w:sz w:val="22"/>
          <w:szCs w:val="22"/>
        </w:rPr>
        <w:t xml:space="preserve"> č. 266/2005 Z. z. o ochrane spotrebiteľa pri finančných službách na diaľku a o zmene a doplnení niektorých zákonov v znení neskorších predpisov.</w:t>
      </w:r>
    </w:p>
    <w:p w:rsidR="00580C71" w:rsidRPr="00391372" w:rsidP="00580C7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80C71" w:rsidRPr="00DD759E" w:rsidP="00580C71">
      <w:pPr>
        <w:numPr>
          <w:numId w:val="12"/>
        </w:num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DD759E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</w:p>
    <w:p w:rsidR="00580C71" w:rsidRPr="00DD759E" w:rsidP="00580C71">
      <w:pPr>
        <w:numPr>
          <w:numId w:val="1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color w:val="000000"/>
          <w:sz w:val="22"/>
          <w:szCs w:val="22"/>
        </w:rPr>
        <w:t>úplný.</w:t>
        <w:br/>
        <w:t xml:space="preserve">  </w:t>
        <w:br/>
      </w:r>
    </w:p>
    <w:p w:rsidR="00580C71" w:rsidRPr="00DD759E" w:rsidP="00580C71">
      <w:pPr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580C71" w:rsidRPr="00DD759E" w:rsidP="00580C7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sz w:val="22"/>
          <w:szCs w:val="22"/>
        </w:rPr>
        <w:t xml:space="preserve"> 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0C71" w:rsidRPr="00DD759E" w:rsidP="00580C71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  <w:t>Doložka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color w:val="000000"/>
          <w:sz w:val="22"/>
          <w:szCs w:val="22"/>
        </w:rPr>
        <w:t> </w:t>
      </w:r>
    </w:p>
    <w:p w:rsidR="00580C71" w:rsidRPr="00DD759E" w:rsidP="00580C71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D759E">
        <w:rPr>
          <w:rFonts w:ascii="Book Antiqua" w:hAnsi="Book Antiqua"/>
          <w:sz w:val="22"/>
          <w:szCs w:val="22"/>
        </w:rPr>
        <w:t xml:space="preserve">návrh </w:t>
      </w:r>
      <w:r w:rsidRPr="003B76F9" w:rsidR="003B76F9">
        <w:rPr>
          <w:rFonts w:ascii="Book Antiqua" w:hAnsi="Book Antiqua"/>
          <w:sz w:val="22"/>
          <w:szCs w:val="22"/>
        </w:rPr>
        <w:t xml:space="preserve">zákona, ktorým sa dopĺňa zákon č. 102/2014 Z.z. o ochrane spotrebiteľa pri predaji tovaru alebo poskytovaní služieb </w:t>
      </w:r>
      <w:r w:rsidR="003B76F9">
        <w:rPr>
          <w:rFonts w:ascii="Book Antiqua" w:hAnsi="Book Antiqua"/>
          <w:sz w:val="22"/>
          <w:szCs w:val="22"/>
        </w:rPr>
        <w:t>na  základe zmluvy uzavretej na </w:t>
      </w:r>
      <w:r w:rsidRPr="003B76F9" w:rsidR="003B76F9">
        <w:rPr>
          <w:rFonts w:ascii="Book Antiqua" w:hAnsi="Book Antiqua"/>
          <w:sz w:val="22"/>
          <w:szCs w:val="22"/>
        </w:rPr>
        <w:t>diaľku alebo zmluvy uzavretej mimo prevádzkových pries</w:t>
      </w:r>
      <w:r w:rsidR="003B76F9">
        <w:rPr>
          <w:rFonts w:ascii="Book Antiqua" w:hAnsi="Book Antiqua"/>
          <w:sz w:val="22"/>
          <w:szCs w:val="22"/>
        </w:rPr>
        <w:t>torov predávajúceho a o zmene a </w:t>
      </w:r>
      <w:r w:rsidRPr="003B76F9" w:rsidR="003B76F9">
        <w:rPr>
          <w:rFonts w:ascii="Book Antiqua" w:hAnsi="Book Antiqua"/>
          <w:sz w:val="22"/>
          <w:szCs w:val="22"/>
        </w:rPr>
        <w:t>doplnení niektorých zákonov v znení zákona č. 151/2014 Z</w:t>
      </w:r>
      <w:r w:rsidR="003B76F9">
        <w:rPr>
          <w:rFonts w:ascii="Book Antiqua" w:hAnsi="Book Antiqua"/>
          <w:sz w:val="22"/>
          <w:szCs w:val="22"/>
        </w:rPr>
        <w:t>.z. a ktorým sa dopĺňa zákon č. </w:t>
      </w:r>
      <w:r w:rsidRPr="003B76F9" w:rsidR="003B76F9">
        <w:rPr>
          <w:rFonts w:ascii="Book Antiqua" w:hAnsi="Book Antiqua"/>
          <w:sz w:val="22"/>
          <w:szCs w:val="22"/>
        </w:rPr>
        <w:t>147/2001 Z. z. o reklame a o zmene a doplnení niektorých zákonov v znení neskorších predpisov</w:t>
      </w:r>
    </w:p>
    <w:p w:rsidR="00580C71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 xml:space="preserve">        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DD759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D759E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  <w:tblLook w:val="040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580C71" w:rsidRPr="00DD759E" w:rsidP="00ED4EBC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D759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color w:val="000000"/>
          <w:sz w:val="22"/>
          <w:szCs w:val="22"/>
        </w:rPr>
        <w:t> 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DD759E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DD759E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80C71" w:rsidRPr="00DD759E" w:rsidP="00580C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D759E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22B2C" w:rsidRPr="003B76F9" w:rsidP="003B76F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D759E" w:rsidR="00580C71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A6B71">
      <w:headerReference w:type="default" r:id="rId4"/>
      <w:foot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B2" w:rsidRPr="001B2139">
    <w:pPr>
      <w:pStyle w:val="Footer"/>
      <w:bidi w:val="0"/>
      <w:jc w:val="right"/>
      <w:rPr>
        <w:rFonts w:ascii="Book Antiqua" w:hAnsi="Book Antiqua"/>
        <w:sz w:val="22"/>
        <w:szCs w:val="22"/>
      </w:rPr>
    </w:pPr>
    <w:r w:rsidRPr="001B2139">
      <w:rPr>
        <w:rFonts w:ascii="Book Antiqua" w:hAnsi="Book Antiqua"/>
        <w:sz w:val="22"/>
        <w:szCs w:val="22"/>
      </w:rPr>
      <w:fldChar w:fldCharType="begin"/>
    </w:r>
    <w:r w:rsidRPr="001B2139">
      <w:rPr>
        <w:rFonts w:ascii="Book Antiqua" w:hAnsi="Book Antiqua"/>
        <w:sz w:val="22"/>
        <w:szCs w:val="22"/>
      </w:rPr>
      <w:instrText xml:space="preserve"> PAGE   \* MERGEFORMAT </w:instrText>
    </w:r>
    <w:r w:rsidRPr="001B2139">
      <w:rPr>
        <w:rFonts w:ascii="Book Antiqua" w:hAnsi="Book Antiqua"/>
        <w:sz w:val="22"/>
        <w:szCs w:val="22"/>
      </w:rPr>
      <w:fldChar w:fldCharType="separate"/>
    </w:r>
    <w:r w:rsidR="00F43AE9">
      <w:rPr>
        <w:rFonts w:ascii="Book Antiqua" w:hAnsi="Book Antiqua"/>
        <w:noProof/>
        <w:sz w:val="22"/>
        <w:szCs w:val="22"/>
      </w:rPr>
      <w:t>7</w:t>
    </w:r>
    <w:r w:rsidRPr="001B2139">
      <w:rPr>
        <w:rFonts w:ascii="Book Antiqua" w:hAnsi="Book Antiqua"/>
        <w:sz w:val="22"/>
        <w:szCs w:val="22"/>
      </w:rPr>
      <w:fldChar w:fldCharType="end"/>
    </w:r>
  </w:p>
  <w:p w:rsidR="008E38B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B2">
    <w:pPr>
      <w:bidi w:val="0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B2">
    <w:pPr>
      <w:bidi w:val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26658D"/>
    <w:multiLevelType w:val="hybridMultilevel"/>
    <w:tmpl w:val="471420B2"/>
    <w:lvl w:ilvl="0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960545D"/>
    <w:multiLevelType w:val="hybridMultilevel"/>
    <w:tmpl w:val="967A43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436416B6"/>
    <w:multiLevelType w:val="multilevel"/>
    <w:tmpl w:val="F714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105F1A"/>
    <w:multiLevelType w:val="hybridMultilevel"/>
    <w:tmpl w:val="4B8CADD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BC728E9"/>
    <w:multiLevelType w:val="hybridMultilevel"/>
    <w:tmpl w:val="FE98DA8E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A9949B1"/>
    <w:multiLevelType w:val="hybridMultilevel"/>
    <w:tmpl w:val="BF9C6F92"/>
    <w:lvl w:ilvl="0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77037E26"/>
    <w:multiLevelType w:val="multilevel"/>
    <w:tmpl w:val="8908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7"/>
  </w:num>
  <w:num w:numId="10">
    <w:abstractNumId w:val="15"/>
  </w:num>
  <w:num w:numId="11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8"/>
  </w:num>
  <w:num w:numId="16">
    <w:abstractNumId w:val="10"/>
  </w:num>
  <w:num w:numId="17">
    <w:abstractNumId w:val="6"/>
  </w:num>
  <w:num w:numId="18">
    <w:abstractNumId w:val="12"/>
  </w:num>
  <w:num w:numId="19">
    <w:abstractNumId w:val="13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30666"/>
    <w:rsid w:val="00034770"/>
    <w:rsid w:val="000464F2"/>
    <w:rsid w:val="000529D5"/>
    <w:rsid w:val="000622DE"/>
    <w:rsid w:val="0008193B"/>
    <w:rsid w:val="000A0316"/>
    <w:rsid w:val="000B5629"/>
    <w:rsid w:val="000C1490"/>
    <w:rsid w:val="000C76EB"/>
    <w:rsid w:val="000E20A1"/>
    <w:rsid w:val="000F1130"/>
    <w:rsid w:val="000F3FC5"/>
    <w:rsid w:val="00107883"/>
    <w:rsid w:val="00116DFE"/>
    <w:rsid w:val="00132C49"/>
    <w:rsid w:val="00147577"/>
    <w:rsid w:val="00161A2D"/>
    <w:rsid w:val="00164A6B"/>
    <w:rsid w:val="00165E64"/>
    <w:rsid w:val="00186212"/>
    <w:rsid w:val="0018663C"/>
    <w:rsid w:val="001922F2"/>
    <w:rsid w:val="001A7D2F"/>
    <w:rsid w:val="001B2139"/>
    <w:rsid w:val="001C1E94"/>
    <w:rsid w:val="001D70CC"/>
    <w:rsid w:val="00214800"/>
    <w:rsid w:val="00217A1D"/>
    <w:rsid w:val="00226F46"/>
    <w:rsid w:val="00237F87"/>
    <w:rsid w:val="00247FBC"/>
    <w:rsid w:val="002515B6"/>
    <w:rsid w:val="00274377"/>
    <w:rsid w:val="002D61CC"/>
    <w:rsid w:val="002E0307"/>
    <w:rsid w:val="002E057B"/>
    <w:rsid w:val="002E05CD"/>
    <w:rsid w:val="002E0B07"/>
    <w:rsid w:val="002E6D8F"/>
    <w:rsid w:val="002F0EC7"/>
    <w:rsid w:val="003017DE"/>
    <w:rsid w:val="003034C7"/>
    <w:rsid w:val="00307769"/>
    <w:rsid w:val="0031046B"/>
    <w:rsid w:val="00314C54"/>
    <w:rsid w:val="00322B2C"/>
    <w:rsid w:val="00325F58"/>
    <w:rsid w:val="00353039"/>
    <w:rsid w:val="003530FC"/>
    <w:rsid w:val="00391372"/>
    <w:rsid w:val="003935B0"/>
    <w:rsid w:val="003A3A71"/>
    <w:rsid w:val="003B76F9"/>
    <w:rsid w:val="0040288E"/>
    <w:rsid w:val="00405310"/>
    <w:rsid w:val="00405ECC"/>
    <w:rsid w:val="00442726"/>
    <w:rsid w:val="00456DF2"/>
    <w:rsid w:val="00461442"/>
    <w:rsid w:val="0046582E"/>
    <w:rsid w:val="00492CDE"/>
    <w:rsid w:val="00493CFB"/>
    <w:rsid w:val="004A0FAE"/>
    <w:rsid w:val="004A6B71"/>
    <w:rsid w:val="004D2BE0"/>
    <w:rsid w:val="004E6938"/>
    <w:rsid w:val="004F241A"/>
    <w:rsid w:val="004F2546"/>
    <w:rsid w:val="00516542"/>
    <w:rsid w:val="00522E25"/>
    <w:rsid w:val="005341EB"/>
    <w:rsid w:val="00554B15"/>
    <w:rsid w:val="00555CEE"/>
    <w:rsid w:val="005662DE"/>
    <w:rsid w:val="00580C71"/>
    <w:rsid w:val="00583D47"/>
    <w:rsid w:val="0058759E"/>
    <w:rsid w:val="0059103B"/>
    <w:rsid w:val="005A183E"/>
    <w:rsid w:val="005B04A2"/>
    <w:rsid w:val="005C2B16"/>
    <w:rsid w:val="005C4AD1"/>
    <w:rsid w:val="005C704D"/>
    <w:rsid w:val="005F5A3E"/>
    <w:rsid w:val="00604107"/>
    <w:rsid w:val="00606E26"/>
    <w:rsid w:val="00655D6C"/>
    <w:rsid w:val="006638AF"/>
    <w:rsid w:val="006A60FE"/>
    <w:rsid w:val="006A7CFA"/>
    <w:rsid w:val="006F5BD1"/>
    <w:rsid w:val="00703111"/>
    <w:rsid w:val="0070319D"/>
    <w:rsid w:val="00724FEE"/>
    <w:rsid w:val="0073371B"/>
    <w:rsid w:val="00744E14"/>
    <w:rsid w:val="007750B2"/>
    <w:rsid w:val="00795CAA"/>
    <w:rsid w:val="008166D4"/>
    <w:rsid w:val="008244C3"/>
    <w:rsid w:val="00827133"/>
    <w:rsid w:val="00851077"/>
    <w:rsid w:val="0085594A"/>
    <w:rsid w:val="00880991"/>
    <w:rsid w:val="00886CA5"/>
    <w:rsid w:val="00891FAF"/>
    <w:rsid w:val="008A0B38"/>
    <w:rsid w:val="008B6267"/>
    <w:rsid w:val="008C0FA0"/>
    <w:rsid w:val="008C7E3F"/>
    <w:rsid w:val="008D415F"/>
    <w:rsid w:val="008E38B2"/>
    <w:rsid w:val="00900988"/>
    <w:rsid w:val="00914037"/>
    <w:rsid w:val="0091412D"/>
    <w:rsid w:val="009321AB"/>
    <w:rsid w:val="00947F98"/>
    <w:rsid w:val="00966A57"/>
    <w:rsid w:val="0099119A"/>
    <w:rsid w:val="009A4FFD"/>
    <w:rsid w:val="009A5009"/>
    <w:rsid w:val="009E654F"/>
    <w:rsid w:val="009E6883"/>
    <w:rsid w:val="00A11F9E"/>
    <w:rsid w:val="00A12B54"/>
    <w:rsid w:val="00A70ABC"/>
    <w:rsid w:val="00A95989"/>
    <w:rsid w:val="00AA7175"/>
    <w:rsid w:val="00AB541C"/>
    <w:rsid w:val="00AD6C4E"/>
    <w:rsid w:val="00AE23E0"/>
    <w:rsid w:val="00AF7FF0"/>
    <w:rsid w:val="00B354A5"/>
    <w:rsid w:val="00B44AD3"/>
    <w:rsid w:val="00B60F4E"/>
    <w:rsid w:val="00BA0270"/>
    <w:rsid w:val="00BA43CD"/>
    <w:rsid w:val="00BD06CC"/>
    <w:rsid w:val="00BE0BB4"/>
    <w:rsid w:val="00BF0B2A"/>
    <w:rsid w:val="00C0011A"/>
    <w:rsid w:val="00C0183B"/>
    <w:rsid w:val="00C10D5D"/>
    <w:rsid w:val="00C17AAC"/>
    <w:rsid w:val="00C332D4"/>
    <w:rsid w:val="00C409B4"/>
    <w:rsid w:val="00C41ED3"/>
    <w:rsid w:val="00C666DB"/>
    <w:rsid w:val="00C70FCA"/>
    <w:rsid w:val="00C84C48"/>
    <w:rsid w:val="00C953AC"/>
    <w:rsid w:val="00CC3DFD"/>
    <w:rsid w:val="00CC55A2"/>
    <w:rsid w:val="00CD5C80"/>
    <w:rsid w:val="00CE12F3"/>
    <w:rsid w:val="00D207DF"/>
    <w:rsid w:val="00D229C1"/>
    <w:rsid w:val="00D260BB"/>
    <w:rsid w:val="00D50B6F"/>
    <w:rsid w:val="00D516EA"/>
    <w:rsid w:val="00D86BF6"/>
    <w:rsid w:val="00DA2DBD"/>
    <w:rsid w:val="00DD042B"/>
    <w:rsid w:val="00DD759E"/>
    <w:rsid w:val="00DE7EEB"/>
    <w:rsid w:val="00E1773D"/>
    <w:rsid w:val="00E34E67"/>
    <w:rsid w:val="00E36C1E"/>
    <w:rsid w:val="00E60E07"/>
    <w:rsid w:val="00E66230"/>
    <w:rsid w:val="00E85CF1"/>
    <w:rsid w:val="00EA0C43"/>
    <w:rsid w:val="00EB09D4"/>
    <w:rsid w:val="00EB341E"/>
    <w:rsid w:val="00EB4937"/>
    <w:rsid w:val="00ED4EBC"/>
    <w:rsid w:val="00EE2F4B"/>
    <w:rsid w:val="00EE5173"/>
    <w:rsid w:val="00EE652D"/>
    <w:rsid w:val="00EE7CE9"/>
    <w:rsid w:val="00EF0BD7"/>
    <w:rsid w:val="00EF7E77"/>
    <w:rsid w:val="00F04E08"/>
    <w:rsid w:val="00F21D50"/>
    <w:rsid w:val="00F22FB7"/>
    <w:rsid w:val="00F26CEA"/>
    <w:rsid w:val="00F369BA"/>
    <w:rsid w:val="00F403E7"/>
    <w:rsid w:val="00F43AE9"/>
    <w:rsid w:val="00FA05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2F4B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uiPriority w:val="99"/>
    <w:rsid w:val="00EE2F4B"/>
    <w:pPr>
      <w:spacing w:before="100" w:beforeAutospacing="1" w:after="100" w:afterAutospacing="1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2F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rsid w:val="00EE2F4B"/>
    <w:pPr>
      <w:jc w:val="both"/>
    </w:pPr>
    <w:rPr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EE2F4B"/>
    <w:pPr>
      <w:spacing w:after="12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E2F4B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Hyperlink">
    <w:name w:val="Hyperlink"/>
    <w:basedOn w:val="DefaultParagraphFont"/>
    <w:uiPriority w:val="99"/>
    <w:rsid w:val="00EE2F4B"/>
    <w:rPr>
      <w:rFonts w:cs="Times New Roman"/>
      <w:color w:val="0000FF"/>
      <w:u w:val="single"/>
      <w:rtl w:val="0"/>
      <w:cs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2F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E2F4B"/>
    <w:pPr>
      <w:spacing w:after="120" w:line="480" w:lineRule="auto"/>
      <w:jc w:val="left"/>
    </w:pPr>
  </w:style>
  <w:style w:type="character" w:customStyle="1" w:styleId="apple-converted-space">
    <w:name w:val="apple-converted-space"/>
    <w:basedOn w:val="DefaultParagraphFont"/>
    <w:rsid w:val="00EE2F4B"/>
    <w:rPr>
      <w:rFonts w:cs="Times New Roman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E2F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EE2F4B"/>
    <w:pPr>
      <w:spacing w:after="120"/>
      <w:ind w:left="283"/>
      <w:jc w:val="left"/>
    </w:pPr>
  </w:style>
  <w:style w:type="paragraph" w:styleId="ListParagraph">
    <w:name w:val="List Paragraph"/>
    <w:basedOn w:val="Normal"/>
    <w:uiPriority w:val="34"/>
    <w:qFormat/>
    <w:rsid w:val="0018663C"/>
    <w:pPr>
      <w:ind w:left="708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2F4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Char">
    <w:name w:val="odsek Char"/>
    <w:link w:val="odsek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qFormat/>
    <w:rsid w:val="0018663C"/>
    <w:pPr>
      <w:keepNext/>
      <w:ind w:firstLine="709"/>
      <w:jc w:val="both"/>
    </w:pPr>
    <w:rPr>
      <w:rFonts w:ascii="Calibri" w:hAnsi="Calibri"/>
    </w:rPr>
  </w:style>
  <w:style w:type="paragraph" w:customStyle="1" w:styleId="odsek1">
    <w:name w:val="odsek1"/>
    <w:basedOn w:val="Normal"/>
    <w:qFormat/>
    <w:rsid w:val="0018663C"/>
    <w:pPr>
      <w:keepNext/>
      <w:numPr>
        <w:numId w:val="6"/>
      </w:numPr>
      <w:spacing w:before="120" w:after="120"/>
      <w:ind w:left="1353"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Strong">
    <w:name w:val="Strong"/>
    <w:basedOn w:val="DefaultParagraphFont"/>
    <w:uiPriority w:val="22"/>
    <w:qFormat/>
    <w:rsid w:val="005C2B16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1B213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13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2279</Words>
  <Characters>12996</Characters>
  <Application>Microsoft Office Word</Application>
  <DocSecurity>0</DocSecurity>
  <Lines>0</Lines>
  <Paragraphs>0</Paragraphs>
  <ScaleCrop>false</ScaleCrop>
  <Company>Kancelaria NR SR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2015-02-19T09:43:00Z</cp:lastPrinted>
  <dcterms:created xsi:type="dcterms:W3CDTF">2015-02-20T14:46:00Z</dcterms:created>
  <dcterms:modified xsi:type="dcterms:W3CDTF">2015-02-20T14:46:00Z</dcterms:modified>
</cp:coreProperties>
</file>