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6C6B" w:rsidRPr="00884FE8" w:rsidP="008E6C6B">
      <w:pPr>
        <w:bidi w:val="0"/>
        <w:ind w:firstLine="708"/>
        <w:jc w:val="center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D ô v o d o v á   s p r á v a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 </w:t>
      </w:r>
    </w:p>
    <w:p w:rsidR="008E6C6B" w:rsidRPr="00884FE8" w:rsidP="008E6C6B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 xml:space="preserve">Všeobecná časť 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D324FF">
      <w:pPr>
        <w:bidi w:val="0"/>
        <w:ind w:firstLine="708"/>
        <w:jc w:val="both"/>
        <w:rPr>
          <w:rFonts w:ascii="Times New Roman" w:hAnsi="Times New Roman"/>
          <w:bCs/>
        </w:rPr>
      </w:pPr>
      <w:r w:rsidRPr="00884FE8">
        <w:rPr>
          <w:rFonts w:ascii="Times New Roman" w:hAnsi="Times New Roman"/>
        </w:rPr>
        <w:t xml:space="preserve">Predložený návrh zákona, ktorým sa mení a dopĺňa zákon </w:t>
      </w:r>
      <w:r w:rsidRPr="00884FE8">
        <w:rPr>
          <w:rFonts w:ascii="Times New Roman" w:hAnsi="Times New Roman"/>
          <w:bCs/>
        </w:rPr>
        <w:t xml:space="preserve">č. </w:t>
      </w:r>
      <w:r w:rsidRPr="00884FE8" w:rsidR="00796D4A">
        <w:rPr>
          <w:rFonts w:ascii="Times New Roman" w:hAnsi="Times New Roman"/>
          <w:bCs/>
        </w:rPr>
        <w:t xml:space="preserve">222/2004 Z. z. o dani z pridanej hodnoty </w:t>
      </w:r>
      <w:r w:rsidRPr="00884FE8">
        <w:rPr>
          <w:rFonts w:ascii="Times New Roman" w:hAnsi="Times New Roman"/>
          <w:bCs/>
        </w:rPr>
        <w:t xml:space="preserve">v znení neskorších predpisov </w:t>
      </w:r>
      <w:r w:rsidRPr="00884FE8" w:rsidR="00796D4A">
        <w:rPr>
          <w:rFonts w:ascii="Times New Roman" w:hAnsi="Times New Roman"/>
          <w:bCs/>
        </w:rPr>
        <w:t xml:space="preserve">a o zmene a doplnení niektorých zákonov </w:t>
      </w:r>
      <w:r w:rsidRPr="00884FE8">
        <w:rPr>
          <w:rFonts w:ascii="Times New Roman" w:hAnsi="Times New Roman"/>
          <w:bCs/>
        </w:rPr>
        <w:t xml:space="preserve"> </w:t>
      </w:r>
      <w:r w:rsidRPr="00884FE8">
        <w:rPr>
          <w:rFonts w:ascii="Times New Roman" w:hAnsi="Times New Roman"/>
        </w:rPr>
        <w:t>predkladá na rokovanie Národnej rady Slovenskej republiky poslankyňa Národnej rady Slovenskej republiky Jana Kiššová.</w:t>
      </w:r>
    </w:p>
    <w:p w:rsidR="008E6C6B" w:rsidRPr="00884FE8" w:rsidP="00D324FF">
      <w:pPr>
        <w:bidi w:val="0"/>
        <w:ind w:firstLine="708"/>
        <w:jc w:val="both"/>
        <w:rPr>
          <w:rFonts w:ascii="Times New Roman" w:hAnsi="Times New Roman"/>
        </w:rPr>
      </w:pPr>
    </w:p>
    <w:p w:rsidR="00796D4A" w:rsidRPr="00884FE8" w:rsidP="00D324FF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>Predložený návrh nadväzuje na návrh predložený na januárovo-februárovú schôdzu Národnej rady Slovenskej republiky pod č. tlače</w:t>
      </w:r>
      <w:r w:rsidRPr="00884FE8" w:rsidR="006E05AC">
        <w:rPr>
          <w:rFonts w:ascii="Times New Roman" w:hAnsi="Times New Roman"/>
        </w:rPr>
        <w:t xml:space="preserve"> 1369</w:t>
      </w:r>
      <w:r w:rsidRPr="00884FE8">
        <w:rPr>
          <w:rFonts w:ascii="Times New Roman" w:hAnsi="Times New Roman"/>
        </w:rPr>
        <w:t xml:space="preserve"> a rieši ďalší okruh otázok, ktoré súvisia s poslednej dobe rozšíreným javom neplatenia faktúr predovšetkým veľkými subjektmi svojim subdodávateľom. Zatiaľ čo predchádzajúci návrh upravoval otázky súvisiace s konkurzom a reštrukturalizáciu, predložený návrh súvisí so zákonom o dani z pridanej hodnoty</w:t>
      </w:r>
      <w:r w:rsidRPr="00884FE8" w:rsidR="006E05AC">
        <w:rPr>
          <w:rFonts w:ascii="Times New Roman" w:hAnsi="Times New Roman"/>
        </w:rPr>
        <w:t xml:space="preserve"> a s exekučným konaním</w:t>
      </w:r>
      <w:r w:rsidRPr="00884FE8">
        <w:rPr>
          <w:rFonts w:ascii="Times New Roman" w:hAnsi="Times New Roman"/>
        </w:rPr>
        <w:t>. Návrh zákona predovšetkým:</w:t>
      </w:r>
    </w:p>
    <w:p w:rsidR="00796D4A" w:rsidRPr="00884FE8" w:rsidP="008E6C6B">
      <w:pPr>
        <w:bidi w:val="0"/>
        <w:ind w:firstLine="708"/>
        <w:rPr>
          <w:rFonts w:ascii="Times New Roman" w:hAnsi="Times New Roman"/>
        </w:rPr>
      </w:pPr>
    </w:p>
    <w:p w:rsidR="00796D4A" w:rsidRPr="00884FE8" w:rsidP="00796D4A">
      <w:pPr>
        <w:numPr>
          <w:numId w:val="2"/>
        </w:numPr>
        <w:bidi w:val="0"/>
        <w:rPr>
          <w:rFonts w:ascii="Times New Roman" w:hAnsi="Times New Roman"/>
        </w:rPr>
      </w:pPr>
      <w:r w:rsidRPr="00884FE8" w:rsidR="00D324FF">
        <w:rPr>
          <w:rFonts w:ascii="Times New Roman" w:hAnsi="Times New Roman"/>
        </w:rPr>
        <w:t>z</w:t>
      </w:r>
      <w:r w:rsidRPr="00884FE8">
        <w:rPr>
          <w:rFonts w:ascii="Times New Roman" w:hAnsi="Times New Roman"/>
        </w:rPr>
        <w:t>avádza inštitút výpisu z kontrolného výkazu</w:t>
      </w:r>
      <w:r w:rsidRPr="00884FE8" w:rsidR="006E05AC">
        <w:rPr>
          <w:rFonts w:ascii="Times New Roman" w:hAnsi="Times New Roman"/>
        </w:rPr>
        <w:t>,</w:t>
      </w:r>
    </w:p>
    <w:p w:rsidR="006E05AC" w:rsidRPr="00884FE8" w:rsidP="00796D4A">
      <w:pPr>
        <w:numPr>
          <w:numId w:val="2"/>
        </w:numPr>
        <w:bidi w:val="0"/>
        <w:rPr>
          <w:rFonts w:ascii="Times New Roman" w:hAnsi="Times New Roman"/>
        </w:rPr>
      </w:pPr>
      <w:r w:rsidRPr="00884FE8" w:rsidR="00D324FF">
        <w:rPr>
          <w:rFonts w:ascii="Times New Roman" w:hAnsi="Times New Roman"/>
        </w:rPr>
        <w:t>z</w:t>
      </w:r>
      <w:r w:rsidRPr="00884FE8" w:rsidR="00796D4A">
        <w:rPr>
          <w:rFonts w:ascii="Times New Roman" w:hAnsi="Times New Roman"/>
        </w:rPr>
        <w:t>akladá nevyvrátiteľnú domnie</w:t>
      </w:r>
      <w:r w:rsidRPr="00884FE8" w:rsidR="00D324FF">
        <w:rPr>
          <w:rFonts w:ascii="Times New Roman" w:hAnsi="Times New Roman"/>
        </w:rPr>
        <w:t>n</w:t>
      </w:r>
      <w:r w:rsidRPr="00884FE8" w:rsidR="00796D4A">
        <w:rPr>
          <w:rFonts w:ascii="Times New Roman" w:hAnsi="Times New Roman"/>
        </w:rPr>
        <w:t>ku (právnu fikciu), že údaje</w:t>
      </w:r>
      <w:r w:rsidRPr="00884FE8" w:rsidR="00D324FF">
        <w:rPr>
          <w:rFonts w:ascii="Times New Roman" w:hAnsi="Times New Roman"/>
        </w:rPr>
        <w:t xml:space="preserve"> z prijatej faktúry</w:t>
      </w:r>
      <w:r w:rsidRPr="00884FE8" w:rsidR="00796D4A">
        <w:rPr>
          <w:rFonts w:ascii="Times New Roman" w:hAnsi="Times New Roman"/>
        </w:rPr>
        <w:t>, ktoré platiteľ dane uviedol v kontrolnom výkaze</w:t>
      </w:r>
      <w:r w:rsidRPr="00884FE8">
        <w:rPr>
          <w:rFonts w:ascii="Times New Roman" w:hAnsi="Times New Roman"/>
        </w:rPr>
        <w:t>,</w:t>
      </w:r>
      <w:r w:rsidRPr="00884FE8" w:rsidR="00796D4A">
        <w:rPr>
          <w:rFonts w:ascii="Times New Roman" w:hAnsi="Times New Roman"/>
        </w:rPr>
        <w:t xml:space="preserve"> </w:t>
      </w:r>
      <w:r w:rsidRPr="00884FE8" w:rsidR="00D324FF">
        <w:rPr>
          <w:rFonts w:ascii="Times New Roman" w:hAnsi="Times New Roman"/>
        </w:rPr>
        <w:t>sú ním uznané čo do právne</w:t>
      </w:r>
      <w:r w:rsidRPr="00884FE8">
        <w:rPr>
          <w:rFonts w:ascii="Times New Roman" w:hAnsi="Times New Roman"/>
        </w:rPr>
        <w:t>ho dôvodu i výšky,</w:t>
      </w:r>
    </w:p>
    <w:p w:rsidR="00D324FF" w:rsidRPr="00884FE8" w:rsidP="00796D4A">
      <w:pPr>
        <w:numPr>
          <w:numId w:val="2"/>
        </w:numPr>
        <w:bidi w:val="0"/>
        <w:rPr>
          <w:rFonts w:ascii="Times New Roman" w:hAnsi="Times New Roman"/>
        </w:rPr>
      </w:pPr>
      <w:r w:rsidRPr="00884FE8">
        <w:rPr>
          <w:rFonts w:ascii="Times New Roman" w:hAnsi="Times New Roman"/>
        </w:rPr>
        <w:t>r</w:t>
      </w:r>
      <w:r w:rsidRPr="00884FE8" w:rsidR="00796D4A">
        <w:rPr>
          <w:rFonts w:ascii="Times New Roman" w:hAnsi="Times New Roman"/>
        </w:rPr>
        <w:t>ozširuje okruh exekučných titulov o výpis z kontrolného výkazu</w:t>
      </w:r>
      <w:r w:rsidRPr="00884FE8">
        <w:rPr>
          <w:rFonts w:ascii="Times New Roman" w:hAnsi="Times New Roman"/>
        </w:rPr>
        <w:t>, čím sa zaručí expresná exekvovateľnosť nesplatených  pohľadávok</w:t>
      </w:r>
      <w:r w:rsidRPr="00884FE8" w:rsidR="006E05AC">
        <w:rPr>
          <w:rFonts w:ascii="Times New Roman" w:hAnsi="Times New Roman"/>
        </w:rPr>
        <w:t>,</w:t>
      </w:r>
    </w:p>
    <w:p w:rsidR="00796D4A" w:rsidRPr="00884FE8" w:rsidP="00796D4A">
      <w:pPr>
        <w:numPr>
          <w:numId w:val="2"/>
        </w:numPr>
        <w:bidi w:val="0"/>
        <w:rPr>
          <w:rFonts w:ascii="Times New Roman" w:hAnsi="Times New Roman"/>
        </w:rPr>
      </w:pPr>
      <w:r w:rsidRPr="00884FE8" w:rsidR="00D324FF">
        <w:rPr>
          <w:rFonts w:ascii="Times New Roman" w:hAnsi="Times New Roman"/>
        </w:rPr>
        <w:t>zakotvuje, že  dňom uplynutia lehoty na zaplatenie faktúry prestávajú byť obchodným tajomstvom údaje uvedené v nezaplatenej faktúre</w:t>
      </w:r>
      <w:r w:rsidRPr="00884FE8" w:rsidR="006E05AC">
        <w:rPr>
          <w:rFonts w:ascii="Times New Roman" w:hAnsi="Times New Roman"/>
        </w:rPr>
        <w:t>,</w:t>
      </w:r>
    </w:p>
    <w:p w:rsidR="006E05AC" w:rsidRPr="00884FE8" w:rsidP="00796D4A">
      <w:pPr>
        <w:numPr>
          <w:numId w:val="2"/>
        </w:numPr>
        <w:bidi w:val="0"/>
        <w:rPr>
          <w:rFonts w:ascii="Times New Roman" w:hAnsi="Times New Roman"/>
        </w:rPr>
      </w:pPr>
      <w:r w:rsidRPr="00884FE8">
        <w:rPr>
          <w:rFonts w:ascii="Times New Roman" w:hAnsi="Times New Roman"/>
        </w:rPr>
        <w:t>skracuje sa lehota na vrátenie nadmerného odpočtu na 4 mesiace od začatia daňovej kontroly s tým, že po uplynutí prvých dvoch mesiacov sa nevrátený nadmerný odpočet úročí sadzbou vo výške trojnásobku EURIBOR-u.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9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8E6C6B" w:rsidRPr="00884FE8" w:rsidP="008E6C6B">
      <w:pPr>
        <w:bidi w:val="0"/>
        <w:ind w:firstLine="709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9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Návrh zákona nebude mať vplyv na verejné financie, nebude mať sociálny vplyv  ani vplyv na životné prostredie a informatizáciu spoločnosti. </w:t>
      </w:r>
      <w:r w:rsidRPr="00884FE8" w:rsidR="00D324FF">
        <w:rPr>
          <w:rFonts w:ascii="Times New Roman" w:hAnsi="Times New Roman"/>
        </w:rPr>
        <w:t>Návrh zákona bude mať pozitívny vplyv na podnikateľské prostredie.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9148C5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9148C5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6E05AC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8E6C6B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 xml:space="preserve">Osobitná časť </w:t>
      </w:r>
    </w:p>
    <w:p w:rsidR="008E6C6B" w:rsidRPr="00884FE8" w:rsidP="008E6C6B">
      <w:pPr>
        <w:bidi w:val="0"/>
        <w:ind w:firstLine="708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K čl. I</w:t>
      </w:r>
    </w:p>
    <w:p w:rsidR="008E6C6B" w:rsidRPr="00884FE8" w:rsidP="008E6C6B">
      <w:pPr>
        <w:bidi w:val="0"/>
        <w:rPr>
          <w:rFonts w:ascii="Times New Roman" w:hAnsi="Times New Roman"/>
        </w:rPr>
      </w:pPr>
    </w:p>
    <w:p w:rsidR="008E6C6B" w:rsidRPr="00884FE8" w:rsidP="008E6C6B">
      <w:pPr>
        <w:bidi w:val="0"/>
        <w:rPr>
          <w:rFonts w:ascii="Times New Roman" w:hAnsi="Times New Roman"/>
          <w:b/>
        </w:rPr>
      </w:pPr>
      <w:r w:rsidRPr="00884FE8" w:rsidR="00E31068">
        <w:rPr>
          <w:rFonts w:ascii="Times New Roman" w:hAnsi="Times New Roman"/>
          <w:b/>
        </w:rPr>
        <w:t xml:space="preserve">K bodu </w:t>
      </w:r>
      <w:r w:rsidRPr="00884FE8" w:rsidR="009148C5">
        <w:rPr>
          <w:rFonts w:ascii="Times New Roman" w:hAnsi="Times New Roman"/>
          <w:b/>
        </w:rPr>
        <w:t>1</w:t>
      </w:r>
      <w:r w:rsidRPr="00884FE8" w:rsidR="00E31068">
        <w:rPr>
          <w:rFonts w:ascii="Times New Roman" w:hAnsi="Times New Roman"/>
          <w:b/>
        </w:rPr>
        <w:t xml:space="preserve"> </w:t>
      </w:r>
    </w:p>
    <w:p w:rsidR="008E6C6B" w:rsidRPr="00884FE8" w:rsidP="008E6C6B">
      <w:pPr>
        <w:bidi w:val="0"/>
        <w:ind w:firstLine="708"/>
        <w:rPr>
          <w:rFonts w:ascii="Times New Roman" w:hAnsi="Times New Roman"/>
          <w:highlight w:val="green"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Navrhuje sa zakotvenie nevyvrátiteľnej domnienky (právnej fikcie), podľa ktorej všetko, čo osoba uviedla v kontrolnom výkaze je dňom </w:t>
      </w:r>
      <w:r w:rsidRPr="00884FE8" w:rsidR="00E31068">
        <w:rPr>
          <w:rFonts w:ascii="Times New Roman" w:hAnsi="Times New Roman"/>
        </w:rPr>
        <w:t xml:space="preserve">podania </w:t>
      </w:r>
      <w:r w:rsidRPr="00884FE8">
        <w:rPr>
          <w:rFonts w:ascii="Times New Roman" w:hAnsi="Times New Roman"/>
        </w:rPr>
        <w:t xml:space="preserve">kontrolného výkazu </w:t>
      </w:r>
      <w:r w:rsidRPr="00884FE8" w:rsidR="00E31068">
        <w:rPr>
          <w:rFonts w:ascii="Times New Roman" w:hAnsi="Times New Roman"/>
        </w:rPr>
        <w:t xml:space="preserve">daňovému úradu </w:t>
      </w:r>
      <w:r w:rsidRPr="00884FE8">
        <w:rPr>
          <w:rFonts w:ascii="Times New Roman" w:hAnsi="Times New Roman"/>
        </w:rPr>
        <w:t xml:space="preserve">touto osobou uznané v plnej výške. </w:t>
      </w:r>
    </w:p>
    <w:p w:rsidR="008E6C6B" w:rsidRPr="00884FE8" w:rsidP="008E6C6B">
      <w:pPr>
        <w:bidi w:val="0"/>
        <w:rPr>
          <w:rFonts w:ascii="Times New Roman" w:hAnsi="Times New Roman"/>
        </w:rPr>
      </w:pPr>
    </w:p>
    <w:p w:rsidR="008E6C6B" w:rsidRPr="00884FE8" w:rsidP="008E6C6B">
      <w:pPr>
        <w:bidi w:val="0"/>
        <w:rPr>
          <w:rFonts w:ascii="Times New Roman" w:hAnsi="Times New Roman"/>
          <w:b/>
        </w:rPr>
      </w:pPr>
      <w:r w:rsidRPr="00884FE8" w:rsidR="00E31068">
        <w:rPr>
          <w:rFonts w:ascii="Times New Roman" w:hAnsi="Times New Roman"/>
          <w:b/>
        </w:rPr>
        <w:t xml:space="preserve">K bodu </w:t>
      </w:r>
      <w:r w:rsidRPr="00884FE8" w:rsidR="009148C5">
        <w:rPr>
          <w:rFonts w:ascii="Times New Roman" w:hAnsi="Times New Roman"/>
          <w:b/>
        </w:rPr>
        <w:t>2</w:t>
      </w:r>
      <w:r w:rsidRPr="00884FE8" w:rsidR="00E31068">
        <w:rPr>
          <w:rFonts w:ascii="Times New Roman" w:hAnsi="Times New Roman"/>
          <w:b/>
        </w:rPr>
        <w:t xml:space="preserve"> </w:t>
      </w:r>
    </w:p>
    <w:p w:rsidR="008E6C6B" w:rsidRPr="00884FE8" w:rsidP="008E6C6B">
      <w:pPr>
        <w:bidi w:val="0"/>
        <w:ind w:firstLine="708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>Navrhuje sa zavedenie výpisu z kontrolného výkazu; navrhovaná úprava nadväzuje na už dnes legislatívne upravený kontrolný výkaz. Výpis z kontrolného výkazu obsahuje výlučne údaje uvedené v kontrolnom výkaze vzťahujúce sa na faktúru alebo na iný doklad o dodaní tovaru alebo služby, ktorú žiadateľ uviedol v žiadosti. Žiadateľom môže byť len osoba, ktorá vystavila faktúru alebo iný doklad o dodaní tovaru alebo služby a súčasťou žiadosti je príloha, ktorej obsahom je kópia faktúry, alebo iného dokladu o dodaní tovaru alebo služby.</w:t>
      </w:r>
    </w:p>
    <w:p w:rsidR="008E6C6B" w:rsidRPr="00884FE8" w:rsidP="008E6C6B">
      <w:pPr>
        <w:bidi w:val="0"/>
        <w:rPr>
          <w:rFonts w:ascii="Times New Roman" w:hAnsi="Times New Roman"/>
        </w:rPr>
      </w:pPr>
    </w:p>
    <w:p w:rsidR="008E6C6B" w:rsidRPr="00884FE8" w:rsidP="008E6C6B">
      <w:pPr>
        <w:bidi w:val="0"/>
        <w:jc w:val="both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 xml:space="preserve">K bodu </w:t>
      </w:r>
      <w:r w:rsidRPr="00884FE8" w:rsidR="009148C5">
        <w:rPr>
          <w:rFonts w:ascii="Times New Roman" w:hAnsi="Times New Roman"/>
          <w:b/>
        </w:rPr>
        <w:t>3</w:t>
      </w:r>
      <w:r w:rsidRPr="00884FE8">
        <w:rPr>
          <w:rFonts w:ascii="Times New Roman" w:hAnsi="Times New Roman"/>
          <w:b/>
        </w:rPr>
        <w:t xml:space="preserve"> 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>Pri vzniku nadmerného odpočtu sa v mnohých prípadoch rozhodne daňový úrad vykonať kontrolu, pričom táto kontrola môže trvať aj jeden rok (§ 46 ods. 10 zákona č. 563/2009 Z. z. o správe daní (daňový poriadok) a o zmene a doplnení niektorých zákonov v znení neskorších predpisov)</w:t>
      </w:r>
      <w:r w:rsidRPr="00884FE8" w:rsidR="007126DF">
        <w:rPr>
          <w:rFonts w:ascii="Times New Roman" w:hAnsi="Times New Roman"/>
        </w:rPr>
        <w:t>.</w:t>
      </w:r>
      <w:r w:rsidRPr="00884FE8">
        <w:rPr>
          <w:rFonts w:ascii="Times New Roman" w:hAnsi="Times New Roman"/>
        </w:rPr>
        <w:t xml:space="preserve"> Podľa súčasnej úpravy § 79 ods. 6 v prípade začatia daňovej kontroly zo strany daňového úradu daňový úrad vráti nadmerný odpočet do desiatich dní od skončenia daňovej kontroly a to vo výške zistenej daňovým úradom.  V praxi to znamená, že daňovému subjektu možno nadmerný odpočet zadržiavať a</w:t>
      </w:r>
      <w:r w:rsidRPr="00884FE8" w:rsidR="007126DF">
        <w:rPr>
          <w:rFonts w:ascii="Times New Roman" w:hAnsi="Times New Roman"/>
        </w:rPr>
        <w:t>ž</w:t>
      </w:r>
      <w:r w:rsidRPr="00884FE8">
        <w:rPr>
          <w:rFonts w:ascii="Times New Roman" w:hAnsi="Times New Roman"/>
        </w:rPr>
        <w:t xml:space="preserve"> jeden rok. Uvedená úprava pôsobí likvidačne na tých podnikateľov, ktorých podnikanie je založené na veľkých obratoch a malých maržiach, keďže títo  podnikatelia nemajú možnosť dostať sa k zdrojom nevyhnutým na ďalšie fungovanie chodu firmy. Predkladatelia rešpektujú legitímny záujem štátu ako strážcu a správcu verejných financií na preverení všetkých skutočností, ktoré by potvrdili alebo vyvrátili podozrenia o daňových podvodoch,  ochrana legitímneho záujmu štátu by</w:t>
      </w:r>
      <w:r w:rsidRPr="00884FE8" w:rsidR="007126DF">
        <w:rPr>
          <w:rFonts w:ascii="Times New Roman" w:hAnsi="Times New Roman"/>
        </w:rPr>
        <w:t xml:space="preserve"> však</w:t>
      </w:r>
      <w:r w:rsidRPr="00884FE8">
        <w:rPr>
          <w:rFonts w:ascii="Times New Roman" w:hAnsi="Times New Roman"/>
        </w:rPr>
        <w:t xml:space="preserve"> nemala byť v hrubom nepomere s existenčnými záujmami kontrolovaného daňového subjektu. Z uvedeného dôvodu predkladatelia nezasahujú do dĺžky daňovej kontroly (ponechávajú ju na úrovni jedného roka), avšak navrhujú, aby k vráteniu nadmerného odpočtu došlo najneskôr do štyroch mesiacov od začatia daňovej kontroly, pričom po uplynutí dvoch mesiacov od začatia daňovej kontroly je </w:t>
      </w:r>
      <w:r w:rsidRPr="00884FE8" w:rsidR="007126DF">
        <w:rPr>
          <w:rFonts w:ascii="Times New Roman" w:hAnsi="Times New Roman"/>
        </w:rPr>
        <w:t xml:space="preserve">daňový úrad </w:t>
      </w:r>
      <w:r w:rsidRPr="00884FE8">
        <w:rPr>
          <w:rFonts w:ascii="Times New Roman" w:hAnsi="Times New Roman"/>
        </w:rPr>
        <w:t xml:space="preserve">povinný uhradiť daňovému subjektu </w:t>
      </w:r>
      <w:r w:rsidRPr="00884FE8" w:rsidR="007126DF">
        <w:rPr>
          <w:rFonts w:ascii="Times New Roman" w:hAnsi="Times New Roman"/>
        </w:rPr>
        <w:t xml:space="preserve">úrok </w:t>
      </w:r>
      <w:r w:rsidRPr="00884FE8">
        <w:rPr>
          <w:rFonts w:ascii="Times New Roman" w:hAnsi="Times New Roman"/>
        </w:rPr>
        <w:t xml:space="preserve">vo výške trojnásobku </w:t>
      </w:r>
      <w:r w:rsidRPr="00884FE8" w:rsidR="007126DF">
        <w:rPr>
          <w:rFonts w:ascii="Times New Roman" w:hAnsi="Times New Roman"/>
        </w:rPr>
        <w:t xml:space="preserve">EURIBOR-u. </w:t>
      </w:r>
    </w:p>
    <w:p w:rsidR="008E6C6B" w:rsidRPr="00884FE8" w:rsidP="008E6C6B">
      <w:pPr>
        <w:bidi w:val="0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>Podľa názoru predkladateľ</w:t>
      </w:r>
      <w:r w:rsidRPr="00884FE8" w:rsidR="007126DF">
        <w:rPr>
          <w:rFonts w:ascii="Times New Roman" w:hAnsi="Times New Roman"/>
        </w:rPr>
        <w:t>a</w:t>
      </w:r>
      <w:r w:rsidRPr="00884FE8">
        <w:rPr>
          <w:rFonts w:ascii="Times New Roman" w:hAnsi="Times New Roman"/>
        </w:rPr>
        <w:t xml:space="preserve"> sú štyri mesiace dostatočne dlhá doba na potvrdenie alebo vyvrátenie podozrenia, či v danom prípade došlo alebo nedošlo k daňovému podvodu. Podľa názoru predkladateľov by mohlo byť korektným kompromisom počas prvých dvoch mesiacov od začatia daňovej kontroly zadržiavaný nadmerný odpočet neúročiť a po uplynutí prvých dvoch mesiacov priznať kontrolovanému daňovému subjektu nárok na úročenie zadržiavanej sumy vo výške trojnáso</w:t>
      </w:r>
      <w:r w:rsidRPr="00884FE8" w:rsidR="007126DF">
        <w:rPr>
          <w:rFonts w:ascii="Times New Roman" w:hAnsi="Times New Roman"/>
        </w:rPr>
        <w:t>b</w:t>
      </w:r>
      <w:r w:rsidRPr="00884FE8">
        <w:rPr>
          <w:rFonts w:ascii="Times New Roman" w:hAnsi="Times New Roman"/>
        </w:rPr>
        <w:t xml:space="preserve">ku EURIBOR-u. </w:t>
      </w:r>
    </w:p>
    <w:p w:rsidR="008E6C6B" w:rsidRPr="00884FE8" w:rsidP="008E6C6B">
      <w:pPr>
        <w:bidi w:val="0"/>
        <w:rPr>
          <w:rFonts w:ascii="Times New Roman" w:hAnsi="Times New Roman"/>
        </w:rPr>
      </w:pPr>
    </w:p>
    <w:p w:rsidR="009148C5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9148C5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9148C5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K čl. II</w:t>
      </w: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K bodu 1</w:t>
      </w: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 xml:space="preserve">V záujme spružnenia exekučného procesu sa navrhuje definovať ako exekučný titul aj výpis z kontrolného výkazu vydaný </w:t>
      </w:r>
      <w:r w:rsidRPr="00884FE8" w:rsidR="007126DF">
        <w:rPr>
          <w:rFonts w:ascii="Times New Roman" w:hAnsi="Times New Roman"/>
        </w:rPr>
        <w:t xml:space="preserve">daňovým úradom </w:t>
      </w:r>
      <w:r w:rsidRPr="00884FE8">
        <w:rPr>
          <w:rFonts w:ascii="Times New Roman" w:hAnsi="Times New Roman"/>
        </w:rPr>
        <w:t>podľa zákona o dani z pridanej hodnoty. Podľa názoru predkladateľ</w:t>
      </w:r>
      <w:r w:rsidRPr="00884FE8" w:rsidR="007126DF">
        <w:rPr>
          <w:rFonts w:ascii="Times New Roman" w:hAnsi="Times New Roman"/>
        </w:rPr>
        <w:t>a</w:t>
      </w:r>
      <w:r w:rsidRPr="00884FE8">
        <w:rPr>
          <w:rFonts w:ascii="Times New Roman" w:hAnsi="Times New Roman"/>
        </w:rPr>
        <w:t xml:space="preserve"> poskytuje výpis z kontrolného výkazu vydaný </w:t>
      </w:r>
      <w:r w:rsidRPr="00884FE8" w:rsidR="007126DF">
        <w:rPr>
          <w:rFonts w:ascii="Times New Roman" w:hAnsi="Times New Roman"/>
        </w:rPr>
        <w:t xml:space="preserve">daňovým úradom </w:t>
      </w:r>
      <w:r w:rsidRPr="00884FE8">
        <w:rPr>
          <w:rFonts w:ascii="Times New Roman" w:hAnsi="Times New Roman"/>
        </w:rPr>
        <w:t xml:space="preserve">hodnoverný dôkaz o výške dlhu, jeho splatnosti a postoji dlžníka k dlhu ako takému. Ak totiž daňový subjekt zašle </w:t>
      </w:r>
      <w:r w:rsidRPr="00884FE8" w:rsidR="007126DF">
        <w:rPr>
          <w:rFonts w:ascii="Times New Roman" w:hAnsi="Times New Roman"/>
        </w:rPr>
        <w:t xml:space="preserve">daňovému úradu </w:t>
      </w:r>
      <w:r w:rsidRPr="00884FE8">
        <w:rPr>
          <w:rFonts w:ascii="Times New Roman" w:hAnsi="Times New Roman"/>
        </w:rPr>
        <w:t>kontrolný výkaz</w:t>
      </w:r>
      <w:r w:rsidRPr="00884FE8" w:rsidR="007126DF">
        <w:rPr>
          <w:rFonts w:ascii="Times New Roman" w:hAnsi="Times New Roman"/>
        </w:rPr>
        <w:t>,</w:t>
      </w:r>
      <w:r w:rsidRPr="00884FE8">
        <w:rPr>
          <w:rFonts w:ascii="Times New Roman" w:hAnsi="Times New Roman"/>
        </w:rPr>
        <w:t xml:space="preserve"> jednoznačne tým vyjadruje svoj akceptačný postoj k danej pohľadávke z hľadiska všetkých jej atribútov uvedených v kontrolnom výkaze. Z tohto dôvodu vnímame ako zdĺhavé a administratívne náročné, aby danú pohľadávku  musel potvrdzovať súd v platobnom rozkaze, resp. rozsudku. 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K bodom 2 a 3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  <w:r w:rsidRPr="00884FE8">
        <w:rPr>
          <w:rFonts w:ascii="Times New Roman" w:hAnsi="Times New Roman"/>
        </w:rPr>
        <w:t>Legislatívno-technické úpravy súvisiace s posunom novelizačných bodov.</w:t>
      </w:r>
    </w:p>
    <w:p w:rsidR="008E6C6B" w:rsidRPr="00884FE8" w:rsidP="008E6C6B">
      <w:pPr>
        <w:bidi w:val="0"/>
        <w:ind w:firstLine="708"/>
        <w:jc w:val="both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K čl. III</w:t>
      </w: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7126DF" w:rsidRPr="00884FE8" w:rsidP="006A3682">
      <w:pPr>
        <w:bidi w:val="0"/>
        <w:ind w:firstLine="708"/>
        <w:jc w:val="both"/>
        <w:rPr>
          <w:rFonts w:ascii="Times New Roman" w:hAnsi="Times New Roman"/>
          <w:b/>
        </w:rPr>
      </w:pPr>
      <w:r w:rsidRPr="00884FE8" w:rsidR="009F793E">
        <w:rPr>
          <w:rFonts w:ascii="Times New Roman" w:hAnsi="Times New Roman"/>
        </w:rPr>
        <w:t>Navrhuje sa doplnenie Obchodného zákonníka o</w:t>
      </w:r>
      <w:r w:rsidRPr="00884FE8" w:rsidR="005D03E2">
        <w:rPr>
          <w:rFonts w:ascii="Times New Roman" w:hAnsi="Times New Roman"/>
        </w:rPr>
        <w:t> zásadu, že d</w:t>
      </w:r>
      <w:r w:rsidRPr="00884FE8" w:rsidR="009F793E">
        <w:rPr>
          <w:rFonts w:ascii="Times New Roman" w:hAnsi="Times New Roman"/>
        </w:rPr>
        <w:t>ňom uplynutia lehoty na zaplatenie faktúry prestávajú byť obchodným tajomstvom údaje uvedené v nezaplatenej faktúre.</w:t>
      </w:r>
    </w:p>
    <w:p w:rsidR="007126DF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  <w:r w:rsidRPr="00884FE8">
        <w:rPr>
          <w:rFonts w:ascii="Times New Roman" w:hAnsi="Times New Roman"/>
          <w:b/>
        </w:rPr>
        <w:t>K čl. IV</w:t>
      </w:r>
    </w:p>
    <w:p w:rsidR="008E6C6B" w:rsidRPr="00884FE8" w:rsidP="008E6C6B">
      <w:pPr>
        <w:bidi w:val="0"/>
        <w:ind w:firstLine="708"/>
        <w:rPr>
          <w:rFonts w:ascii="Times New Roman" w:hAnsi="Times New Roman"/>
          <w:b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</w:rPr>
      </w:pPr>
      <w:r w:rsidRPr="00884FE8">
        <w:rPr>
          <w:rFonts w:ascii="Times New Roman" w:hAnsi="Times New Roman"/>
        </w:rPr>
        <w:t>Účinnosť predkladanej novely sa navrhuje od 1. j</w:t>
      </w:r>
      <w:r w:rsidRPr="00884FE8" w:rsidR="007126DF">
        <w:rPr>
          <w:rFonts w:ascii="Times New Roman" w:hAnsi="Times New Roman"/>
        </w:rPr>
        <w:t xml:space="preserve">úla </w:t>
      </w:r>
      <w:r w:rsidRPr="00884FE8">
        <w:rPr>
          <w:rFonts w:ascii="Times New Roman" w:hAnsi="Times New Roman"/>
        </w:rPr>
        <w:t xml:space="preserve">2015. </w:t>
      </w:r>
    </w:p>
    <w:p w:rsidR="008E6C6B" w:rsidRPr="00884FE8" w:rsidP="008E6C6B">
      <w:pPr>
        <w:bidi w:val="0"/>
        <w:ind w:firstLine="708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</w:rPr>
      </w:pPr>
    </w:p>
    <w:p w:rsidR="008E6C6B" w:rsidRPr="00884FE8" w:rsidP="008E6C6B">
      <w:pPr>
        <w:bidi w:val="0"/>
        <w:ind w:firstLine="708"/>
        <w:rPr>
          <w:rFonts w:ascii="Times New Roman" w:hAnsi="Times New Roman"/>
        </w:rPr>
      </w:pPr>
    </w:p>
    <w:p w:rsidR="008E6C6B" w:rsidRPr="00884FE8" w:rsidP="008E6C6B">
      <w:pPr>
        <w:bidi w:val="0"/>
        <w:rPr>
          <w:rFonts w:ascii="Times New Roman" w:hAnsi="Times New Roman"/>
        </w:rPr>
      </w:pPr>
    </w:p>
    <w:p w:rsidR="008E6C6B" w:rsidRPr="00884FE8" w:rsidP="008E6C6B">
      <w:pPr>
        <w:bidi w:val="0"/>
        <w:rPr>
          <w:rFonts w:ascii="Times New Roman" w:hAnsi="Times New Roman"/>
        </w:rPr>
      </w:pPr>
    </w:p>
    <w:p w:rsidR="00207304" w:rsidRPr="00884FE8">
      <w:pPr>
        <w:bidi w:val="0"/>
        <w:rPr>
          <w:rFonts w:ascii="Times New Roman" w:hAnsi="Times New Roman"/>
        </w:rPr>
      </w:pPr>
    </w:p>
    <w:sectPr w:rsidSect="008E41B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E6C6B"/>
    <w:rsid w:val="001723FD"/>
    <w:rsid w:val="00207304"/>
    <w:rsid w:val="00413916"/>
    <w:rsid w:val="00510D8A"/>
    <w:rsid w:val="005527B4"/>
    <w:rsid w:val="005D03E2"/>
    <w:rsid w:val="005E2159"/>
    <w:rsid w:val="006A3682"/>
    <w:rsid w:val="006E05AC"/>
    <w:rsid w:val="007126DF"/>
    <w:rsid w:val="00796D4A"/>
    <w:rsid w:val="00884FE8"/>
    <w:rsid w:val="008E41BB"/>
    <w:rsid w:val="008E6C6B"/>
    <w:rsid w:val="009148C5"/>
    <w:rsid w:val="009F793E"/>
    <w:rsid w:val="00A43788"/>
    <w:rsid w:val="00D324A3"/>
    <w:rsid w:val="00D324FF"/>
    <w:rsid w:val="00E31068"/>
    <w:rsid w:val="00EC3C47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C6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870</Words>
  <Characters>4964</Characters>
  <Application>Microsoft Office Word</Application>
  <DocSecurity>0</DocSecurity>
  <Lines>0</Lines>
  <Paragraphs>0</Paragraphs>
  <ScaleCrop>false</ScaleCrop>
  <Company>Kancelaria NR SR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klubSaS</dc:creator>
  <cp:lastModifiedBy>Gašparíková, Jarmila</cp:lastModifiedBy>
  <cp:revision>2</cp:revision>
  <cp:lastPrinted>2015-02-20T13:14:00Z</cp:lastPrinted>
  <dcterms:created xsi:type="dcterms:W3CDTF">2015-02-20T14:44:00Z</dcterms:created>
  <dcterms:modified xsi:type="dcterms:W3CDTF">2015-02-20T14:44:00Z</dcterms:modified>
</cp:coreProperties>
</file>