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Doložka</w:t>
      </w:r>
    </w:p>
    <w:p w:rsidR="00593F1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vybraných vplyvov</w:t>
      </w:r>
    </w:p>
    <w:p w:rsidR="00593F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A.1. Názov materiálu: </w:t>
      </w:r>
      <w:r>
        <w:rPr>
          <w:rFonts w:ascii="Times New Roman" w:hAnsi="Times New Roman"/>
          <w:color w:val="000000"/>
          <w:sz w:val="24"/>
          <w:szCs w:val="24"/>
        </w:rPr>
        <w:t>Návrh zákona o prevencii závažných priemyselných havárií a o zmene a doplnení niektorých zákonov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Termín začatia a ukončenia PPK:</w:t>
      </w:r>
      <w:r w:rsidRPr="002704AC" w:rsidR="002704AC">
        <w:rPr>
          <w:rFonts w:ascii="Times New Roman" w:hAnsi="Times New Roman"/>
          <w:color w:val="000000"/>
          <w:sz w:val="24"/>
          <w:szCs w:val="24"/>
        </w:rPr>
        <w:t xml:space="preserve"> -  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93F1E">
      <w:pPr>
        <w:widowControl/>
        <w:bidi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A.3. Poznámky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8"/>
          <w:szCs w:val="24"/>
        </w:rPr>
        <w:t xml:space="preserve">  </w:t>
        <w:br/>
        <w:t xml:space="preserve">                       </w:t>
        <w:br/>
        <w:br/>
        <w:br/>
        <w:t xml:space="preserve">                       </w:t>
        <w:br/>
        <w:t xml:space="preserve">                               </w:t>
        <w:br/>
        <w:br/>
        <w:br/>
        <w:t xml:space="preserve">                            </w:t>
        <w:br/>
        <w:t xml:space="preserve">                           </w:t>
        <w:br/>
        <w:t xml:space="preserve">                          </w:t>
        <w:br/>
        <w:br/>
        <w:br/>
        <w:br/>
        <w:br/>
        <w:t xml:space="preserve">                               </w:t>
        <w:br/>
        <w:t>                           Vplyvy na rozpočet verejnej správy,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93F1E">
      <w:pPr>
        <w:widowControl/>
        <w:bidi w:val="0"/>
        <w:spacing w:after="280" w:afterAutospacing="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8"/>
          <w:szCs w:val="24"/>
        </w:rPr>
        <w:t>na zamestnanosť vo verejnej správe a financovanie návrhu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4"/>
          <w:szCs w:val="24"/>
        </w:rPr>
        <w:t>2.1. Zhrnutie vplyvov na rozpočet verejnej správy v návrhu</w:t>
      </w:r>
    </w:p>
    <w:p w:rsidR="00593F1E">
      <w:pPr>
        <w:widowControl/>
        <w:bidi w:val="0"/>
        <w:spacing w:after="280" w:afterAutospacing="1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0"/>
          <w:szCs w:val="24"/>
        </w:rPr>
        <w:t xml:space="preserve">Tabuľka č. 1 </w:t>
      </w:r>
    </w:p>
    <w:tbl>
      <w:tblPr>
        <w:tblStyle w:val="TableNormal"/>
        <w:tblW w:w="9642" w:type="dxa"/>
        <w:tblCellMar>
          <w:left w:w="0" w:type="dxa"/>
          <w:right w:w="0" w:type="dxa"/>
        </w:tblCellMar>
      </w:tblPr>
      <w:tblGrid>
        <w:gridCol w:w="4748"/>
        <w:gridCol w:w="1206"/>
        <w:gridCol w:w="1206"/>
        <w:gridCol w:w="1205"/>
        <w:gridCol w:w="1277"/>
      </w:tblGrid>
      <w:tr>
        <w:tblPrEx>
          <w:tblW w:w="9642" w:type="dxa"/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47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OLE_LINK1"/>
            <w:bookmarkEnd w:id="0"/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 xml:space="preserve">Vplyvy na </w:t>
            </w: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rozpočet verejnej správy</w:t>
            </w:r>
          </w:p>
        </w:tc>
        <w:tc>
          <w:tcPr>
            <w:tcW w:w="48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 xml:space="preserve">Vplyv na rozpočet verejnej správy </w:t>
            </w: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(v eurách)</w:t>
            </w:r>
          </w:p>
        </w:tc>
      </w:tr>
      <w:tr>
        <w:tblPrEx>
          <w:tblW w:w="9642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2015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2016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2017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2018</w:t>
            </w:r>
          </w:p>
        </w:tc>
      </w:tr>
      <w:tr>
        <w:tblPrEx>
          <w:tblW w:w="9642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Príjmy verejnej správy celkom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8 500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17 000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17 000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17 000</w:t>
            </w:r>
          </w:p>
        </w:tc>
      </w:tr>
      <w:tr>
        <w:tblPrEx>
          <w:tblW w:w="9642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v tom: za každý subjekt verejnej správy zvlášť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0</w:t>
            </w:r>
          </w:p>
        </w:tc>
      </w:tr>
      <w:tr>
        <w:tblPrEx>
          <w:tblW w:w="9642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i/>
                <w:color w:val="000000"/>
                <w:sz w:val="24"/>
                <w:szCs w:val="24"/>
              </w:rPr>
              <w:t xml:space="preserve">z toho: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i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i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i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i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42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i/>
                <w:color w:val="000000"/>
                <w:sz w:val="24"/>
                <w:szCs w:val="24"/>
              </w:rPr>
              <w:t>- vplyv na ŠR</w:t>
            </w:r>
            <w:hyperlink w:anchor="_ftn1" w:history="1">
              <w:r>
                <w:rPr>
                  <w:rFonts w:ascii="&amp;quot" w:hAnsi="&amp;quot" w:cs="&amp;quot"/>
                  <w:b/>
                  <w:i/>
                  <w:color w:val="000000"/>
                  <w:sz w:val="24"/>
                  <w:szCs w:val="24"/>
                  <w:u w:val="single"/>
                </w:rPr>
                <w:t>[1]</w:t>
              </w:r>
            </w:hyperlink>
            <w:bookmarkStart w:id="1" w:name="_ftnref1"/>
            <w:bookmarkEnd w:id="1"/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8 500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17 000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17 000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17 000</w:t>
            </w:r>
          </w:p>
        </w:tc>
      </w:tr>
      <w:tr>
        <w:tblPrEx>
          <w:tblW w:w="9642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i/>
                <w:color w:val="000000"/>
                <w:sz w:val="24"/>
                <w:szCs w:val="24"/>
              </w:rPr>
              <w:t>- vplyv na územnú samosprávu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0</w:t>
            </w:r>
          </w:p>
        </w:tc>
      </w:tr>
      <w:tr>
        <w:tblPrEx>
          <w:tblW w:w="9642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Výdavky verejnej správy celkom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3 000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   6 000</w:t>
            </w:r>
          </w:p>
        </w:tc>
      </w:tr>
      <w:tr>
        <w:tblPrEx>
          <w:tblW w:w="9642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v tom: za každý subjekt verejnej správy / program zvlášť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42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i/>
                <w:color w:val="000000"/>
                <w:sz w:val="24"/>
                <w:szCs w:val="24"/>
              </w:rPr>
              <w:t xml:space="preserve">z toho: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i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i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i/>
                <w:color w:val="000000"/>
                <w:sz w:val="20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i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9642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ind w:left="14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-</w:t>
            </w:r>
            <w:r>
              <w:rPr>
                <w:rFonts w:ascii="&amp;amp" w:hAnsi="&amp;amp" w:cs="&amp;amp"/>
                <w:color w:val="000000"/>
                <w:sz w:val="14"/>
                <w:szCs w:val="24"/>
              </w:rPr>
              <w:t xml:space="preserve">  </w:t>
            </w:r>
            <w:r>
              <w:rPr>
                <w:rFonts w:ascii="&amp;quot" w:hAnsi="&amp;quot" w:cs="&amp;quot"/>
                <w:i/>
                <w:color w:val="000000"/>
                <w:sz w:val="24"/>
                <w:szCs w:val="24"/>
              </w:rPr>
              <w:t>vplyv na rozpočet MŽP SR</w:t>
            </w:r>
            <w:hyperlink w:anchor="_ftn2" w:history="1">
              <w:r>
                <w:rPr>
                  <w:rFonts w:ascii="&amp;quot" w:hAnsi="&amp;quot" w:cs="&amp;quot"/>
                  <w:b/>
                  <w:i/>
                  <w:color w:val="000000"/>
                  <w:sz w:val="24"/>
                  <w:szCs w:val="24"/>
                  <w:u w:val="single"/>
                </w:rPr>
                <w:t>[2]</w:t>
              </w:r>
            </w:hyperlink>
            <w:bookmarkStart w:id="2" w:name="_ftnref2"/>
            <w:bookmarkEnd w:id="2"/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 xml:space="preserve">3 000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6 000</w:t>
            </w:r>
          </w:p>
        </w:tc>
      </w:tr>
      <w:tr>
        <w:tblPrEx>
          <w:tblW w:w="9642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i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&amp;quot" w:hAnsi="&amp;quot" w:cs="&amp;quot"/>
                <w:i/>
                <w:color w:val="000000"/>
                <w:sz w:val="24"/>
                <w:szCs w:val="24"/>
              </w:rPr>
              <w:t xml:space="preserve">vplyv na územnú samosprávu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0</w:t>
            </w:r>
          </w:p>
        </w:tc>
      </w:tr>
      <w:tr>
        <w:tblPrEx>
          <w:tblW w:w="9642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 xml:space="preserve">Celková zamestnanosť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0</w:t>
            </w:r>
          </w:p>
        </w:tc>
      </w:tr>
      <w:tr>
        <w:tblPrEx>
          <w:tblW w:w="9642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i/>
                <w:color w:val="000000"/>
                <w:sz w:val="24"/>
                <w:szCs w:val="24"/>
              </w:rPr>
              <w:t>- z toho vplyv na ŠR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0</w:t>
            </w:r>
          </w:p>
        </w:tc>
      </w:tr>
      <w:tr>
        <w:tblPrEx>
          <w:tblW w:w="9642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 xml:space="preserve">Financovanie zabezpečené v rozpočte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3 000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C0C0C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 xml:space="preserve">  6 000 </w:t>
            </w:r>
          </w:p>
        </w:tc>
      </w:tr>
      <w:tr>
        <w:tblPrEx>
          <w:tblW w:w="9642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7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28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v tom: </w:t>
            </w:r>
          </w:p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financovanie zabezpečené v rozpočte kapitoly MŽP SR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3 000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6 000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6 000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6 000</w:t>
            </w:r>
          </w:p>
        </w:tc>
      </w:tr>
      <w:tr>
        <w:tblPrEx>
          <w:tblW w:w="9642" w:type="dxa"/>
          <w:tblCellMar>
            <w:left w:w="0" w:type="dxa"/>
            <w:right w:w="0" w:type="dxa"/>
          </w:tblCellMar>
        </w:tblPrEx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</w:tr>
    </w:tbl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4"/>
          <w:szCs w:val="24"/>
        </w:rPr>
        <w:t>2.2. Financovanie návrhu</w:t>
      </w:r>
    </w:p>
    <w:p w:rsidR="00593F1E">
      <w:pPr>
        <w:widowControl/>
        <w:bidi w:val="0"/>
        <w:spacing w:after="280" w:afterAutospacing="1"/>
        <w:ind w:left="7080"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0"/>
          <w:szCs w:val="24"/>
        </w:rPr>
        <w:t>         Tabuľka č. 2</w:t>
      </w:r>
    </w:p>
    <w:tbl>
      <w:tblPr>
        <w:tblStyle w:val="TableNormal"/>
        <w:tblW w:w="9360" w:type="dxa"/>
        <w:tblCellMar>
          <w:left w:w="0" w:type="dxa"/>
          <w:right w:w="0" w:type="dxa"/>
        </w:tblCellMar>
      </w:tblPr>
      <w:tblGrid>
        <w:gridCol w:w="3898"/>
        <w:gridCol w:w="1706"/>
        <w:gridCol w:w="1276"/>
        <w:gridCol w:w="1216"/>
        <w:gridCol w:w="1264"/>
      </w:tblGrid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8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Financovanie</w:t>
            </w:r>
          </w:p>
        </w:tc>
        <w:tc>
          <w:tcPr>
            <w:tcW w:w="546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 xml:space="preserve">Vplyv na rozpočet verejnej správy </w:t>
            </w: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(v eurách)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2016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2017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2018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Celkový vplyv na rozpočet verejnej správy ( - príjmy, výdavky)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- 5 500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- 11 000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- 11 000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- 11 000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 xml:space="preserve">  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z toho vplyv na ŠR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- 8 500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ind w:hanging="365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- 17 000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- 17 000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- 17 000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51"/>
        </w:trPr>
        <w:tc>
          <w:tcPr>
            <w:tcW w:w="3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ind w:left="142" w:hanging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 financovanie zabezpečené v rozpočte kapitoly MŽP SR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6 000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3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 ostatné zdroje financovania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8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Rozpočtovo nekrytý vplyv / úspora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- 5 500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-  11 000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- 11 000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- 11 000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</w:tr>
    </w:tbl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4"/>
          <w:szCs w:val="24"/>
        </w:rPr>
        <w:t>Návrh na riešenie úbytku príjmov alebo zvýšených výdavkov podľa § 33 ods. 1 zákona č. 523/2004 Z. z. o rozpočtových pravidlách verejnej správy: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4"/>
          <w:szCs w:val="24"/>
        </w:rPr>
        <w:t>  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4"/>
          <w:szCs w:val="24"/>
        </w:rPr>
        <w:t>2.3. Popis a charakteristika návrhu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4"/>
          <w:szCs w:val="24"/>
        </w:rPr>
        <w:t>2.3.1. Popis návrhu: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Akú problematiku návrh rieši? Kto bude návrh implementovať? Kde sa budú služby poskytovať?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 xml:space="preserve">            Návrh zákona o prevencii závažných priemyselných havárií a o zmene a doplnení niektorý zákonov ustanovuje podmienky a postup pri prevencii závažných priemyselných havárií v podnikoch s prítomnosťou nebezpečných látok a na obmedzovanie ich následkov na zdravie ľudí, životné prostredie a majetok. Návrh zákona ustanovuje povinnosti pre prevádzkovateľov podnikov, v ktorých sa nachádzajú určité množstvá nebezpečných látok tak, aby sa zabezpečila prevencia a minimalizovali následky závažnej havárie v prípade jej vzniku. Návrh zákona ustanovuje kompetencie pre orgány štátnej správy.   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           Navrhované zmeny v porovnaní s doterajšími predpismi v tejto oblasti (zákon č. 261/2002 Z. z. v znení neskorších predpisov) nebudú mať významný vplyv na úroveň ochrany ani na náklady spojené s uplatňovaním nového zákona. Náklady na zmeny sú vo všeobecnosti v porovnaní s celkovými nákladmi týkajúcimi sa uplatňovania doterajších predpisov nízke.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 xml:space="preserve">                        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 xml:space="preserve">            Navrhovaný zákon má vplyv na rozpočet verejnej správy v priamom dôsledku výberu správnych poplatkov za udeľovanie oprávnení, autorizácií, súhlasov, odborných spôsobilostí a udeľovania sankcií za porušovanie ustanovení zákona, pričom výnosy sú príjmom štátneho rozpočtu  a Environmentálneho fondu. </w:t>
      </w:r>
    </w:p>
    <w:p w:rsidR="00593F1E">
      <w:pPr>
        <w:widowControl/>
        <w:bidi w:val="0"/>
        <w:spacing w:after="280" w:afterAutospacing="1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Nároky na štátny rozpočet predstavujú výdavky na činnosť komisie pre prevenciu závažných priemyselných havárií a jej zbor expertov a budú zabezpečené z rozpočtu kapitoly MŽP SR.  </w:t>
      </w:r>
    </w:p>
    <w:p w:rsidR="00593F1E">
      <w:pPr>
        <w:widowControl/>
        <w:bidi w:val="0"/>
        <w:spacing w:after="280" w:afterAutospacing="1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Vplyvy na podnikateľské prostredie sú pozitívne aj negatívne. V podnikoch, na ktoré sa vzťahovali doterajšie predpisy (82 podnikov v roku 2013) nepredpokladáme zvýšené dopady v súvislosti s implementáciou nového zákona. Zavedením niektorých opatrení na zníženie administratívnej záťaže u týchto prevádzkovateľov predpokladáme skôr zníženie nákladov (napr. v súvislosti so zrušením povinnosti pre podniky kategórie A vypracovať vnútorné havarijné plány a zrušením povinnosti zriadiť záchrannú službu). Zvýšené dopady očakávame u prevádzkovateľov podnikov, ktorí v dôsledku zmien týkajúcich sa klasifikácie chemických látok a miernej úpravy pôsobnosti nového zákona, spadnú do jeho pôsobnosti. Nárast takýchto podnikov by ale nemal byť výrazný.</w:t>
      </w:r>
    </w:p>
    <w:p w:rsidR="00593F1E">
      <w:pPr>
        <w:widowControl/>
        <w:bidi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 xml:space="preserve">Vyčíslenie administratívnych nákladov cieľovej skupiny  na splnenie informačných povinností bolo vykonané v rokoch 2013-2014 a čiastočné výstupy sú uvedené v bode 3.3 analýzy vplyvov na podnikateľské prostredie (zdroj MH SR, metodika SCM). </w:t>
      </w:r>
    </w:p>
    <w:p w:rsidR="00593F1E">
      <w:pPr>
        <w:widowControl/>
        <w:bidi w:val="0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 xml:space="preserve">            Návrh zákona je v súlade s existujúcimi politikami a cieľmi zameranými na ochranu zdravia a životného prostredia a aplikovanie jeho ustanovení jednoznačne prispeje k skvalitneniu životného prostredia (minimalizácia priemyselných havárií a ich následkov).  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           Ustanovenia týkajúce sa informačného systému a poskytovania informácií verejnosti aj elektronicky majú pozitívny vplyv na informatizáciu spoločnosti.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 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4"/>
          <w:szCs w:val="24"/>
        </w:rPr>
        <w:t>2.3.2. Charakteristika návrhu podľa bodu  2.3.2. Metodiky :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4"/>
          <w:szCs w:val="24"/>
          <w:bdr w:val="single" w:sz="8" w:space="0" w:color="000000"/>
        </w:rPr>
        <w:t xml:space="preserve">     </w:t>
      </w:r>
      <w:r>
        <w:rPr>
          <w:rFonts w:ascii="&amp;quot" w:hAnsi="&amp;quot" w:cs="&amp;quot"/>
          <w:b/>
          <w:color w:val="000000"/>
          <w:sz w:val="24"/>
          <w:szCs w:val="24"/>
        </w:rPr>
        <w:t xml:space="preserve">  </w:t>
      </w:r>
      <w:r>
        <w:rPr>
          <w:rFonts w:ascii="&amp;quot" w:hAnsi="&amp;quot" w:cs="&amp;quot"/>
          <w:color w:val="000000"/>
          <w:sz w:val="24"/>
          <w:szCs w:val="24"/>
        </w:rPr>
        <w:t>zmena sadzby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  <w:bdr w:val="single" w:sz="8" w:space="0" w:color="000000"/>
        </w:rPr>
        <w:t xml:space="preserve">     </w:t>
      </w:r>
      <w:r>
        <w:rPr>
          <w:rFonts w:ascii="&amp;quot" w:hAnsi="&amp;quot" w:cs="&amp;quot"/>
          <w:color w:val="000000"/>
          <w:sz w:val="24"/>
          <w:szCs w:val="24"/>
        </w:rPr>
        <w:t>  zmena v nároku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  <w:bdr w:val="single" w:sz="8" w:space="0" w:color="000000"/>
        </w:rPr>
        <w:t xml:space="preserve">     </w:t>
      </w:r>
      <w:r>
        <w:rPr>
          <w:rFonts w:ascii="&amp;quot" w:hAnsi="&amp;quot" w:cs="&amp;quot"/>
          <w:color w:val="000000"/>
          <w:sz w:val="24"/>
          <w:szCs w:val="24"/>
        </w:rPr>
        <w:t>  nová služba alebo nariadenie (alebo ich zrušenie)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  <w:bdr w:val="single" w:sz="8" w:space="0" w:color="000000"/>
        </w:rPr>
        <w:t xml:space="preserve">     </w:t>
      </w:r>
      <w:r>
        <w:rPr>
          <w:rFonts w:ascii="&amp;quot" w:hAnsi="&amp;quot" w:cs="&amp;quot"/>
          <w:color w:val="000000"/>
          <w:sz w:val="24"/>
          <w:szCs w:val="24"/>
        </w:rPr>
        <w:t>  kombinovaný návrh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  <w:bdr w:val="single" w:sz="8" w:space="0" w:color="000000"/>
        </w:rPr>
        <w:t xml:space="preserve">X  </w:t>
      </w:r>
      <w:r>
        <w:rPr>
          <w:rFonts w:ascii="&amp;quot" w:hAnsi="&amp;quot" w:cs="&amp;quot"/>
          <w:color w:val="000000"/>
          <w:sz w:val="24"/>
          <w:szCs w:val="24"/>
        </w:rPr>
        <w:t xml:space="preserve">  iné 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 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4"/>
          <w:szCs w:val="24"/>
        </w:rPr>
        <w:t>2.3.3. Predpoklady vývoja objemu aktivít: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Jasne popíšte, v prípade potreby použite nižšie uvedenú tabuľku. Uveďte aj odhady základov daní a/alebo poplatkov, ak sa ich táto zmena týka.</w:t>
      </w:r>
    </w:p>
    <w:p w:rsidR="00593F1E">
      <w:pPr>
        <w:widowControl/>
        <w:bidi w:val="0"/>
        <w:spacing w:after="280" w:afterAutospacing="1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0"/>
          <w:szCs w:val="24"/>
        </w:rPr>
        <w:t xml:space="preserve">Tabuľka č. 3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4530"/>
        <w:gridCol w:w="1134"/>
        <w:gridCol w:w="1134"/>
        <w:gridCol w:w="1134"/>
        <w:gridCol w:w="1592"/>
      </w:tblGrid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Objem aktivít</w:t>
            </w:r>
          </w:p>
        </w:tc>
        <w:tc>
          <w:tcPr>
            <w:tcW w:w="49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Odhadované objemy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r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r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r 3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Indikátor ABC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Indikátor KLM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Indikátor XYZ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</w:tr>
    </w:tbl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  <w:r>
        <w:rPr>
          <w:rFonts w:ascii="&amp;quot" w:hAnsi="&amp;quot" w:cs="&amp;quot"/>
          <w:b/>
          <w:color w:val="000000"/>
          <w:sz w:val="24"/>
          <w:szCs w:val="24"/>
        </w:rPr>
        <w:t>2.3.4. Výpočty vplyvov na verejné financie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4"/>
          <w:szCs w:val="24"/>
        </w:rPr>
        <w:t>Príjmy: 17 000 EUR</w:t>
      </w:r>
      <w:r>
        <w:rPr>
          <w:rFonts w:ascii="&amp;quot" w:hAnsi="&amp;quot" w:cs="&amp;quot"/>
          <w:color w:val="000000"/>
          <w:sz w:val="24"/>
          <w:szCs w:val="24"/>
        </w:rPr>
        <w:t>, v tom</w:t>
      </w:r>
      <w:r>
        <w:rPr>
          <w:rFonts w:ascii="&amp;quot" w:hAnsi="&amp;quot" w:cs="&amp;quot"/>
          <w:b/>
          <w:color w:val="000000"/>
          <w:sz w:val="24"/>
          <w:szCs w:val="24"/>
        </w:rPr>
        <w:t xml:space="preserve"> 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Výber správnych poplatkov – 7 000 EUR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Za porušenie ustanovení zákona o prevencii závažných priemyselných havárií – 10 000 EUR.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Výpočet príjmov bol realizovaný rozdielom v príjmoch medzi navrhovaným a súčasným znením.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4"/>
          <w:szCs w:val="24"/>
        </w:rPr>
        <w:t xml:space="preserve">Výdavky: 6 000 EUR </w:t>
      </w:r>
      <w:r>
        <w:rPr>
          <w:rFonts w:ascii="&amp;quot" w:hAnsi="&amp;quot" w:cs="&amp;quot"/>
          <w:color w:val="000000"/>
          <w:sz w:val="24"/>
          <w:szCs w:val="24"/>
        </w:rPr>
        <w:t>na</w:t>
      </w:r>
      <w:r>
        <w:rPr>
          <w:rFonts w:ascii="&amp;quot" w:hAnsi="&amp;quot" w:cs="&amp;quot"/>
          <w:b/>
          <w:color w:val="000000"/>
          <w:sz w:val="24"/>
          <w:szCs w:val="24"/>
        </w:rPr>
        <w:t xml:space="preserve"> </w:t>
      </w:r>
      <w:r>
        <w:rPr>
          <w:rFonts w:ascii="&amp;quot" w:hAnsi="&amp;quot" w:cs="&amp;quot"/>
          <w:color w:val="000000"/>
          <w:sz w:val="24"/>
          <w:szCs w:val="24"/>
        </w:rPr>
        <w:t>činnosť komisie pre prevenciu závažných priemyselných havárií a jej zbor expertov, v tom: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- činnosť komisie – 1 000 EUR (5 externí  členovia s nárokom na odmenu, 3 členovia MŽP SR bez nároku na odmenu; 4 stretnutia/rok)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- zbor expertov – 5 000 EUR (vypracovanie posudkov k bezpečnostným správam, nárok na odmenu, cca 12 posudkov/rok)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  <w:sectPr>
          <w:pgSz w:w="12240" w:h="15840"/>
          <w:pgMar w:top="1440" w:right="1440" w:bottom="1440" w:left="1440" w:header="708" w:footer="708" w:gutter="0"/>
          <w:lnNumType w:distance="0"/>
          <w:cols w:space="708"/>
          <w:bidi w:val="0"/>
        </w:sect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0"/>
        <w:jc w:val="right"/>
        <w:rPr>
          <w:rFonts w:ascii="&amp;quot" w:hAnsi="&amp;quot" w:cs="&amp;quot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 xml:space="preserve">Tabuľka č. 4 </w:t>
      </w:r>
    </w:p>
    <w:tbl>
      <w:tblPr>
        <w:tblStyle w:val="TableNormal"/>
        <w:tblW w:w="12604" w:type="dxa"/>
        <w:tblCellMar>
          <w:left w:w="0" w:type="dxa"/>
          <w:right w:w="0" w:type="dxa"/>
        </w:tblCellMar>
      </w:tblPr>
      <w:tblGrid>
        <w:gridCol w:w="3935"/>
        <w:gridCol w:w="1350"/>
        <w:gridCol w:w="1361"/>
        <w:gridCol w:w="1361"/>
        <w:gridCol w:w="1537"/>
        <w:gridCol w:w="1440"/>
        <w:gridCol w:w="1620"/>
      </w:tblGrid>
      <w:tr>
        <w:tblPrEx>
          <w:tblW w:w="1260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Príjmy (v eurách)</w:t>
            </w:r>
          </w:p>
        </w:tc>
        <w:tc>
          <w:tcPr>
            <w:tcW w:w="560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Vplyv na rozpočet verejnej správy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solid" w:color="000000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ind w:right="3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poznámka</w:t>
            </w:r>
          </w:p>
        </w:tc>
      </w:tr>
      <w:tr>
        <w:tblPrEx>
          <w:tblW w:w="1260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2015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2016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2017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2018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260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Daňové príjmy (100)</w:t>
            </w:r>
            <w:r>
              <w:rPr>
                <w:rFonts w:ascii="&amp;quot" w:hAnsi="&amp;quot" w:cs="&amp;quot"/>
                <w:b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2604" w:type="dxa"/>
          <w:tblCellMar>
            <w:left w:w="0" w:type="dxa"/>
            <w:right w:w="0" w:type="dxa"/>
          </w:tblCellMar>
        </w:tblPrEx>
        <w:trPr>
          <w:trHeight w:val="1134"/>
        </w:trPr>
        <w:tc>
          <w:tcPr>
            <w:tcW w:w="3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Nedaňové príjmy (200)</w:t>
            </w:r>
            <w:r>
              <w:rPr>
                <w:rFonts w:ascii="&amp;quot" w:hAnsi="&amp;quot" w:cs="&amp;quot"/>
                <w:b/>
                <w:color w:val="000000"/>
                <w:sz w:val="24"/>
                <w:szCs w:val="24"/>
                <w:vertAlign w:val="superscript"/>
              </w:rPr>
              <w:t>1</w:t>
            </w:r>
          </w:p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v tom:</w:t>
            </w:r>
          </w:p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221004 – Výber správnych poplatkov</w:t>
            </w:r>
          </w:p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222003 - Za porušenie ustanovení zákona o prevencii závažných priemyselných havárií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8 500</w:t>
            </w:r>
          </w:p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 </w:t>
            </w:r>
          </w:p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3 500</w:t>
            </w:r>
          </w:p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5 000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17 000</w:t>
            </w:r>
          </w:p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 </w:t>
            </w:r>
          </w:p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7 000</w:t>
            </w:r>
          </w:p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10 000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17 000</w:t>
            </w:r>
          </w:p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 </w:t>
            </w:r>
          </w:p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7 000</w:t>
            </w:r>
          </w:p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10 000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17 000</w:t>
            </w:r>
          </w:p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 </w:t>
            </w:r>
          </w:p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7 000</w:t>
            </w:r>
          </w:p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10 000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260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Granty a transfery (300)</w:t>
            </w:r>
            <w:r>
              <w:rPr>
                <w:rFonts w:ascii="&amp;quot" w:hAnsi="&amp;quot" w:cs="&amp;quot"/>
                <w:b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260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Príjmy z transakcií s finančnými aktívami a finančnými pasívami (400)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260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Prijaté úvery, pôžičky a návratné finančné výpomoci (500)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260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39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Dopad na príjmy verejnej správy celkom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8 500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17 000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17 000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17 000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solid" w:color="000000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FFFFFF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FFFFFF"/>
                <w:sz w:val="24"/>
                <w:szCs w:val="24"/>
              </w:rPr>
              <w:t> </w:t>
            </w:r>
          </w:p>
        </w:tc>
      </w:tr>
      <w:tr>
        <w:tblPrEx>
          <w:tblW w:w="12604" w:type="dxa"/>
          <w:tblCellMar>
            <w:left w:w="0" w:type="dxa"/>
            <w:right w:w="0" w:type="dxa"/>
          </w:tblCellMar>
        </w:tblPrEx>
        <w:tc>
          <w:tcPr>
            <w:tcW w:w="3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</w:tr>
    </w:tbl>
    <w:p w:rsidR="00593F1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0"/>
          <w:szCs w:val="24"/>
        </w:rPr>
        <w:t xml:space="preserve">1 –  príjmy rozpísať až do položiek platnej ekonomickej klasifikácie    </w:t>
      </w:r>
    </w:p>
    <w:p w:rsidR="00593F1E">
      <w:pPr>
        <w:widowControl/>
        <w:bidi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Tabuľka č. 5</w:t>
      </w:r>
    </w:p>
    <w:tbl>
      <w:tblPr>
        <w:tblStyle w:val="TableNormal"/>
        <w:tblW w:w="12615" w:type="dxa"/>
        <w:tblCellMar>
          <w:left w:w="0" w:type="dxa"/>
          <w:right w:w="0" w:type="dxa"/>
        </w:tblCellMar>
      </w:tblPr>
      <w:tblGrid>
        <w:gridCol w:w="6078"/>
        <w:gridCol w:w="1434"/>
        <w:gridCol w:w="1418"/>
        <w:gridCol w:w="992"/>
        <w:gridCol w:w="992"/>
        <w:gridCol w:w="1701"/>
      </w:tblGrid>
      <w:tr>
        <w:tblPrEx>
          <w:tblW w:w="1261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0"/>
                <w:szCs w:val="24"/>
              </w:rPr>
              <w:t>Výdavky (v eurách)</w:t>
            </w:r>
          </w:p>
        </w:tc>
        <w:tc>
          <w:tcPr>
            <w:tcW w:w="483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0"/>
                <w:szCs w:val="24"/>
              </w:rPr>
              <w:t xml:space="preserve">Vplyv na rozpočet verejnej správy 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poznámka</w:t>
            </w:r>
          </w:p>
        </w:tc>
      </w:tr>
      <w:tr>
        <w:tblPrEx>
          <w:tblW w:w="12615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0"/>
                <w:szCs w:val="24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0"/>
                <w:szCs w:val="24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0"/>
                <w:szCs w:val="24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0"/>
                <w:szCs w:val="24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261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Bežné výdavky (600)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1261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 Mzdy, platy, služobné príjmy a ostatné osobné vyrovnania (610)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261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07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 Poistné a príspevok do poisťovní (620)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261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0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 Tovary a služby (630)</w:t>
            </w:r>
            <w:r>
              <w:rPr>
                <w:rFonts w:ascii="&amp;quot" w:hAnsi="&amp;quot" w:cs="&amp;quot"/>
                <w:color w:val="000000"/>
                <w:sz w:val="20"/>
                <w:szCs w:val="24"/>
                <w:vertAlign w:val="superscript"/>
              </w:rPr>
              <w:t>2</w:t>
            </w:r>
          </w:p>
          <w:p w:rsidR="00593F1E">
            <w:pPr>
              <w:widowControl/>
              <w:bidi w:val="0"/>
              <w:spacing w:after="0"/>
              <w:ind w:firstLine="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v tom:</w:t>
            </w:r>
          </w:p>
          <w:p w:rsidR="00593F1E">
            <w:pPr>
              <w:widowControl/>
              <w:bidi w:val="0"/>
              <w:spacing w:after="0"/>
              <w:ind w:firstLine="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637 027 Odmeny zamestnancov mimo pracovného pomeru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3 000</w:t>
            </w:r>
          </w:p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6 000</w:t>
            </w:r>
          </w:p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6 000</w:t>
            </w:r>
          </w:p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6 000</w:t>
            </w:r>
          </w:p>
          <w:p w:rsidR="00593F1E">
            <w:pPr>
              <w:widowControl/>
              <w:bidi w:val="0"/>
              <w:spacing w:after="280" w:afterAutospacing="1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1261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 Bežné transfery (640)</w:t>
            </w:r>
            <w:r>
              <w:rPr>
                <w:rFonts w:ascii="&amp;quot" w:hAnsi="&amp;quot" w:cs="&amp;quot"/>
                <w:color w:val="000000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261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 Splácanie úrokov a ostatné platby súvisiace s úvermi, pôžičkami a NFV (650)</w:t>
            </w:r>
            <w:r>
              <w:rPr>
                <w:rFonts w:ascii="&amp;quot" w:hAnsi="&amp;quot" w:cs="&amp;quot"/>
                <w:color w:val="000000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261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Kapitálové výdavky (700)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261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 Obstarávanie kapitálových aktív (710)</w:t>
            </w:r>
            <w:r>
              <w:rPr>
                <w:rFonts w:ascii="&amp;quot" w:hAnsi="&amp;quot" w:cs="&amp;quot"/>
                <w:color w:val="000000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</w:tr>
      <w:tr>
        <w:tblPrEx>
          <w:tblW w:w="1261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 Kapitálové transfery (720)</w:t>
            </w:r>
            <w:r>
              <w:rPr>
                <w:rFonts w:ascii="&amp;quot" w:hAnsi="&amp;quot" w:cs="&amp;quot"/>
                <w:color w:val="000000"/>
                <w:sz w:val="20"/>
                <w:szCs w:val="24"/>
                <w:vertAlign w:val="superscript"/>
              </w:rPr>
              <w:t>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261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Výdavky z transakcií s finančnými aktívami a finančnými pasívami (800)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FFFF99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261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0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0"/>
                <w:szCs w:val="24"/>
              </w:rPr>
              <w:t>Dopad na výdavky verejnej správy celkom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3 000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FFFFFF"/>
                <w:sz w:val="24"/>
                <w:szCs w:val="24"/>
              </w:rPr>
              <w:t> </w:t>
            </w:r>
          </w:p>
        </w:tc>
      </w:tr>
      <w:tr>
        <w:tblPrEx>
          <w:tblW w:w="1261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  z toho výdavky na ŠR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261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  Bežné výdavky</w:t>
            </w: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(600)</w:t>
            </w: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261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   </w:t>
            </w: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Mzdy, platy, služobné príjmy a ostatné osobné vyrovnania (610)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261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  Kapitálové výdavky (700)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2615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60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0"/>
                <w:szCs w:val="24"/>
              </w:rPr>
              <w:t>   Výdavky z transakcií s finančnými aktívami a finančnými pasívami (800)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0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2615" w:type="dxa"/>
          <w:tblCellMar>
            <w:left w:w="0" w:type="dxa"/>
            <w:right w:w="0" w:type="dxa"/>
          </w:tblCellMar>
        </w:tblPrEx>
        <w:tc>
          <w:tcPr>
            <w:tcW w:w="60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</w:tr>
    </w:tbl>
    <w:p w:rsidR="00593F1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0"/>
          <w:szCs w:val="24"/>
        </w:rPr>
        <w:t> 2 –  výdavky rozpísať až do položiek platnej ekonomickej klasifikácie</w:t>
      </w:r>
    </w:p>
    <w:p w:rsidR="00593F1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0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&amp;quot" w:hAnsi="&amp;quot" w:cs="&amp;quot"/>
          <w:color w:val="000000"/>
          <w:sz w:val="24"/>
          <w:szCs w:val="24"/>
        </w:rPr>
        <w:t xml:space="preserve">                 Tabuľka č. 6 </w:t>
      </w:r>
    </w:p>
    <w:tbl>
      <w:tblPr>
        <w:tblStyle w:val="TableNormal"/>
        <w:tblW w:w="14618" w:type="dxa"/>
        <w:tblCellMar>
          <w:left w:w="0" w:type="dxa"/>
          <w:right w:w="0" w:type="dxa"/>
        </w:tblCellMar>
      </w:tblPr>
      <w:tblGrid>
        <w:gridCol w:w="5327"/>
        <w:gridCol w:w="1173"/>
        <w:gridCol w:w="990"/>
        <w:gridCol w:w="1443"/>
        <w:gridCol w:w="29"/>
        <w:gridCol w:w="171"/>
        <w:gridCol w:w="820"/>
        <w:gridCol w:w="3110"/>
        <w:gridCol w:w="1555"/>
      </w:tblGrid>
      <w:tr>
        <w:tblPrEx>
          <w:tblW w:w="1461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3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Zamestnanosť</w:t>
            </w:r>
          </w:p>
        </w:tc>
        <w:tc>
          <w:tcPr>
            <w:tcW w:w="462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Vplyv na rozpočet verejnej správy</w:t>
            </w:r>
          </w:p>
        </w:tc>
        <w:tc>
          <w:tcPr>
            <w:tcW w:w="46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poznámka</w:t>
            </w:r>
          </w:p>
        </w:tc>
      </w:tr>
      <w:tr>
        <w:tblPrEx>
          <w:tblW w:w="1461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2015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2016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2017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2018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461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Počet zamestnancov celkom*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461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  z toho vplyv na ŠR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461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Priemerný mzdový výdavok (v eurách)*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461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  z toho vplyv na ŠR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461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Osobné výdavky celkom (v eurách)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 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 </w:t>
            </w:r>
          </w:p>
        </w:tc>
      </w:tr>
      <w:tr>
        <w:tblPrEx>
          <w:tblW w:w="1461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 xml:space="preserve">Mzdy, platy, služobné príjmy a ostatné osobné vyrovnania (610)*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461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  z toho vplyv na ŠR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461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Poistné a príspevok do poisťovní (620)*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461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  z toho vplyv na ŠR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461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461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Poznámky: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461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95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461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461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4618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89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14618" w:type="dxa"/>
          <w:tblCellMar>
            <w:left w:w="0" w:type="dxa"/>
            <w:right w:w="0" w:type="dxa"/>
          </w:tblCellMar>
        </w:tblPrEx>
        <w:tc>
          <w:tcPr>
            <w:tcW w:w="5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"/>
                <w:szCs w:val="24"/>
              </w:rPr>
              <w:t> </w:t>
            </w:r>
          </w:p>
        </w:tc>
      </w:tr>
    </w:tbl>
    <w:p w:rsidR="00593F1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0"/>
        <w:rPr>
          <w:rFonts w:ascii="Times New Roman" w:hAnsi="Times New Roman"/>
          <w:color w:val="000000"/>
          <w:sz w:val="24"/>
          <w:szCs w:val="24"/>
        </w:rPr>
        <w:sectPr>
          <w:pgSz w:w="12240" w:h="15840"/>
          <w:pgMar w:top="1440" w:right="1440" w:bottom="1440" w:left="1440" w:header="708" w:footer="708" w:gutter="0"/>
          <w:lnNumType w:distance="0"/>
          <w:cols w:space="708"/>
          <w:bidi w:val="0"/>
        </w:sectPr>
      </w:pPr>
      <w:r>
        <w:rPr>
          <w:rFonts w:ascii="&amp;quot" w:hAnsi="&amp;quot" w:cs="&amp;quot"/>
          <w:b/>
          <w:color w:val="000000"/>
          <w:sz w:val="24"/>
          <w:szCs w:val="24"/>
        </w:rPr>
        <w:t>* počet zamestnancov,  mzdy a poistné rozpísať podľa spôsobu odmeňovania (napr. policajti, colníci ...) </w:t>
      </w:r>
    </w:p>
    <w:p w:rsidR="00593F1E">
      <w:pPr>
        <w:widowControl/>
        <w:bidi w:val="0"/>
        <w:spacing w:after="280" w:afterAutospacing="1"/>
        <w:jc w:val="center"/>
        <w:rPr>
          <w:rFonts w:ascii="&amp;quot" w:hAnsi="&amp;quot" w:cs="&amp;quot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8"/>
          <w:szCs w:val="24"/>
        </w:rPr>
        <w:t>Vplyvy na podnikateľské prostredie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4"/>
          <w:szCs w:val="24"/>
        </w:rPr>
        <w:t> </w:t>
      </w:r>
    </w:p>
    <w:tbl>
      <w:tblPr>
        <w:tblStyle w:val="TableNormal"/>
        <w:tblW w:w="9195" w:type="dxa"/>
        <w:tblCellMar>
          <w:left w:w="0" w:type="dxa"/>
          <w:right w:w="0" w:type="dxa"/>
        </w:tblCellMar>
      </w:tblPr>
      <w:tblGrid>
        <w:gridCol w:w="4155"/>
        <w:gridCol w:w="5040"/>
      </w:tblGrid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91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solid" w:color="000000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Vplyvy na podnikateľské prostredie</w:t>
            </w:r>
          </w:p>
        </w:tc>
      </w:tr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3.1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. Ktoré podnikateľské subjekty budú predkladaným návrhom ovplyvnené a aký je ich počet?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Návrh zákona sa vzťahuje na prevádzkovateľov podnikov, v ktorých sa nachádzajú nebezpečné látky v určitom množstve. Doterajšie predpisy v danej oblasti sa týkali 82 podnikov v roku 2013 . Návrhom zákona nepredpokladáme výraznú zmenu v počte subjektov.  </w:t>
            </w:r>
          </w:p>
        </w:tc>
      </w:tr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3.2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. Aký je predpokladaný charakter a rozsah nákladov a prínosov?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Prevádzkovatelia musia vynaložiť náklady na zabezpečenie prevencie závažných priemyselných havárií. Opatrenia, ktoré musia prijať sú predovšetkým prevádzkového, organizačného a administratívneho charakteru, v malej miere môžu byť aj investičného charakteru. Priame finančné náklady zahŕňajú správne poplatky a náklady súvisiace s finančným krytím zodpovednosti za škodu (náklady na poistenie v závislosti od sumy poistného krytia sa pohybujú v rozsahu cca 1000 – 10 000 EUR/rok). 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Ďalšie náklady súvisia so zavedením prevádzkovo-technických opatrení v rámci podnikov na zabezpečenie vysokej úrovne  bezpečnosti prevádzok, s ustanovením odborne spôsobilých osôb (náklady na školenie  sa pohybujú v rozsahu cca 500 - 1000 EUR/osoba), s vypracovaním, aktualizovaním, zavedením,  predkladaním bezpečnostnej dokumentácie (oznámenie, posúdenie rizika, program prevencie bezpečnostný riadiaci systém, bezpečnostná správa, havarijné plány, informácie pre verejnosť). Náklady na vypracovanie bezpečnostnej dokumentácie pre jeden podnik sa môžu pohybovať v rozsahu 300 - 50 000 EUR, závislosti od kategórie podniku, typu dokumentácie, počtu nebezpečných látok a počtu prevádzok /výrob v podniku. 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Zvýšené náklady očakávame u prevádzkovateľov podnikov, ktorí spadnú do pôsobnosti nového zákona.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V rámci EÚ sú priemerné náklady pri zaradení podniku kategórie A pod pôsobnosť smernice SEVESO cca 5 000 EUR/rok, pri zaradení podniku kategórie B cca 30 000 EUR/rok. 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Konkrétnymi údajmi relevantnými pre SR nedisponujeme, predpokladáme, že sú nižšie ako je priemer EÚ.   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Prínosom je zníženie rizík možných závažných priemyselných havárií, ochrana zdravia ľudí, životného prostredia a majetku.  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  </w:t>
            </w:r>
          </w:p>
        </w:tc>
      </w:tr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3.3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. Aká je predpokladaná výška administratívnych nákladov, ktoré podniky vynaložia v súvislosti s implementáciou návrhu?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V podnikoch, na ktoré sa vzťahovali doterajšie predpisy nepredpokladáme zvýšené náklady v súvislosti s implementáciou nového zákona. Zavedením niektorých opatrení na zníženie administratívnej záťaže u týchto prevádzkovateľov predpokladáme skôr zníženie nákladov,  predovšetkým u podnikov kategórie A, kde sa zrušuje povinnosť vypracovať, aktualizovať a precvičovať vnútorné havarijné plány a zabezpečiť záchrannú službu. Povinnosť zriadiť službu havarijnej odozvy sa bude tiež vzťahovať iba na určité podniky kategórie B. Možnosť predkladať rozsiahlu bezpečnostnú dokumentáciu elektronicky taktiež prispeje k zníženiu administratívnych nákladov pre prevádzkovateľov.   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Administratívne náklady cieľovej skupiny pre plnenie informačných povinností boli vyčíslené nasledovne: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- pre 42 podnikov kategórie A   administratívne náklady predstavujú 2 424 EUR/rok,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- pre 40 podnikov kategórie B administratívne náklady predstavujú 3 472 EUR/rok.   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 Zvýšené dopady očakávame u prevádzkovateľov podnikov, ktorí spadnú do pôsobnosti nového zákona. </w:t>
            </w:r>
          </w:p>
        </w:tc>
      </w:tr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3.4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. Aké sú dôsledky pripravovaného návrhu pre fungovanie podnikateľských subjektov na slovenskom trhu (ako sa zmenia operácie na trhu?)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Nepredpokladá sa vplyv. </w:t>
            </w:r>
          </w:p>
        </w:tc>
      </w:tr>
      <w:tr>
        <w:tblPrEx>
          <w:tblW w:w="919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3.5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. Aké sú predpokladané spoločensko – ekonomické dôsledky pripravovaných regulácií?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Návrhom zákona sa zvyšuje úroveň bezpečnosti, zabezpečuje sa ochrana zdravia ľudí, životného prostredia a majetku či už v rámci podnikov alebo mimo nich.  </w:t>
            </w:r>
          </w:p>
        </w:tc>
      </w:tr>
    </w:tbl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8"/>
          <w:szCs w:val="24"/>
        </w:rPr>
        <w:t>Sociálne vplyvy -  vplyvy na hospodárenie obyvateľstva, sociálnu exklúziu, rovnosť príležitostí a rodovú rovnosť  a na zamestnanosť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4"/>
          <w:szCs w:val="24"/>
        </w:rPr>
        <w:t> </w:t>
      </w:r>
    </w:p>
    <w:tbl>
      <w:tblPr>
        <w:tblStyle w:val="TableNormal"/>
        <w:tblW w:w="9015" w:type="dxa"/>
        <w:tblCellMar>
          <w:left w:w="0" w:type="dxa"/>
          <w:right w:w="0" w:type="dxa"/>
        </w:tblCellMar>
      </w:tblPr>
      <w:tblGrid>
        <w:gridCol w:w="4875"/>
        <w:gridCol w:w="4140"/>
      </w:tblGrid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66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solid" w:color="0C0C0C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Sociálne vplyvy predkladaného materiálu - 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153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4.1.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 Identifikujte vplyv na hospodárenie   domácností a špecifikujte ovplyvnené skupiny domácností, ktoré budú pozitívne/negatívne ovplyvnené. 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Nemá vplyv.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528"/>
        </w:trPr>
        <w:tc>
          <w:tcPr>
            <w:tcW w:w="4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ind w:firstLine="48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Nemá vplyv.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549"/>
        </w:trPr>
        <w:tc>
          <w:tcPr>
            <w:tcW w:w="4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- Rast alebo pokles príjmov/výdavkov            na priemerného obyvateľa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87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280" w:afterAutospacing="1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- Rast alebo pokles príjmov/výdavkov                  za jednotlivé ovplyvnené  skupiny domácností</w:t>
            </w:r>
          </w:p>
          <w:p w:rsidR="00593F1E">
            <w:pPr>
              <w:widowControl/>
              <w:bidi w:val="0"/>
              <w:spacing w:after="0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- Celkový počet obyvateľstva/domácností ovplyvnených predkladaným materiálom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ind w:firstLine="7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128"/>
        </w:trPr>
        <w:tc>
          <w:tcPr>
            <w:tcW w:w="48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12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ind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1608"/>
        </w:trPr>
        <w:tc>
          <w:tcPr>
            <w:tcW w:w="4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4.2.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Nemá vplyv.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660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4.3.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 Zhodnoťte vplyv na rovnosť príležitostí:</w:t>
            </w:r>
          </w:p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Zhodnoťte vplyv na rodovú rovnosť.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Nemá vplyv.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252"/>
        </w:trPr>
        <w:tc>
          <w:tcPr>
            <w:tcW w:w="4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 xml:space="preserve">4.4. 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Zhodnoťte vplyvy na zamestnanosť.</w:t>
            </w:r>
          </w:p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Aké sú  vplyvy na zamestnanosť ?</w:t>
            </w:r>
          </w:p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Ktoré skupiny zamestnancov budú ohrozené schválením predkladaného materiálu ?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  <w:p w:rsidR="00593F1E">
            <w:pPr>
              <w:widowControl/>
              <w:bidi w:val="0"/>
              <w:spacing w:after="28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Nemá vplyv.</w:t>
            </w:r>
          </w:p>
        </w:tc>
      </w:tr>
    </w:tbl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8"/>
          <w:szCs w:val="24"/>
        </w:rPr>
        <w:t>Vplyvy na životné prostredie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4"/>
          <w:szCs w:val="24"/>
        </w:rPr>
        <w:t> </w:t>
      </w:r>
    </w:p>
    <w:tbl>
      <w:tblPr>
        <w:tblStyle w:val="TableNormal"/>
        <w:tblW w:w="8835" w:type="dxa"/>
        <w:tblCellMar>
          <w:left w:w="0" w:type="dxa"/>
          <w:right w:w="0" w:type="dxa"/>
        </w:tblCellMar>
      </w:tblPr>
      <w:tblGrid>
        <w:gridCol w:w="4335"/>
        <w:gridCol w:w="4500"/>
      </w:tblGrid>
      <w:tr>
        <w:tblPrEx>
          <w:tblW w:w="883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8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FFFFFF"/>
                <w:sz w:val="24"/>
                <w:szCs w:val="24"/>
              </w:rPr>
              <w:t>Životné prostredie</w:t>
            </w:r>
          </w:p>
        </w:tc>
      </w:tr>
      <w:tr>
        <w:tblPrEx>
          <w:tblW w:w="883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  <w:p w:rsidR="00593F1E">
            <w:pPr>
              <w:widowControl/>
              <w:bidi w:val="0"/>
              <w:spacing w:after="28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5.1.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 Ktoré zložky životného prostredia (najmä ovzdušie, voda, horniny, pôda, organizmy) budú návrhom ovplyvnené a aký bude ich vplyv (pozitívny alebo negatívny)?</w:t>
            </w:r>
          </w:p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Návrh zákona upravuje postup a podmienky pri prevencii závažných priemyselných havárií (závažný únik, požiar, výbuch) a na obmedzovanie následkov na zdravie ľudí, životné prostredie a majetok. Prípadná priemyselná havária môže mať nepriaznivé následky na všetky zložky životného prostredia.  Aplikovanie ustanovení návrhu zákona (minimalizácia a riadenie rizík takýchto havárií)  prispeje k skvalitneniu životného prostredia.  </w:t>
            </w:r>
          </w:p>
        </w:tc>
      </w:tr>
      <w:tr>
        <w:tblPrEx>
          <w:tblW w:w="8835" w:type="dxa"/>
          <w:tblCellMar>
            <w:left w:w="0" w:type="dxa"/>
            <w:right w:w="0" w:type="dxa"/>
          </w:tblCellMar>
        </w:tblPrEx>
        <w:trPr>
          <w:trHeight w:val="1020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 xml:space="preserve">5.2. 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Bude mať navrhovaný materiál vplyv na chránené územia a ak áno aký?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Nemá vplyv.</w:t>
            </w:r>
          </w:p>
        </w:tc>
      </w:tr>
      <w:tr>
        <w:tblPrEx>
          <w:tblW w:w="8835" w:type="dxa"/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43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  <w:p w:rsidR="00593F1E">
            <w:pPr>
              <w:widowControl/>
              <w:bidi w:val="0"/>
              <w:spacing w:after="28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5.3.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 Bude mať návrh vplyv na životné prostredie presahujúce štátne hranice?</w:t>
            </w:r>
          </w:p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Keďže závažné priemyselné havárie môžu byť aj s cezhraničnými účinkami, návrh zákona pozitívne ovplyvňuje aj životné prostredie presahujúce štátne hranice. </w:t>
            </w:r>
          </w:p>
        </w:tc>
      </w:tr>
      <w:tr>
        <w:tblPrEx>
          <w:tblW w:w="8835" w:type="dxa"/>
          <w:tblCellMar>
            <w:left w:w="0" w:type="dxa"/>
            <w:right w:w="0" w:type="dxa"/>
          </w:tblCellMar>
        </w:tblPrEx>
        <w:trPr>
          <w:trHeight w:val="52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6"/>
                <w:szCs w:val="24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6"/>
                <w:szCs w:val="24"/>
              </w:rPr>
              <w:t> </w:t>
            </w:r>
          </w:p>
        </w:tc>
      </w:tr>
    </w:tbl>
    <w:p w:rsidR="00593F1E">
      <w:pPr>
        <w:widowControl/>
        <w:bidi w:val="0"/>
        <w:spacing w:after="280" w:afterAutospacing="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8"/>
          <w:szCs w:val="24"/>
        </w:rPr>
        <w:t> </w:t>
      </w:r>
    </w:p>
    <w:p w:rsidR="00593F1E">
      <w:pPr>
        <w:widowControl/>
        <w:bidi w:val="0"/>
        <w:spacing w:after="280" w:afterAutospacing="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8"/>
          <w:szCs w:val="24"/>
        </w:rPr>
        <w:t>Vplyvy na informatizáciu spoločnosti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tbl>
      <w:tblPr>
        <w:tblStyle w:val="TableNormal"/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235"/>
        <w:gridCol w:w="3780"/>
      </w:tblGrid>
      <w:tr>
        <w:tblPrEx>
          <w:tblW w:w="9015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i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Obsah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i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6.1.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 Rozširujú alebo inovujú  sa existujúce alebo vytvárajú sa či zavádzajú  sa nové elektronické služby?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i/>
                <w:color w:val="000000"/>
                <w:sz w:val="24"/>
                <w:szCs w:val="24"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Návrhom zákona sa zavádza povinnosť pre prevádzkovateľov poskytovať informácie pre verejnosť aj elektronicky. 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Informačný systém prevencie závažných priemyselných havárií, ktorý sa zaviedol podľa doterajšej legislatívy sa rozširuje o nové registre a nové štruktúry pôvodných registrov. Pre prevádzkovateľov budú sprístupnené formuláre. Úroveň II. 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6.2.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 Vytvárajú sa podmienky pre sémantickú interoperabilitu?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i/>
                <w:color w:val="000000"/>
                <w:sz w:val="24"/>
                <w:szCs w:val="24"/>
              </w:rPr>
              <w:t>(Popíšte spôsob jej zabezpečenia.)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Informačný systém prevencie závažných priemyselných havárií je súčasťou informačného systému verejnej správy.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Ľudia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i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6.3.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 Zabezpečuje sa vzdelávanie v oblasti počítačovej gramotnosti a rozširovanie vedomostí o IKT?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i/>
                <w:color w:val="000000"/>
                <w:sz w:val="24"/>
                <w:szCs w:val="24"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Neplánuje sa.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6.4.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 Zabezpečuje sa rozvoj elektronického vzdelávania?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i/>
                <w:color w:val="000000"/>
                <w:sz w:val="24"/>
                <w:szCs w:val="24"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Neplánuje sa.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6.5.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 Zabezpečuje sa podporná a propagačná aktivita zameraná na zvyšovanie povedomia o informatizácii a IKT?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i/>
                <w:color w:val="000000"/>
                <w:sz w:val="24"/>
                <w:szCs w:val="24"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Neplánuje sa.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6.6.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 Zabezpečuje/zohľadňuje/zlepšuje sa prístup znevýhodnených osôb k službám informačnej spoločnosti?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i/>
                <w:color w:val="000000"/>
                <w:sz w:val="24"/>
                <w:szCs w:val="24"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Informačný systém prevencie závažných priemyselných havárií spĺňa platné štandardy a zohľadňuje sprístupnenie digitálneho prostredia aj pre špecifické skupiny občanov.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Infraštruktúra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C0C0C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i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6.7.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 Rozširuje, inovuje, vytvára alebo zavádza sa nový informačný systém?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i/>
                <w:color w:val="000000"/>
                <w:sz w:val="24"/>
                <w:szCs w:val="24"/>
              </w:rPr>
              <w:t>(Uveďte jeho funkciu.)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Informačný systém prevencie závažných priemyselných havárií, ktorý sa zaviedol podľa doterajšej legislatívy sa rozširuje o nové registre a predpokladá sa jeho inovácia s cieľom zabezpečiť informačnú podporu pre výkon štátnej správy vytvorením funkčnej a komplexnej databázy v oblasti prevencie závažných priemyselných havárií v SR, umožniť získavanie celoplošných prehľadov  a štatistík  pre poskytovanie informácií Európskej komisii, zabezpečiť profesionálny prístup odbornej a laickej verejnosti aj verejnosti, ktorá môže byť  dotknutá haváriou.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6.8.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 Rozširuje sa prístupnosť k internetu?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i/>
                <w:color w:val="000000"/>
                <w:sz w:val="24"/>
                <w:szCs w:val="24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Neplánuje sa.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6.9.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 Rozširuje sa prístupnosť k elektronickým službám?</w:t>
            </w:r>
          </w:p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i/>
                <w:color w:val="000000"/>
                <w:sz w:val="24"/>
                <w:szCs w:val="24"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Vytvorením nových služieb sa rozšíri ich dostupnosť pre cieľové skupiny. Návrhom zákona sa zavádza povinnosť pre prevádzkovateľov poskytovať informácie pre verejnosť aj elektronicky.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6.10.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 Zabezpečuje sa technická interoperabilita?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i/>
                <w:color w:val="000000"/>
                <w:sz w:val="24"/>
                <w:szCs w:val="24"/>
              </w:rPr>
              <w:t>(Uveďte spôsob jej zabezpečenia.)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Technická interoperabilita informačného systému prevencie závažných priemyselných havárií  je zabezpečovaná podľa platných štandardov.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6.11.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 Zvyšuje sa bezpečnosť IT?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(</w:t>
            </w:r>
            <w:r>
              <w:rPr>
                <w:rFonts w:ascii="&amp;quot" w:hAnsi="&amp;quot" w:cs="&amp;quot"/>
                <w:i/>
                <w:color w:val="000000"/>
                <w:sz w:val="24"/>
                <w:szCs w:val="24"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Neplánuje sa.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6.12.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 Rozširuje sa technická infraštruktúra?</w:t>
            </w:r>
          </w:p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(</w:t>
            </w:r>
            <w:r>
              <w:rPr>
                <w:rFonts w:ascii="&amp;quot" w:hAnsi="&amp;quot" w:cs="&amp;quot"/>
                <w:i/>
                <w:color w:val="000000"/>
                <w:sz w:val="24"/>
                <w:szCs w:val="24"/>
              </w:rPr>
              <w:t>Uveďte stručný popis zavádzanej infraštruktúry.)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Neplánuje sa.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Riadenie procesu informatizácie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6.13.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 Predpokladajú sa zmeny v riadení procesu informatizácie?</w:t>
            </w:r>
          </w:p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i/>
                <w:color w:val="000000"/>
                <w:sz w:val="24"/>
                <w:szCs w:val="24"/>
              </w:rPr>
              <w:t>(Uveďte popis zmien.)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>Nepredpokladajú sa zmeny.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Financovanie procesu informatizácie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i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6.14.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 Vyžaduje si proces informatizácie  finančné investície?</w:t>
            </w:r>
          </w:p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i/>
                <w:color w:val="000000"/>
                <w:sz w:val="24"/>
                <w:szCs w:val="24"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Nie. 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solid" w:color="000000" w:fill="auto"/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i/>
                <w:color w:val="000000"/>
                <w:sz w:val="24"/>
                <w:szCs w:val="24"/>
              </w:rPr>
              <w:t> </w:t>
            </w:r>
          </w:p>
        </w:tc>
      </w:tr>
      <w:tr>
        <w:tblPrEx>
          <w:tblW w:w="9015" w:type="dxa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top"/>
          </w:tcPr>
          <w:p w:rsidR="00593F1E">
            <w:pPr>
              <w:widowControl/>
              <w:bidi w:val="0"/>
              <w:spacing w:after="28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b/>
                <w:color w:val="000000"/>
                <w:sz w:val="24"/>
                <w:szCs w:val="24"/>
              </w:rPr>
              <w:t>6.15.</w:t>
            </w: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 Predpokladá nelegislatívny materiál potrebu úpravy legislatívneho prostredia  procesu informatizácie?</w:t>
            </w:r>
          </w:p>
          <w:p w:rsidR="00593F1E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i/>
                <w:color w:val="000000"/>
                <w:sz w:val="24"/>
                <w:szCs w:val="24"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70" w:type="dxa"/>
              <w:bottom w:w="28" w:type="dxa"/>
              <w:right w:w="70" w:type="dxa"/>
            </w:tcMar>
            <w:textDirection w:val="lrTb"/>
            <w:vAlign w:val="center"/>
          </w:tcPr>
          <w:p w:rsidR="00593F1E">
            <w:pPr>
              <w:widowControl/>
              <w:bidi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&amp;quot" w:hAnsi="&amp;quot" w:cs="&amp;quot"/>
                <w:color w:val="000000"/>
                <w:sz w:val="24"/>
                <w:szCs w:val="24"/>
              </w:rPr>
              <w:t xml:space="preserve">Predkladaný návrh zákona je legislatívny materiál. </w:t>
            </w:r>
          </w:p>
        </w:tc>
      </w:tr>
    </w:tbl>
    <w:p w:rsidR="00593F1E">
      <w:pPr>
        <w:widowControl/>
        <w:bidi w:val="0"/>
        <w:spacing w:after="280" w:afterAutospacing="1" w:line="24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8"/>
          <w:szCs w:val="24"/>
        </w:rPr>
        <w:t> 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8"/>
          <w:szCs w:val="24"/>
        </w:rPr>
        <w:t> 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8"/>
          <w:szCs w:val="24"/>
        </w:rPr>
        <w:t> 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8"/>
          <w:szCs w:val="24"/>
        </w:rPr>
        <w:t> 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b/>
          <w:color w:val="000000"/>
          <w:sz w:val="28"/>
          <w:szCs w:val="24"/>
        </w:rPr>
        <w:t> </w:t>
      </w:r>
    </w:p>
    <w:p w:rsidR="00593F1E">
      <w:pPr>
        <w:widowControl/>
        <w:bidi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pict>
          <v:rect id="_x0000_i1025" style="width:154.45pt;height:0.75pt" o:hrpct="330" o:hrstd="t" o:hrnoshade="f" o:hr="t" filled="t" fillcolor="gray" stroked="f">
            <v:imagedata r:id="rId4" o:title=""/>
          </v:rect>
        </w:pic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hyperlink w:anchor="_ftnref1" w:history="1">
        <w:r>
          <w:rPr>
            <w:rFonts w:ascii="&amp;quot" w:hAnsi="&amp;quot" w:cs="&amp;quot"/>
            <w:color w:val="000000"/>
            <w:szCs w:val="24"/>
            <w:u w:val="single"/>
          </w:rPr>
          <w:t>_ftnref1</w:t>
        </w:r>
      </w:hyperlink>
      <w:r>
        <w:rPr>
          <w:rFonts w:ascii="&amp;quot" w:hAnsi="&amp;quot" w:cs="&amp;quot"/>
          <w:color w:val="000000"/>
          <w:sz w:val="24"/>
          <w:szCs w:val="24"/>
          <w:vertAlign w:val="superscript"/>
        </w:rPr>
        <w:t xml:space="preserve">1 </w:t>
      </w:r>
      <w:r>
        <w:rPr>
          <w:rFonts w:ascii="&amp;quot" w:hAnsi="&amp;quot" w:cs="&amp;quot"/>
          <w:color w:val="000000"/>
          <w:sz w:val="24"/>
          <w:szCs w:val="24"/>
        </w:rPr>
        <w:t>Príjem z výberu správnych poplatkov za udeľovanie oprávnení, autorizácií, súhlasov, odborných spôsobilostí a udeľovania sankcií za porušovanie ustanovení zákona; výpočet príjmov bol realizovaný rozdielom v príjmoch medzi navrhovaným a súčasným znením;</w:t>
      </w:r>
      <w:r>
        <w:rPr>
          <w:rFonts w:ascii="&amp;quot" w:hAnsi="&amp;quot" w:cs="&amp;quot"/>
          <w:color w:val="FF0000"/>
          <w:sz w:val="24"/>
          <w:szCs w:val="24"/>
        </w:rPr>
        <w:t xml:space="preserve"> </w:t>
      </w:r>
      <w:r>
        <w:rPr>
          <w:rFonts w:ascii="&amp;quot" w:hAnsi="&amp;quot" w:cs="&amp;quot"/>
          <w:color w:val="000000"/>
          <w:sz w:val="24"/>
          <w:szCs w:val="24"/>
        </w:rPr>
        <w:t xml:space="preserve">vzhľadom na predpokladanú účinnosť zákona od 1.06.2015 v roku 2015 krátené o polovicu. </w:t>
      </w:r>
    </w:p>
    <w:p w:rsidR="00593F1E">
      <w:pPr>
        <w:widowControl/>
        <w:bidi w:val="0"/>
        <w:spacing w:after="28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hyperlink w:anchor="_ftnref2" w:history="1">
        <w:r>
          <w:rPr>
            <w:rFonts w:ascii="&amp;quot" w:hAnsi="&amp;quot" w:cs="&amp;quot"/>
            <w:color w:val="000000"/>
            <w:szCs w:val="24"/>
            <w:u w:val="single"/>
          </w:rPr>
          <w:t>_ftnref2</w:t>
        </w:r>
      </w:hyperlink>
      <w:r>
        <w:rPr>
          <w:rFonts w:ascii="&amp;quot" w:hAnsi="&amp;quot" w:cs="&amp;quot"/>
          <w:color w:val="000000"/>
          <w:sz w:val="24"/>
          <w:szCs w:val="24"/>
          <w:vertAlign w:val="superscript"/>
        </w:rPr>
        <w:t xml:space="preserve">2 </w:t>
      </w:r>
      <w:r>
        <w:rPr>
          <w:rFonts w:ascii="&amp;quot" w:hAnsi="&amp;quot" w:cs="&amp;quot"/>
          <w:color w:val="000000"/>
          <w:sz w:val="24"/>
          <w:szCs w:val="24"/>
        </w:rPr>
        <w:t>Výdavky na činnosť komisie pre prevenciu závažných priemyselných havárií a jej zbor expertov; vzhľadom na predpokladanú účinnosť zákona od 1.06.2015 v roku 2015 krátené o polovicu.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i/>
          <w:color w:val="000000"/>
          <w:sz w:val="24"/>
          <w:szCs w:val="24"/>
        </w:rPr>
        <w:t xml:space="preserve">      </w:t>
      </w:r>
    </w:p>
    <w:p w:rsidR="00593F1E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&amp;quot" w:hAnsi="&amp;quot" w:cs="&amp;quot"/>
          <w:color w:val="000000"/>
          <w:sz w:val="24"/>
          <w:szCs w:val="24"/>
        </w:rPr>
        <w:t> </w:t>
      </w:r>
    </w:p>
    <w:p w:rsidR="00593F1E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A.4. Alternatívne riešenia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  <w:br/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&amp;quot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&amp;amp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109B6"/>
    <w:rsid w:val="002704AC"/>
    <w:rsid w:val="00593F1E"/>
    <w:rsid w:val="00B109B6"/>
    <w:rsid w:val="00E8783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MsoNormalTable">
    <w:name w:val="Table_MsoNormalTable"/>
    <w:basedOn w:val="Normal"/>
    <w:pPr>
      <w:jc w:val="left"/>
    </w:pPr>
    <w:rPr>
      <w:rFonts w:cs="Calibri"/>
    </w:rPr>
  </w:style>
  <w:style w:type="paragraph" w:customStyle="1" w:styleId="shape">
    <w:name w:val="shape"/>
    <w:basedOn w:val="Normal"/>
    <w:pPr>
      <w:jc w:val="left"/>
    </w:pPr>
  </w:style>
  <w:style w:type="paragraph" w:customStyle="1" w:styleId="TableMsoNormalTable0">
    <w:name w:val="Table_MsoNormalTable_0"/>
    <w:basedOn w:val="Normal"/>
    <w:pPr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wmf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17</Pages>
  <Words>2972</Words>
  <Characters>16946</Characters>
  <Application>Microsoft Office Word</Application>
  <DocSecurity>0</DocSecurity>
  <Lines>0</Lines>
  <Paragraphs>0</Paragraphs>
  <ScaleCrop>false</ScaleCrop>
  <Company/>
  <LinksUpToDate>false</LinksUpToDate>
  <CharactersWithSpaces>19879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Katrlík Radovan</dc:creator>
  <cp:lastModifiedBy>Katrlík Radovan</cp:lastModifiedBy>
  <cp:revision>2</cp:revision>
  <cp:lastPrinted>2015-02-18T16:03:00Z</cp:lastPrinted>
  <dcterms:created xsi:type="dcterms:W3CDTF">2015-02-18T16:04:00Z</dcterms:created>
  <dcterms:modified xsi:type="dcterms:W3CDTF">2015-02-18T16:04:00Z</dcterms:modified>
</cp:coreProperties>
</file>