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200A" w:rsidRPr="004B5AFB" w:rsidP="00F1200A">
      <w:pPr>
        <w:widowControl/>
        <w:bidi w:val="0"/>
        <w:jc w:val="both"/>
        <w:rPr>
          <w:rFonts w:ascii="Times New Roman" w:hAnsi="Times New Roman"/>
          <w:b/>
          <w:color w:val="000000"/>
        </w:rPr>
      </w:pPr>
      <w:r w:rsidRPr="004B5AFB">
        <w:rPr>
          <w:rFonts w:ascii="Times New Roman" w:hAnsi="Times New Roman"/>
          <w:b/>
          <w:color w:val="000000"/>
        </w:rPr>
        <w:t>B. Osobitná časť</w:t>
      </w:r>
    </w:p>
    <w:p w:rsidR="00F1200A" w:rsidRPr="004B5AFB" w:rsidP="00F1200A">
      <w:pPr>
        <w:widowControl/>
        <w:bidi w:val="0"/>
        <w:jc w:val="both"/>
        <w:rPr>
          <w:rFonts w:ascii="Times New Roman" w:hAnsi="Times New Roman"/>
          <w:color w:val="000000"/>
        </w:rPr>
      </w:pPr>
    </w:p>
    <w:p w:rsidR="00F1200A" w:rsidRPr="004B5AFB" w:rsidP="00F1200A">
      <w:pPr>
        <w:widowControl/>
        <w:bidi w:val="0"/>
        <w:jc w:val="both"/>
        <w:rPr>
          <w:rFonts w:ascii="Times New Roman" w:hAnsi="Times New Roman"/>
          <w:color w:val="000000"/>
        </w:rPr>
      </w:pPr>
    </w:p>
    <w:p w:rsidR="00856250" w:rsidRPr="004B5AFB">
      <w:pPr>
        <w:widowControl/>
        <w:bidi w:val="0"/>
        <w:spacing w:after="280" w:afterAutospacing="1" w:line="276" w:lineRule="auto"/>
        <w:jc w:val="both"/>
        <w:rPr>
          <w:rFonts w:ascii="Times New Roman" w:hAnsi="Times New Roman"/>
          <w:color w:val="000000"/>
        </w:rPr>
      </w:pPr>
      <w:r w:rsidR="00C56F59">
        <w:rPr>
          <w:rStyle w:val="PlaceholderText"/>
          <w:color w:val="000000"/>
          <w:lang w:val="en-US"/>
        </w:rPr>
        <w:t> </w:t>
      </w:r>
      <w:r w:rsidR="00C56F59">
        <w:rPr>
          <w:rStyle w:val="PlaceholderText"/>
          <w:b/>
          <w:color w:val="000000"/>
          <w:lang w:val="en-US"/>
        </w:rPr>
        <w:t>Čl. I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 xml:space="preserve">K § 1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Vymedzuje predmet právnej úpravy pozitívnym aj negatívnym spôsobom, pričom všeobecnú právnu úpravu bezpečnosti a ochrany zdravia pri práci, požiarnej ochrany, civilnej ochrany a ochrany utajovaných skutočností  ponecháva nedotknutú. Rozsah pôsobnosti vyplýva zo smernice Európskeho parlamentu a Rady 2012/18/EÚ zo 4. júla 2012 o kontrole nebezpečenstiev závažných havárií s prítomnosťou nebezpečných látok, ktorou sa mení a dopĺňa a následne zrušuje smernica Rady 96/82/ES (ďalej len „smernica“).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Oproti doterajšej právnej úprave sa pôsobnosť zákona v súlade so smernicou rozširuje na podzemné zásobníky plynov v prírodných horninových štruktúrach a v podzemných priestoroch.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K § 2</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Definuje základné pojmy, ktoré sú používané v celom zákone a ktoré majú slúžiť na ozrejmenie problematiky. Ustanovenie preberá pojmy zo smernice, pričom sa snaží tieto pojmy prebrať v znení, v akom ich uvádza oficiálny slovenský preklad smernice s menšími úpravami vyplývajúcimi z nášho právneho poriadku. Za účelom jednoznačnosti pri implementácii v praxi boli na účely tohto zákona navyše oproti smernici doplnené niektoré pojmy ako domino efekt a prevencia závažných priemyselných havárií.</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Pojmom prítomnosť nebezpečnej látky sa projektovaným množstvom nebezpečnej látky rozumie také množstvo nebezpečnej látky, ktoré môže byť maximálne prítomné v zariadení/</w:t>
        <w:br/>
        <w:t xml:space="preserve">v podniku  uvedené v  projektovej dokumentácii.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Oproti doterajšej právnej úprave sa modifikuje definícia rizika, ktorá sa preberá v plnom znení zo smernice. Význam definície sa ale nemení, pojem riziko je nutné spájať minimálne s dvoma veličinami – pravdepodobnosťou a dôsledkom príslušného nežiaduceho  javu, ku ktorému môže dôjsť.</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Do základných pojmov neboli zo smernice priamo zahrnuté pojmy „zmes“ a „dotknutá verejnosť“.  Pojem „zmes“ je zadefinovaný v čl. 2 ods. 8 nariadenia (ES) č. 1272/2008, na ktoré sa odkazuje v pojme „nebezpečná látka“.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Čl. 15 vrátane čl. 13 sa preberá § 14 „Územné plánovanie, povoľovacia činnosť a účasť verejnosti na rozhodovacích procesoch“,  kde odsek 5 ustanovuje, že na účasť verejnosti sa vzťahujú osobitné predpisy. V týchto predpisoch je vymedzenie pojmu „dotknutá verejnosť“ dostatočné a jeho osobitné vymedzenie v tomto zákone považujeme za nadbytočné. Navyše v celom texte zákona sa pojem nevyskytuje.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K § 3</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Oproti doterajšej právnej úprave sa na základe smernice definujú pojmy pre podnik kategórie A a podnik kategórie B. Zároveň sa so zmenami špecifikujú pojmy „nový podnik“, „existujúci podnik“ a zavádza sa nový pojem „iný podnik“. Takéto rozlíšenie je dôležité v nadväznosti na lehoty pri plnení určitých povinností. Novým podnikom bude taký podnik, ktorý bude vybudovaný (uvedený do prevádzky) po 31.júli 2015 alebo to bude taký podnik kategórie A alebo kategórie B (teda už zaradený pod režim zákona), v ktorom nastanú také zmeny v činnosti alebo zariadení, ktoré následne vyvolajú zmeny v zozname nebezpečných látok a tým aj zmenu kategorizácie samotného podniku.  Medzi „iné podniky“ sa zaradia tie podniky, ktoré nespadali pod doterajšiu legislatívu, ale už boli v prevádzke a pod režim zákona sa zaradia počas účinnosti zákona (napr. zvýšia množstvo určitej nebezpečnej látky). Môže ísť aj o preradenie podnikov medzi kategóriami A a B, ale na základe iných dôvodov ako sú uvedené pri definícii nového podniku. Týmito dôvodmi opäť môžu byť zmena množstva nebezpečných látok alebo aj zmena zoznamu nebezpečných látok (bez zmeny činnosti alebo zariadenia).  Je dôležité si uvedomiť, že počas prevádzkovania podniku môžu nastať situácie a zmeny,  ktoré následne vyvolajú nielen zmenu kategorizácie podniku ale aj jeho zaradenie medzi „nové podniky“ a „iné podniky“. Podobne aj „existujúce podniky“, ktoré prechádzajú pod režim nového zákona bez zmien, môžu v závislosti od zmien počas účinnosti zákona časom prejsť medzi „nové podniky - § 2 písm. h) bod 2 alebo pod „iné podniky“.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 xml:space="preserve">K § 4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Súhrnne ustanovuje povinnosti pre prevádzkovateľov podnikov kategórie A a podnikov kategórie B. V súlade so smernicou, prevádzkovatelia podnikov kategórie A v záujme zníženia administratívnej záťaže, nebudú mať povinnosť oproti doterajšiemu predpisu v tejto oblasti vypracovať vnútorné havarijné plány. Nakoľko sa havarijné plány vypracúvajú aj podľa iných právnych predpisov, táto zmena nebude mať vplyv na úroveň bezpečnosti. </w:t>
      </w:r>
    </w:p>
    <w:p w:rsidR="00C56F59">
      <w:pPr>
        <w:widowControl/>
        <w:bidi w:val="0"/>
        <w:spacing w:line="276" w:lineRule="auto"/>
        <w:jc w:val="both"/>
        <w:rPr>
          <w:rStyle w:val="PlaceholderText"/>
          <w:color w:val="000000"/>
          <w:lang w:val="en-US"/>
        </w:rPr>
      </w:pPr>
      <w:r>
        <w:rPr>
          <w:rStyle w:val="PlaceholderText"/>
          <w:color w:val="000000"/>
          <w:lang w:val="en-US"/>
        </w:rPr>
        <w:t>            Oproti doterajšej právnej úprave sa mierne modifikuje povinnosť súvisiaca s hodnotením rizík – zavádza sa pojem „ posúdenie rizika“. Prevádzkovateľ bude povinný vykonať posúdenie rizika a zaviesť systém posúdenia rizika a riadenia rizika závažnej priemyselnej havárie vrátane systému monitorovania a kontroly. Riadenie rizika sú sústavné, opakujúce sa a navzájom previazané činnosti/opatrenia, ktorých cieľom je riadiť potenciálne riziko, teda obmedziť pravdepodobnosť jeho výskytu alebo znížiť jeho vplyv.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 xml:space="preserve">K § 5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V súlade so smernicou ustanovuje</w:t>
      </w:r>
      <w:r>
        <w:rPr>
          <w:rStyle w:val="PlaceholderText"/>
          <w:b/>
          <w:color w:val="000000"/>
          <w:lang w:val="en-US"/>
        </w:rPr>
        <w:t xml:space="preserve"> </w:t>
      </w:r>
      <w:r>
        <w:rPr>
          <w:rStyle w:val="PlaceholderText"/>
          <w:color w:val="000000"/>
          <w:lang w:val="en-US"/>
        </w:rPr>
        <w:t xml:space="preserve">formu a definuje obsah oznámenia o zaradení podniku do príslušnej kategórie a lehoty na predloženie oznámenia okresnému úradu v sídle kraja prevádzkovateľom. Určité nóvum, v porovnaní s doterajším predpisom v tejto oblasti, zavádza odsek 4, ktorý ustanovuje povinnosť informovať okresný úrad v sídle kraja o závažných zmenách v podniku ešte pred ich vykonaním. Ide predovšetkým o také zmeny v podniku (zmena množstva, fyzikálnych vlastností, formy nebezpečnej látky, činnosti v podniku a pod.), ktoré by mohli vážne ovplyvniť nebezpečenstvo vedúce k závažnej priemyselnej havárii. Je na zodpovednosti prevádzkovateľa, aby posúdil tieto zmeny a ich vplyv na uvedené nebezpečenstvo.  Podrobnosti o oznámení vo forme formulára ustanoví vykonávací predpis.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w:t>
      </w:r>
      <w:r>
        <w:rPr>
          <w:rStyle w:val="PlaceholderText"/>
          <w:b/>
          <w:color w:val="000000"/>
          <w:lang w:val="en-US"/>
        </w:rPr>
        <w:t>K § 6</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Definuje proces posúdenia rizika, ktorý zahŕňa identifikovanie nebezpečenstiev a udalostí, ktoré môžu vyvolať závažnú priemyselnú haváriu, kvantifikáciu pravdepodobnosti závažných priemyselných havárií, odhad rozsahu a závažnosti možných následkov na zdravie ľudí, životné prostredie a majetok, hodnotenie rizika a posúdenie jeho prijateľnosti. Výsledky z posúdenia rizika sú následne podkladom pre vypracovanie ďalšej dokumentácie prevádzkovateľa, pre budovanie systému prevencie závažných priemyselných havárií  v podniku, pre havarijné plánovanie, pre územnoplánovaciu činnosť  a povoľovaciu činnosť, pre informovanie verejnosti.  Podrobnosti o posúdení rizika ustanoví vykonávací predpis.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K § 7</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V súlade so smernicou definuje lehoty na vypracovanie, formu, ciele a obsah pre vypracovanie programu prevencie a bezpečnostného riadiaceho systému. Program prevencie a bezpečnostný  riadiaci systém slúžia na zabezpečenie komplexného a systémového prístupu prevádzkovateľa k otázkam prevencie závažných priemyselných havárií. Program prevencie obsahuje celkové ciele,  princípy činnosti a opatrenia prevádzkovateľa najmä v oblastiach ako sú organizačná štruktúra podniku a zamestnanci, identifikácia a hodnotenie nebezpečenstiev, riadenie prevádzky, zmien v podniku, havarijné plánovanie, monitorovanie plnenia programu, audit a preskúmavanie vhodnosti, účinnosti a plnenia programu. Jedným z princípov, ktoré musí bezpečnostný  riadiaci systém spĺňať je zabezpečenie pravidelného a systematického vykonávania interných auditov. Ide o bezpečnostno - environmentálny audit, pre ktorý platia analogické požiadavky ako sú stanovené v iných systémoch – EMAS, STN EN ISO, OHSAS.  Podrobnosti o obsahu a vypracovaní programu prevencie  a o bezpečnostnom riadiacom systéme ustanoví vykonávací predpis.  </w:t>
      </w:r>
    </w:p>
    <w:p w:rsidR="00C56F59">
      <w:pPr>
        <w:widowControl/>
        <w:bidi w:val="0"/>
        <w:spacing w:after="280" w:afterAutospacing="1" w:line="276" w:lineRule="auto"/>
        <w:jc w:val="both"/>
        <w:rPr>
          <w:rStyle w:val="PlaceholderText"/>
          <w:color w:val="000000"/>
          <w:lang w:val="en-US"/>
        </w:rPr>
      </w:pPr>
      <w:r>
        <w:rPr>
          <w:rStyle w:val="PlaceholderText"/>
          <w:rFonts w:ascii="&amp;quot" w:hAnsi="&amp;quot" w:cs="&amp;quot"/>
          <w:color w:val="000000"/>
          <w:lang w:val="en-US"/>
        </w:rPr>
        <w:t>Havarijnou odozvou sa rozumie plánovaná činnosť vykonávaná v priebehu havárie a havarijná pripravenosť ako odpoveď na vzniknutú situáciu a systematické riešenie jednotlivých postupov, ktoré budú uplatňované v priebehu havárie. Pri určovaní stavu havarijnej odozvy by sa malo vychádzať z princípu ALARA (as low as reasonably achievable) – tak nízko, ako je rozumne dosiahnuteľné – stav, ktorý je adekvátny legislatívnym požiadavkám, normami a ekonomickým možnostiam. Deklarovanie zlepšovania stavu havarijnej odozvy je systémovou požiadavkou.</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br/>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K § 8</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 xml:space="preserve">            </w:t>
      </w:r>
      <w:r>
        <w:rPr>
          <w:rStyle w:val="PlaceholderText"/>
          <w:color w:val="000000"/>
          <w:lang w:val="en-US"/>
        </w:rPr>
        <w:t xml:space="preserve">V súlade so smernicou definuje lehoty na predloženie, formu, ciele a obsah bezpečnostnej správy. Ustanovenie vychádza z doterajšieho právneho predpisu. Bezpečnostná správa je ťažiskovým dokumentom prevádzkovateľa podniku kategórie B, z ktorého vyplývajú nielen základné údaje o príslušnom podniku, ale hlavne riziká vyplývajúce z jeho činnosti, umiestnenia, technologických procesov a zariadení, druhu a množstva prítomných nebezpečných látok a zároveň navrhované a prijaté opatrenia na elimináciu alebo obmedzenie takýchto rizík. K základným cieľom, ktoré má bezpečnostná správa preukázať, bola doplnená aplikácia trvalých nástrojov na zlepšenie stavu havarijnej odozvy z dôvodu, že ide o systémovú požiadavku, ktorú je potrebné zo strany prevádzkovateľa deklarovať.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Keďže bezpečnostná správa neslúži len prevádzkovateľovi, ale v rovnakej miere podobne ako posúdenie rizika aj príslušným orgánom, je potrebné, aby k nej okresný úrad v sídle kraja vydal rozhodnutie o súhlase.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Oproti doterajšiemu právnemu predpisu (deväť písomných vyhotovení) sa zavádza povinnosť pre prevádzkovateľa predložiť bezpečnostnú správu v písomnej forme, ktorá zahŕňa aj elektronickú formu. V prípade, že prevádzkovateľ predloží bezpečnostnú správu v listinnej podobe, musí tak urobiť v siedmich vyhotoveniach. Keďže k bezpečnostnej správe sa vyjadruje počas 30 dňovej lehoty niekoľko orgánov štátnej správy súčasne, jedno vyhotovenie by bolo pre potreby štátnej správy nedostatočné. Vzhľadom k tomu, že ide o rozsiahly dokument s množstvom grafických príloh, jeho kopírovanie by bolo finančne  nákladne .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Podrobnosti o bezpečnostnej správe ustanoví vykonávací predpis.</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br/>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w:t>
      </w:r>
      <w:r>
        <w:rPr>
          <w:rStyle w:val="PlaceholderText"/>
          <w:b/>
          <w:color w:val="000000"/>
          <w:lang w:val="en-US"/>
        </w:rPr>
        <w:t>K § 9</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V súlade so smernicou definuje havarijné plány, ktorými sú vnútorný havarijný plán a plán ochrany obyvateľstva podľa osobitného predpisu.  Zároveň definuje ich ciele, ktorými sú najmä zvládnutie závažnej priemyselnej havárie tak, aby sa minimalizovali jej následky, vykonanie opatrení na ochranu zdravia ľudí a životného prostredia, informovanie všetkých, ktorí môžu byť haváriou dotknutí a zabezpečiť sanáciu poškodeného životného prostredia.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br/>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K § 10</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V súlade so smernicou definuje formu, obsah, lehoty na  vypracovanie a precvičovanie vnútorného havarijného plánu, ktorého účelom je zabezpečenie včasnej a adekvátnej reakcie na závažnú priemyselnú haváriu v záujme ochrany zamestnancov a ďalších osôb zdržujúcich sa s vedomím prevádzkovateľa v podniku, ochrany a zabezpečenia nerušenej prevádzky zariadení a na vylúčenie alebo maximálne možné obmedzenie následkov havárie na okolie podniku. Vzhľadom k tomu, že havarijné plány sa vypracúvajú aj podľa iných osobitných predpisov, ponecháva sa možnosť pre prevádzkovateľa pri vypracúvaní vnútorného havarijného plánu využiť všetku dostupnú dokumentáciu alebo jej časť vypracovanú podľa týchto predpisov.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Prevádzkovateľ je povinný postupovať podľa vnútorného havarijného plánu pri závažnej priemyselnej havárii alebo pri nekontrolovateľnej udalosti pri ktorej by sa mohlo očakávať, že svojou podstatou povedie k závažnej priemyselnej havárii. Nekontrolovateľnou udalosťou je neriadený proces  v rámci technologických procesov v prevádzke zariadení.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Podrobnosti o obsahu vnútorného havarijného plánu, o jeho vypracúvaní, uchovávaní, prehodnocovaní a precvičovaní ustanoví vykonávací predpis.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br/>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K § 11</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V súlade so smernicou ustanovuje lehotu na predloženie podkladov, ktoré sú potrebné  na vypracovanie plánu ochrany obyvateľstva podľa osobitného predpisu. Plán ochrany obyvateľstva vypracúva obec, okresné úrady a okresné úrady v sídle kraja. V záujme potrebnej previazanosti vnútorného havarijného plánu a plánu ochrany obyvateľstva sa ustanovuje spolupráca medzi prevádzkovateľom podniku a orgánom, ktorý vypracúva plán ochrany obyvateľstva. Súčinnosť je potrebná najmä v prípadoch existencie viacerých nebezpečných podnikov v konkrétnom území, pretože pri vypracúvaní a precvičovaní plánu ochrany obyvateľstva a prehodnocovaní možných kumulatívnych, synergických účinkov a domino efektu môže spätne nastať potreba primeranej úpravy vnútorného havarijného plánu príslušného podniku (podnikov) alebo aj bezpečnostnej správy a pod.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br/>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K § 12</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Ustanovuje podmienky, za ktorých je prevádzkovateľ podniku kategórie B povinný zabezpečiť vo svojom podniku organizačne, materiálne a personálne vybavenú službu na vykonávanie rýchleho a účinného zásahu pri vzniku závažnej priemyselnej havárie (ďalej len „služba havarijnej odozvy“) a lehotu na oznámenie splnenia tejto povinnosti okresnému úradu v sídle kraje.  Službu havarijnej odozvy môže prevádzkovateľ zabezpečiť rôznymi spôsobmi, či už z vlastných závodných hasičských útvarov a zborov, zamestnancov alebo na základe zmluvného vzťahu, prípadne kombináciou uvedených možností. Existencia kvalifikovanej a technicky vybavenej služby, zloženej zo zamestnancov poznajúcich nielen technológiu, ale aj vzájomné súvislosti a nadväznosti v konkrétnom podniku, podstatne zvyšuje účinnosť a rýchlosť prípadného zásahu a znižuje aj celkové riziko, nielen z hľadiska účinkov závažnej priemyselnej havárie na vlastný podnik a jeho okolie, ale aj z hľadiska bezpečnosti cudzích jednotiek, ktoré sa podieľajú na jej zdolávaní.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w:t>
      </w:r>
      <w:r>
        <w:rPr>
          <w:rStyle w:val="PlaceholderText"/>
          <w:b/>
          <w:color w:val="000000"/>
          <w:lang w:val="en-US"/>
        </w:rPr>
        <w:t>K § 13</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V súlade so smernicou ustanovuje povinnosť pre ministerstvo životného prostredia určiť všetky podniky (napr. existencia viacerých samostatných podnikov v spoločnom areáli), pri ktorých by v prípade vzniku závažnej priemyselnej havárie mohlo dôjsť k tzv. domino efektu. Prevádzkovatelia takto určených podnikov budú povinní navzájom spolupracovať, predovšetkým si vymieňať informácie potrebné na zohľadnenie rozsahu celkového nebezpečenstva závažnej priemyselnej havárie, ako aj pri informovaní verejnosti.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w:t>
      </w:r>
      <w:r>
        <w:rPr>
          <w:rStyle w:val="PlaceholderText"/>
          <w:b/>
          <w:color w:val="000000"/>
          <w:lang w:val="en-US"/>
        </w:rPr>
        <w:t>K § 14</w:t>
      </w:r>
    </w:p>
    <w:p w:rsidR="00C56F59">
      <w:pPr>
        <w:widowControl/>
        <w:bidi w:val="0"/>
        <w:spacing w:after="280" w:afterAutospacing="1" w:line="276" w:lineRule="auto"/>
        <w:ind w:right="-142"/>
        <w:jc w:val="both"/>
        <w:rPr>
          <w:rStyle w:val="PlaceholderText"/>
          <w:color w:val="000000"/>
          <w:lang w:val="en-US"/>
        </w:rPr>
      </w:pPr>
      <w:r>
        <w:rPr>
          <w:rStyle w:val="PlaceholderText"/>
          <w:b/>
          <w:color w:val="000000"/>
          <w:lang w:val="en-US"/>
        </w:rPr>
        <w:t xml:space="preserve">            </w:t>
      </w:r>
      <w:r>
        <w:rPr>
          <w:rStyle w:val="PlaceholderText"/>
          <w:color w:val="000000"/>
          <w:lang w:val="en-US"/>
        </w:rPr>
        <w:t xml:space="preserve">Ustanovenie vychádzajúce z doterajšieho platného predpisu, v súlade so smernicou vymedzuje povinnosť orgánov verejnej správy, ktoré podľa osobitných predpisov vypracúvajú, obstarávajú alebo schvaľujú rozvojové koncepcie, územnoplánovaciu dokumentáciu, alebo povoľujú stavby, zariadenia a iné činnosti, zohľadniť ciele prevencie závažných priemyselných havárií a obmedzovanie následkov takýchto havárií na zdravie ľudí, životné prostredie a majetok. Skúsenosti s viacerými závažnými haváriami (Bhópál, Seveso,) preukázali, že neoddeliteľnou súčasťou prevencie závažných priemyselných havárií, ako aj znižovania rozsahu ich následkov, je proces tvorby a schvaľovania príslušných priemyselných, rozvojových, sídelných, ochranárskych a iných koncepcií, ale najmä územnoplánovacej dokumentácie, územného rozhodovania, stavebného konania a pod. Ciele prevencie závažných priemyselných havárií sa v rámci uvedených procesov musia zohľadniť predovšetkým pri umiestňovaní nových podnikov, pri zmenách v podnikoch a pri rozvoji územia a výstavbe dopravných trás, obytných zón a verejných priestranstiev. Vychádzajúc z dokumentácie vypracovanej podľa tohto zákona (posúdenie rizika, bezpečnostná správa, havarijné plány) je potrebné v rámci rozhodovacieho procesu zohľadňovať dostatočné primerané vzdialenosti medzi podnikmi navzájom, medzi podnikmi a verejnými priestranstvami a budovami s výskytom väčšieho množstva ľudí (štadióny, nákupné centrá, ihriská, nemocnice a pod.) tak, aby nedochádzalo k zvýšeniu rizika vzniku závažnej priemyselnej havárie a jej následkov na život a zdravie ľudí, životné prostredie a majetok. </w:t>
      </w:r>
    </w:p>
    <w:p w:rsidR="00C56F59">
      <w:pPr>
        <w:widowControl/>
        <w:bidi w:val="0"/>
        <w:spacing w:after="280" w:afterAutospacing="1" w:line="276" w:lineRule="auto"/>
        <w:ind w:right="-142"/>
        <w:jc w:val="both"/>
        <w:rPr>
          <w:rStyle w:val="PlaceholderText"/>
          <w:color w:val="000000"/>
          <w:lang w:val="en-US"/>
        </w:rPr>
      </w:pPr>
      <w:r>
        <w:rPr>
          <w:rStyle w:val="PlaceholderText"/>
          <w:color w:val="000000"/>
          <w:lang w:val="en-US"/>
        </w:rPr>
        <w:t>Vhodným nástrojom pre uvedenú oblasť, ktorý by posilňoval ciele smernice a zákona, by bola metodická príručka, ktorej cieľom by bolo predovšetkým zvýšiť informovanosť, povedomie a odbornú úroveň kompetentnej štátnej a verejnej  správy, ale aj samotných developerov, potenciálnych investorov a tiež dotknutej verejnosti pri rozhodovacích procesoch spojených s plánovaním nových, či rekonštruovaním a rozširovaním už existujúcich podnikov a prevádzok, v ktorých sú prítomné nebezpečné látky.</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Požiadavky smernice k účasti verejnosti na rozhodovacích procesoch týkajúcich sa podnikov, na ktoré sa vzťahuje tento zákon,  dostatočne upravujú osobitné predpisy.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S cieľom posilniť toto ustanovenie, sa článkom V do zákona č. 24/2006 Z. z. o posudzovaní vplyvov na životné prostredie a o zmene a doplnení niektorých zákonov v znení neskorších predpisov dopĺňa nové ustanovenie, ktoré ustanoví, že predmetom posudzovania vplyvov</w:t>
      </w:r>
      <w:r>
        <w:rPr>
          <w:rStyle w:val="PlaceholderText"/>
          <w:rFonts w:ascii="&amp;amp" w:hAnsi="&amp;amp" w:cs="&amp;amp"/>
          <w:color w:val="000000"/>
          <w:sz w:val="20"/>
          <w:lang w:val="en-US"/>
        </w:rPr>
        <w:t xml:space="preserve"> </w:t>
      </w:r>
      <w:r>
        <w:rPr>
          <w:rStyle w:val="PlaceholderText"/>
          <w:color w:val="000000"/>
          <w:lang w:val="en-US"/>
        </w:rPr>
        <w:t>navrhovanej činnosti alebo jej zmeny musí byť každá navrhovaná činnosť, na ktorú sa vzťahuje zákon o prevencii závažných priemyselných havárií. Dôvodom na takúto úpravu je aj fakt, že nie všetky činnosti, na ktoré sa vťahuje zákon, sú posudzované podľa zákona č. 24/2006 Z. z.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K § 15</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V súlade so smernicou sa v porovnaní s doterajším predpisom posilňuje ustanovenie k informovaniu verejnosti. Podľa odseku 1 prevádzkovatelia podnikov, na ktoré sa vzťahuje tento zákon, budú povinní zabezpečiť trvalú prístupnosť  informácií pre verejnosť, a to aj elektronicky na svojom webovom sídle. Zákon neustanovuje formu trvalého prístupu, formu si prevádzkovateľ zvolí sám (informácia na tabuli v sídle prevádzkovateľa, podniku, letáky, verejnoprávne média a pod.).  Informácia pre verejnosť musí byť vypracovaná v štruktúre uvedenej v prílohe č. 2 k zákonu. Ide o aktívnu formu sprístupňovania informácií verejnosti,  a to nielen tej, ktorá môže byť dotknutá závažnou priemyselnou haváriou ale vo všeobecnosti. Odseky 2 až 4 ustanovujú informovanie verejnosti, ktorá môže byť priamo dotknutá závažnou priemyselnou haváriou, vrátane verejnosti iného štátu v prípade havárií s cezhraničnými účinkami. V odseku 8 je ustanovená možnosť pasívneho sprístupňovania informácií verejnosti na požiadanie, a to zoznamu nebezpečných látok a bezpečnostnej správy.  Zabezpečenie dôvernosti a ochrany niektorých informácií je ustanovené v odsekoch 6 a 9.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K § 16</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Ustanovuje Informačný systém prevencie závažných priemyselných havárií, ktorý bol zriadený už na základe doterajšej právnej úpravy. Jeho cieľom je komplexne zhromažďovať údaje a poskytovať informácie nielen verejnosti ale aj orgánom štátnej správy. Existujúci informačný systém bude doplnený o nové registre.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w:t>
      </w:r>
      <w:r>
        <w:rPr>
          <w:rStyle w:val="PlaceholderText"/>
          <w:b/>
          <w:color w:val="000000"/>
          <w:lang w:val="en-US"/>
        </w:rPr>
        <w:t>K § 17</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 xml:space="preserve">            </w:t>
      </w:r>
      <w:r>
        <w:rPr>
          <w:rStyle w:val="PlaceholderText"/>
          <w:color w:val="000000"/>
          <w:lang w:val="en-US"/>
        </w:rPr>
        <w:t>V súlade so smernicou vymedzuje princíp zhromažďovania údajov o závažných priemyselných haváriách na účely analýzy ich príčin, okolností a následkov, ako aj účinnosti vykonaných opatrení, vrátane ich kompletizácie a aktualizácie. Príslušné závery sa budú využívať pri medzinárodnej výmene skúseností a pri plnení ohlasovacej povinnosti pre Európsku komisiu. Podrobnosti, predovšetkým formuláre, ustanoví vykonávací predpis.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K § 18</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 xml:space="preserve">            </w:t>
      </w:r>
      <w:r>
        <w:rPr>
          <w:rStyle w:val="PlaceholderText"/>
          <w:color w:val="000000"/>
          <w:lang w:val="en-US"/>
        </w:rPr>
        <w:t>Ustanovuje povinnosť zabezpečiť finančné krytie zodpovednosti za škody, ktoré môžu vzniknúť závažnou priemyselnou haváriou v súvislosti s prevádzkou konkrétneho podniku kategórie B. Ide o doplňujúci princíp ku všeobecným predpisom o náhrade škody. Povinnosť bola zavedená doterajšou právnou úpravou z dôvodu vysokej koncentrácie podnikov v sídelných oblastiach, kde v prípade závažnej priemyselnej havárie možno predpokladať vážne následky a škody.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K § 19</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 xml:space="preserve">            </w:t>
      </w:r>
      <w:r>
        <w:rPr>
          <w:rStyle w:val="PlaceholderText"/>
          <w:color w:val="000000"/>
          <w:lang w:val="en-US"/>
        </w:rPr>
        <w:t>Odsek 1 definuje odborne spôsobilú osobu, ktorou je špecialista na prevenciu závažných priemyselných havárií. Inštitút odborne spôsobilých osôb bol zavedený už v doterajšej právnej úprave.  V odsekoch 2 až 16 sa ustanovujú základné podmienky pre získanie a udržanie odbornej spôsobilosti, obsah osvedčenia a vzor pečiatky špecialistu na prevenciu závažných priemyselných havárií. Odseky 17 až 20 definujú ustanovenie osôb, zodpovedných za koordináciu a kontrolu zabezpečovania úloh v oblasti prevencie závažných priemyselných havárií v podniku, prípadne zriadenie osobitného útvaru. Odsek 21 vymedzuje dokumentáciu, ktorá musí byť vypracovaná výlučne odborne spôsobilou osobou.  Vykonávací predpis ustanoví podrobnosti o obsahu odbornej prípravy a o skúške.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K § 20</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Na zabezpečenie primeranej úrovne vzdelávania odborne spôsobilých osôb sa už v doterajšej  právnej úprave zaviedol systém oprávnení na vykonávanie odbornej prípravy. Odseky 2 až 8 ustanovujú podmienky pre získanie a udržanie oprávnenia.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w:t>
      </w:r>
      <w:r>
        <w:rPr>
          <w:rStyle w:val="PlaceholderText"/>
          <w:b/>
          <w:color w:val="000000"/>
          <w:lang w:val="en-US"/>
        </w:rPr>
        <w:t>K § 21</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 xml:space="preserve">            </w:t>
      </w:r>
      <w:r>
        <w:rPr>
          <w:rStyle w:val="PlaceholderText"/>
          <w:color w:val="000000"/>
          <w:lang w:val="en-US"/>
        </w:rPr>
        <w:t>Vymedzuje inštitút autorizácie a autorizovanej osoby, ktorý bol zavedený už v doterajšej právnej úprave. Ministerstvo životného prostredia udeľuje autorizovaným osobám autorizáciu na výkon určitých činností pre iného prevádzkovateľa. V záujme zracionálnenia práce a zabezpečenia potrebnej kvality v prípade menších podnikov môže byť vhodným a efektívnym spôsobom zabezpečenia plnenia niektorých povinností prevádzkovateľa práve dodávateľský spôsob zmluvného vykonávania týchto činností cudzou autorizovanou osobou. Podmienky na udelenie a udržanie autorizácie a povinnosti autorizovanej osoby ustanovujú odseky 2 až 12.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K § 22</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Vymedzuje zriadenie a úlohy komisie pre prevenciu závažných priemyselných havárií a  zbor expertov, ako poradný orgán ministerstva životného prostredia. Za účelom zvýšenia kvality bezpečnostných správ, predovšetkým v oblasti posúdenia rizika, budú členovia zboru expertov vypracovávať posudky, ktoré budú slúžiť ministerstvu životného prostredia ako podklad pri vypracovaní stanoviska k bezpečnostným správam.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K § 23</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V súlade so smernicou vymedzuje úlohy orgánov štátnej správy na úseku prevencie závažných priemyselných havárií. Odsek 1 vymenúva orgány štátnej správy. Odsek 2 definuje kompetencie ministerstva životného prostredia vrátane definovania obsahu všeobecne záväzného právneho predpisu o podrobnostiach povinností uvedených v tomto zákone a tiež upravuje postavenie ministerstva životného prostredia vo vzťahu k Európskej únii. V odsekoch 3 až 7 sú vymedzené kompetencie ostatných orgánov štátnej správy na úseku prevencie závažných priemyselných havárií.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Štátnu správu v prvom stupni  bude oproti doterajšej právnej úprave vykonávať odbor starostlivosti o životné prostredie okresného úradu v sídle kraja. Dôvodom na úpravu je zefektívnenie výkonu štátnej správy v tejto oblasti, vzhľadom na celkový počet podnikov, spadajúcich do pôsobnosti zákona.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w:t>
      </w:r>
      <w:r>
        <w:rPr>
          <w:rStyle w:val="PlaceholderText"/>
          <w:b/>
          <w:color w:val="000000"/>
          <w:lang w:val="en-US"/>
        </w:rPr>
        <w:t>K § 24</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V súlade so smernicou vymedzuje koordináciu činnosti orgánov štátnej správy vykonávajúcich štátny dozor. Princíp spoločných koordinovaných kontrol, ustanovený už v doterajšej právnej úprave  ostáva zachovaný. V súlade so smernicou boli posilnené určité ustanovenia v rámci kontrolnej činnosti, najmä plány kontrol, bežné kontroly, mimoriadne kontroly, následné kontroly.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K § 25</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 xml:space="preserve">            </w:t>
      </w:r>
      <w:r>
        <w:rPr>
          <w:rStyle w:val="PlaceholderText"/>
          <w:color w:val="000000"/>
          <w:lang w:val="en-US"/>
        </w:rPr>
        <w:t xml:space="preserve">Presne definuje správne delikty v závislosti od porušenia povinností prevádzkovateľom ustanovených týmto zákonom. Ustanovenie tiež určuje spôsob ukladania pokút a stanovuje kritériá, na základe ktorých orgán štátneho dozoru ukladá  pokutu.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K § 26</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Ustanovenie súhrnne vymedzuje vzťah procesných ustanovení zákona k správnemu poriadku, ako všeobecného predpisu.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K § 27</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Vymedzuje konanie o súhlase s bezpečnostnou správou alebo s jej aktualizáciou, kde sú uvedené odlišnosti oproti všeobecnému procesnému predpisu (napr. lehoty na vydanie rozhodnutia).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K § 28</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Definuje prechodné ustanovenia k právnej úprave účinnej od 1. augusta 2015, ktoré majú napomôcť prevádzkovateľom a orgánom štátnej správy pri prechode na nové podmienky a povinnosti vyplývajúce z transpozície smernice. Niektoré ustanovenia vyplývajú priamo zo smernice.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K § 29</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Ustanovenie odkazuje na transpozičnú prílohu, v ktorej je uvedený úplný názov smernice, ktorej ustanovenia zákon preberá do slovenského právneho poriadku.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K § 30</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Zrušovacie ustanovenia.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 xml:space="preserve">Čl. II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w:t>
      </w:r>
      <w:r>
        <w:rPr>
          <w:rStyle w:val="PlaceholderText"/>
          <w:color w:val="000000"/>
          <w:sz w:val="22"/>
          <w:lang w:val="en-US"/>
        </w:rPr>
        <w:t>Novela živnostenského zákona súvisiaca s potrebou úpravy odkazov na zákon</w:t>
      </w:r>
      <w:r>
        <w:rPr>
          <w:rStyle w:val="PlaceholderText"/>
          <w:color w:val="000000"/>
          <w:lang w:val="en-US"/>
        </w:rPr>
        <w:t xml:space="preserve"> o prevencii závažných priemyselných havárií a ustanovením prechodného ustanovenia týkajúceho sa živnostenského oprávnenia na vykonávanie činnosti havarijného technika. V prílohe č. 2 v skupine 214 – ostatné sa vypúšťajú body 73-75.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Čl. III</w:t>
      </w:r>
      <w:r>
        <w:rPr>
          <w:rStyle w:val="PlaceholderText"/>
          <w:color w:val="000000"/>
          <w:lang w:val="en-US"/>
        </w:rPr>
        <w:t xml:space="preserve">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Správne poplatky – zmena správnych poplatkov.</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Čl. IV</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 xml:space="preserve">            </w:t>
      </w:r>
      <w:r>
        <w:rPr>
          <w:rStyle w:val="PlaceholderText"/>
          <w:color w:val="000000"/>
          <w:lang w:val="en-US"/>
        </w:rPr>
        <w:t>Novela zákona č. 42/1994 Z. z. o civilnej ochrane obyvateľstva v znení neskorších predpisov súvisiaca s transpozíciou smernice a potrebou zosúladenia jej požiadaviek s platnou právnou úpravou, predovšetkým v oblasti plánu ochrany obyvateľstva.</w:t>
      </w:r>
    </w:p>
    <w:p w:rsidR="00C56F59">
      <w:pPr>
        <w:widowControl/>
        <w:bidi w:val="0"/>
        <w:spacing w:after="280" w:afterAutospacing="1"/>
        <w:jc w:val="both"/>
        <w:rPr>
          <w:rStyle w:val="PlaceholderText"/>
          <w:color w:val="000000"/>
          <w:lang w:val="en-US"/>
        </w:rPr>
      </w:pPr>
      <w:r>
        <w:rPr>
          <w:rStyle w:val="PlaceholderText"/>
          <w:color w:val="000000"/>
          <w:lang w:val="en-US"/>
        </w:rPr>
        <w:t> </w:t>
      </w:r>
      <w:r>
        <w:rPr>
          <w:rStyle w:val="PlaceholderText"/>
          <w:b/>
          <w:color w:val="000000"/>
          <w:lang w:val="en-US"/>
        </w:rPr>
        <w:t>K bodu 1:</w:t>
      </w:r>
    </w:p>
    <w:p w:rsidR="00C56F59">
      <w:pPr>
        <w:widowControl/>
        <w:bidi w:val="0"/>
        <w:spacing w:after="280" w:afterAutospacing="1" w:line="276" w:lineRule="auto"/>
        <w:ind w:firstLine="709"/>
        <w:jc w:val="both"/>
        <w:rPr>
          <w:rStyle w:val="PlaceholderText"/>
          <w:color w:val="000000"/>
          <w:lang w:val="en-US"/>
        </w:rPr>
      </w:pPr>
      <w:r>
        <w:rPr>
          <w:rStyle w:val="PlaceholderText"/>
          <w:color w:val="000000"/>
          <w:lang w:val="en-US"/>
        </w:rPr>
        <w:t>Ustanovuje sa obsah a štruktúra plánu ochrany obyvateľstva, ktorý sa vypracúva na jednotlivých úrovniach riadenia štátnej správy a územnej samosprávy. Navrhovaná podrobnejšia úprava tohto základného plánovacieho dokumentu na úseku civilnej ochrany obyvateľstva vychádza z plnenia úloh a opatrení príslušnými subjektmi na tomto úseku štátnej správy. Ide najmä o vyrozumenie osôb a varovanie obyvateľstva, ukrytie, evakuáciu, protiradiačné, protichemické a protibiologické opatrenia, to znamená, že plán ochrany obyvateľstva sa prierezovo vzťahuje na všetky druhy mimoriadnych udalostí.</w:t>
      </w:r>
    </w:p>
    <w:p w:rsidR="00C56F59">
      <w:pPr>
        <w:widowControl/>
        <w:bidi w:val="0"/>
        <w:spacing w:after="280" w:afterAutospacing="1"/>
        <w:jc w:val="both"/>
        <w:rPr>
          <w:rStyle w:val="PlaceholderText"/>
          <w:color w:val="000000"/>
          <w:lang w:val="en-US"/>
        </w:rPr>
      </w:pP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b/>
          <w:color w:val="000000"/>
          <w:lang w:val="en-US"/>
        </w:rPr>
        <w:t>K bodom 2 až 4:</w:t>
      </w:r>
    </w:p>
    <w:p w:rsidR="00C56F59">
      <w:pPr>
        <w:widowControl/>
        <w:bidi w:val="0"/>
        <w:spacing w:after="280" w:afterAutospacing="1" w:line="276" w:lineRule="auto"/>
        <w:ind w:firstLine="709"/>
        <w:jc w:val="both"/>
        <w:rPr>
          <w:rStyle w:val="PlaceholderText"/>
          <w:color w:val="000000"/>
          <w:lang w:val="en-US"/>
        </w:rPr>
      </w:pPr>
      <w:r>
        <w:rPr>
          <w:rStyle w:val="PlaceholderText"/>
          <w:color w:val="000000"/>
          <w:lang w:val="en-US"/>
        </w:rPr>
        <w:t>Tieto novelizačné body sa týkajú pôsobnosti Ministerstva vnútra Slovenskej republiky, ktoré zodpovedajú jeho postaveniu ako ústredného orgánu štátnej správy na úseku civilnej ochrany obyvateľstva. Predovšetkým ide o vypracovanie plánu ochrany obyvateľstva na republikovej úrovni, podľa ktorého sa budú plniť úlohy a opatrenia v prípade vzniku mimoriadnej udalosti s účinkami presahujúcimi územný obvod kraja.</w:t>
      </w:r>
    </w:p>
    <w:p w:rsidR="00C56F59">
      <w:pPr>
        <w:widowControl/>
        <w:bidi w:val="0"/>
        <w:spacing w:after="280" w:afterAutospacing="1" w:line="276" w:lineRule="auto"/>
        <w:ind w:firstLine="709"/>
        <w:jc w:val="both"/>
        <w:rPr>
          <w:rStyle w:val="PlaceholderText"/>
          <w:color w:val="000000"/>
          <w:lang w:val="en-US"/>
        </w:rPr>
      </w:pPr>
      <w:r>
        <w:rPr>
          <w:rStyle w:val="PlaceholderText"/>
          <w:color w:val="000000"/>
          <w:lang w:val="en-US"/>
        </w:rPr>
        <w:t>Ďalej sa dopĺňa informačná povinnosť voči iným štátom pri vzniku mimoriadnej udalosti, ktorej účinky presahujú územie Slovenskej republiky.</w:t>
      </w:r>
    </w:p>
    <w:p w:rsidR="00C56F59">
      <w:pPr>
        <w:widowControl/>
        <w:bidi w:val="0"/>
        <w:spacing w:after="280" w:afterAutospacing="1" w:line="276" w:lineRule="auto"/>
        <w:ind w:firstLine="709"/>
        <w:jc w:val="both"/>
        <w:rPr>
          <w:rStyle w:val="PlaceholderText"/>
          <w:color w:val="000000"/>
          <w:lang w:val="en-US"/>
        </w:rPr>
      </w:pPr>
      <w:r>
        <w:rPr>
          <w:rStyle w:val="PlaceholderText"/>
          <w:color w:val="000000"/>
          <w:lang w:val="en-US"/>
        </w:rPr>
        <w:t>Taktiež sa spresňuje ustanovenie o spolupráci v oblasti civilnej ochrany na medzinárodnej úrovni, a to prioritne s orgánmi Európskej únie a jej členskými štátmi.</w:t>
      </w:r>
    </w:p>
    <w:p w:rsidR="00C56F59">
      <w:pPr>
        <w:widowControl/>
        <w:bidi w:val="0"/>
        <w:spacing w:after="280" w:afterAutospacing="1"/>
        <w:jc w:val="both"/>
        <w:rPr>
          <w:rStyle w:val="PlaceholderText"/>
          <w:color w:val="000000"/>
          <w:lang w:val="en-US"/>
        </w:rPr>
      </w:pPr>
      <w:r>
        <w:rPr>
          <w:rStyle w:val="PlaceholderText"/>
          <w:color w:val="000000"/>
          <w:lang w:val="en-US"/>
        </w:rPr>
        <w:t> </w:t>
      </w:r>
      <w:r>
        <w:rPr>
          <w:rStyle w:val="PlaceholderText"/>
          <w:b/>
          <w:color w:val="000000"/>
          <w:lang w:val="en-US"/>
        </w:rPr>
        <w:t>K bodu 5:</w:t>
      </w:r>
    </w:p>
    <w:p w:rsidR="00C56F59">
      <w:pPr>
        <w:widowControl/>
        <w:bidi w:val="0"/>
        <w:spacing w:after="280" w:afterAutospacing="1" w:line="276" w:lineRule="auto"/>
        <w:ind w:firstLine="709"/>
        <w:jc w:val="both"/>
        <w:rPr>
          <w:rStyle w:val="PlaceholderText"/>
          <w:color w:val="000000"/>
          <w:lang w:val="en-US"/>
        </w:rPr>
      </w:pPr>
      <w:r>
        <w:rPr>
          <w:rStyle w:val="PlaceholderText"/>
          <w:color w:val="000000"/>
          <w:lang w:val="en-US"/>
        </w:rPr>
        <w:t>V nadväznosti na navrhované znenie bodu 2 sa precizuje pôsobnosť okresného úradu v sídle kraja pri vypracúvaní a aktualizácii plánu ochrany obyvateľstva. Zároveň z dôvodu overenia reálnosti plánu ochrany obyvateľstva sa ustanovuje povinnosť okresnému úradu v sídle kraja vykonať jeho precvičenie aspoň v trojročných intervaloch.</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w:t>
      </w:r>
      <w:r>
        <w:rPr>
          <w:rStyle w:val="PlaceholderText"/>
          <w:b/>
          <w:color w:val="000000"/>
          <w:lang w:val="en-US"/>
        </w:rPr>
        <w:t>K bodom 6 a 7</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V prípade ak sa plán pre niektoré prípady vypracúvať nebude, je potrebné to výslovne uviesť, spoločne s dôvodmi nevypracovania.</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Ak ide o prevádzku podliehajúcu zákonu o prevencii závažných priemyselných havárií, je potrebné o tejto skutočnosti zároveň informovať susedný štát.</w:t>
      </w:r>
    </w:p>
    <w:p w:rsidR="00C56F59">
      <w:pPr>
        <w:widowControl/>
        <w:bidi w:val="0"/>
        <w:spacing w:after="280" w:afterAutospacing="1"/>
        <w:jc w:val="both"/>
        <w:rPr>
          <w:rStyle w:val="PlaceholderText"/>
          <w:color w:val="000000"/>
          <w:lang w:val="en-US"/>
        </w:rPr>
      </w:pPr>
      <w:r>
        <w:rPr>
          <w:rStyle w:val="PlaceholderText"/>
          <w:b/>
          <w:color w:val="000000"/>
          <w:lang w:val="en-US"/>
        </w:rPr>
        <w:t>K bodom 8 a 9:</w:t>
      </w:r>
    </w:p>
    <w:p w:rsidR="00C56F59">
      <w:pPr>
        <w:widowControl/>
        <w:bidi w:val="0"/>
        <w:spacing w:after="280" w:afterAutospacing="1" w:line="276" w:lineRule="auto"/>
        <w:ind w:firstLine="709"/>
        <w:jc w:val="both"/>
        <w:rPr>
          <w:rStyle w:val="PlaceholderText"/>
          <w:color w:val="000000"/>
          <w:lang w:val="en-US"/>
        </w:rPr>
      </w:pPr>
      <w:r>
        <w:rPr>
          <w:rStyle w:val="PlaceholderText"/>
          <w:color w:val="000000"/>
          <w:lang w:val="en-US"/>
        </w:rPr>
        <w:t>Do pôsobnosti okresného úradu sa systematicky zaraďuje a zároveň spresňuje problematika týkajúca sa aktualizácie plánu ochrany obyvateľstva a ustanovenia lehoty na jeho precvičenie obdobne ako pri úprave plánu ochrany obyvateľstva okresného úradu v sídle kraja.</w:t>
      </w:r>
    </w:p>
    <w:p w:rsidR="00C56F59">
      <w:pPr>
        <w:widowControl/>
        <w:bidi w:val="0"/>
        <w:spacing w:after="280" w:afterAutospacing="1" w:line="276" w:lineRule="auto"/>
        <w:ind w:firstLine="709"/>
        <w:jc w:val="both"/>
        <w:rPr>
          <w:rStyle w:val="PlaceholderText"/>
          <w:color w:val="000000"/>
          <w:lang w:val="en-US"/>
        </w:rPr>
      </w:pPr>
      <w:r>
        <w:rPr>
          <w:rStyle w:val="PlaceholderText"/>
          <w:color w:val="000000"/>
          <w:lang w:val="en-US"/>
        </w:rPr>
        <w:t>V uvedenej súvislosti a z dôvodu zamedzenia duplicity sa vypúšťa doposiaľ platné ustanovenie upravujúce predmetnú problematiku.</w:t>
      </w:r>
    </w:p>
    <w:p w:rsidR="00C56F59">
      <w:pPr>
        <w:widowControl/>
        <w:bidi w:val="0"/>
        <w:spacing w:after="280" w:afterAutospacing="1"/>
        <w:jc w:val="both"/>
        <w:rPr>
          <w:rStyle w:val="PlaceholderText"/>
          <w:color w:val="000000"/>
          <w:lang w:val="en-US"/>
        </w:rPr>
      </w:pPr>
      <w:r>
        <w:rPr>
          <w:rStyle w:val="PlaceholderText"/>
          <w:color w:val="000000"/>
          <w:lang w:val="en-US"/>
        </w:rPr>
        <w:t> </w:t>
      </w:r>
      <w:r>
        <w:rPr>
          <w:rStyle w:val="PlaceholderText"/>
          <w:b/>
          <w:color w:val="000000"/>
          <w:lang w:val="en-US"/>
        </w:rPr>
        <w:t>K bodom 10 a 11:</w:t>
      </w:r>
    </w:p>
    <w:p w:rsidR="00C56F59">
      <w:pPr>
        <w:widowControl/>
        <w:bidi w:val="0"/>
        <w:spacing w:after="280" w:afterAutospacing="1" w:line="276" w:lineRule="auto"/>
        <w:ind w:firstLine="709"/>
        <w:jc w:val="both"/>
        <w:rPr>
          <w:rStyle w:val="PlaceholderText"/>
          <w:color w:val="000000"/>
          <w:lang w:val="en-US"/>
        </w:rPr>
      </w:pPr>
      <w:r>
        <w:rPr>
          <w:rStyle w:val="PlaceholderText"/>
          <w:color w:val="000000"/>
          <w:lang w:val="en-US"/>
        </w:rPr>
        <w:t>V nadväznosti na zákon č. 180/2013 Z. z. o organizácii miestnej štátnej správy a o zmene a doplnení niektorých zákonov sa formou priamej novely vyjadruje, že miestnymi orgánmi štátnej správy na úseku civilnej ochrany obyvateľstva sú okresné úrady v sídlach krajov a okresné úrady.</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w:t>
      </w:r>
      <w:r>
        <w:rPr>
          <w:rStyle w:val="PlaceholderText"/>
          <w:b/>
          <w:color w:val="000000"/>
          <w:lang w:val="en-US"/>
        </w:rPr>
        <w:t>Čl. V</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Novela zákona č. 24/2006 Z. z. o posudzovaní vplyvov na životné prostredie a o zmene a doplnení niektorých zákonov v znení neskorších predpisov súvisiaca s transpozíciou smernice v oblasti územného plánovania a účasti verejnosti na rozhodovaní. Členské štáty by mali pri uplatňovaní požiadaviek týkajúcich sa územného plánovania  zabezpečovať spoločné postupy, aby sa zabránilo duplicite posudzovania. Navrhovanou zmenou sa zabezpečí, aby všetky činnosti podliehajúce režimu zákona o prevencii závažných priemyselných havárií boli predmetom posudzovania vplyvov na životné prostredie z dôvodu zohľadnenia cieľov prevencie závažných priemyselných havárií.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Čl. VI</w:t>
      </w:r>
      <w:r>
        <w:rPr>
          <w:rStyle w:val="PlaceholderText"/>
          <w:color w:val="000000"/>
          <w:lang w:val="en-US"/>
        </w:rPr>
        <w:t xml:space="preserve">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            Novela zákona č. 124/2006 Z. z. o bezpečnosti a ochrane zdravia pri práci a o zmene a doplnení niektorých zákonov v znení neskorších predpisov súvisiaca so zosúladením právnych predpisov. Aplikačná prax poukázala na nesprávne používanie pojmu „bezprostredná hrozba závažnej priemyselnej havárie“, ktorý bol zavedený v doterajšej platnej právnej úprave.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Čl. VII</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 xml:space="preserve">            </w:t>
      </w:r>
      <w:r>
        <w:rPr>
          <w:rStyle w:val="PlaceholderText"/>
          <w:color w:val="000000"/>
          <w:lang w:val="en-US"/>
        </w:rPr>
        <w:t xml:space="preserve">Novela zákona č. 125/2006 Z. z. o inšpekcii práce a o zmene a doplnení zákona </w:t>
        <w:br/>
        <w:t>č. 82/2005 Z. z. o nelegálnej práci a nelegálnom zamestnávaní  a o zmene a doplnení niektorých zákonov v znení neskorších predpisov súvisiaca so zosúladením právnych predpisov. Aplikačná prax poukázala na nesprávne používanie pojmu „bezprostredná hrozba závažnej priemyselnej havárie“, ktorý bol zavedený v doterajšej platnej právnej úprave.</w:t>
      </w:r>
      <w:r>
        <w:rPr>
          <w:rStyle w:val="PlaceholderText"/>
          <w:b/>
          <w:color w:val="000000"/>
          <w:lang w:val="en-US"/>
        </w:rPr>
        <w:t xml:space="preserve">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 </w:t>
      </w: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 xml:space="preserve">Čl. VIII </w:t>
      </w:r>
    </w:p>
    <w:p w:rsidR="00C56F59">
      <w:pPr>
        <w:widowControl/>
        <w:bidi w:val="0"/>
        <w:spacing w:after="280" w:afterAutospacing="1" w:line="276" w:lineRule="auto"/>
        <w:ind w:firstLine="720"/>
        <w:jc w:val="both"/>
        <w:rPr>
          <w:rStyle w:val="PlaceholderText"/>
          <w:color w:val="000000"/>
          <w:lang w:val="en-US"/>
        </w:rPr>
      </w:pPr>
      <w:r>
        <w:rPr>
          <w:rStyle w:val="PlaceholderText"/>
          <w:color w:val="000000"/>
          <w:lang w:val="en-US"/>
        </w:rPr>
        <w:t>Navrhovaný dátum účinnosti zákona.</w:t>
      </w:r>
    </w:p>
    <w:p w:rsidR="00C56F59">
      <w:pPr>
        <w:widowControl/>
        <w:bidi w:val="0"/>
        <w:rPr>
          <w:rStyle w:val="PlaceholderText"/>
          <w:color w:val="000000"/>
          <w:lang w:val="en-US"/>
        </w:rPr>
      </w:pPr>
    </w:p>
    <w:p w:rsidR="00C56F59">
      <w:pPr>
        <w:widowControl/>
        <w:bidi w:val="0"/>
        <w:spacing w:after="280" w:afterAutospacing="1" w:line="276" w:lineRule="auto"/>
        <w:jc w:val="both"/>
        <w:rPr>
          <w:rStyle w:val="PlaceholderText"/>
          <w:color w:val="000000"/>
          <w:lang w:val="en-US"/>
        </w:rPr>
      </w:pPr>
      <w:r>
        <w:rPr>
          <w:rStyle w:val="PlaceholderText"/>
          <w:b/>
          <w:color w:val="000000"/>
          <w:lang w:val="en-US"/>
        </w:rPr>
        <w:t>K prílohám</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Príloha č.1</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Nebezpečné látky - uvedená príloha je s nepatrnými jazykovými úpravami plne prebratá zo smernice.</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Príloha č. 2</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Informácie pre verejnosť podľa § 14 odsek 1 a 2 - uvedená príloha je s nepatrnými jazykovými úpravami prebratá zo smernice.</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Príloha č.3</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Kritériá na oznamovanie závažnej priemyselnej havárie Európskej komisii podľa  § 16 ods. 6 -  uvedená príloha je s nepatrnými jazykovými úpravami prebratá zo smernice.</w:t>
      </w:r>
    </w:p>
    <w:p w:rsidR="00C56F59">
      <w:pPr>
        <w:widowControl/>
        <w:bidi w:val="0"/>
        <w:spacing w:after="280" w:afterAutospacing="1" w:line="276" w:lineRule="auto"/>
        <w:ind w:left="1418" w:hanging="1418"/>
        <w:jc w:val="both"/>
        <w:rPr>
          <w:rStyle w:val="PlaceholderText"/>
          <w:color w:val="000000"/>
          <w:lang w:val="en-US"/>
        </w:rPr>
      </w:pPr>
      <w:r>
        <w:rPr>
          <w:rStyle w:val="PlaceholderText"/>
          <w:color w:val="000000"/>
          <w:lang w:val="en-US"/>
        </w:rPr>
        <w:t>Príloha č.4</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Informácie zasielané Európskej komisii na posúdenie možnosti vylúčenia nebezpečnej látky z prílohy č. 1 –  uvedenou prílohou sa transponuje čl. 4 smernice.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Príloha č. 5</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 xml:space="preserve">Vzor pečiatky špecialistu na prevenciu závažných priemyselných havárií. </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Príloha č. 6</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Zoznam preberaných právne záväzných aktov Európskej únie.</w:t>
      </w:r>
    </w:p>
    <w:p w:rsidR="00C56F59">
      <w:pPr>
        <w:widowControl/>
        <w:bidi w:val="0"/>
        <w:spacing w:after="280" w:afterAutospacing="1" w:line="276" w:lineRule="auto"/>
        <w:jc w:val="both"/>
        <w:rPr>
          <w:rStyle w:val="PlaceholderText"/>
          <w:color w:val="000000"/>
          <w:lang w:val="en-US"/>
        </w:rPr>
      </w:pPr>
      <w:r>
        <w:rPr>
          <w:rStyle w:val="PlaceholderText"/>
          <w:color w:val="000000"/>
          <w:lang w:val="en-US"/>
        </w:rPr>
        <w:t>V Bratislave 18. februára 2015</w:t>
      </w:r>
    </w:p>
    <w:p w:rsidR="00C56F59">
      <w:pPr>
        <w:widowControl/>
        <w:bidi w:val="0"/>
        <w:spacing w:line="276" w:lineRule="auto"/>
        <w:jc w:val="both"/>
        <w:rPr>
          <w:rStyle w:val="PlaceholderText"/>
          <w:color w:val="000000"/>
          <w:lang w:val="en-US"/>
        </w:rPr>
      </w:pPr>
    </w:p>
    <w:p w:rsidR="00C56F59">
      <w:pPr>
        <w:widowControl/>
        <w:bidi w:val="0"/>
        <w:spacing w:line="276" w:lineRule="auto"/>
        <w:jc w:val="both"/>
        <w:rPr>
          <w:rStyle w:val="PlaceholderText"/>
          <w:color w:val="000000"/>
          <w:lang w:val="en-US"/>
        </w:rPr>
      </w:pPr>
    </w:p>
    <w:p w:rsidR="00C56F59">
      <w:pPr>
        <w:widowControl/>
        <w:bidi w:val="0"/>
        <w:jc w:val="center"/>
        <w:rPr>
          <w:rStyle w:val="PlaceholderText"/>
          <w:color w:val="000000"/>
          <w:lang w:val="en-US"/>
        </w:rPr>
      </w:pPr>
    </w:p>
    <w:p w:rsidR="00C56F59">
      <w:pPr>
        <w:widowControl/>
        <w:bidi w:val="0"/>
        <w:jc w:val="center"/>
        <w:rPr>
          <w:rStyle w:val="PlaceholderText"/>
          <w:color w:val="000000"/>
          <w:lang w:val="en-US"/>
        </w:rPr>
      </w:pPr>
    </w:p>
    <w:p w:rsidR="00C56F59">
      <w:pPr>
        <w:widowControl/>
        <w:bidi w:val="0"/>
        <w:jc w:val="center"/>
        <w:rPr>
          <w:rStyle w:val="PlaceholderText"/>
          <w:color w:val="000000"/>
          <w:lang w:val="en-US"/>
        </w:rPr>
      </w:pPr>
    </w:p>
    <w:p w:rsidR="00C56F59">
      <w:pPr>
        <w:widowControl/>
        <w:bidi w:val="0"/>
        <w:spacing w:after="280" w:afterAutospacing="1"/>
        <w:jc w:val="center"/>
        <w:rPr>
          <w:rStyle w:val="PlaceholderText"/>
          <w:color w:val="000000"/>
          <w:lang w:val="en-US"/>
        </w:rPr>
      </w:pPr>
      <w:r>
        <w:rPr>
          <w:rStyle w:val="PlaceholderText"/>
          <w:color w:val="000000"/>
          <w:lang w:val="en-US"/>
        </w:rPr>
        <w:t>Robert Fico, v. r.</w:t>
      </w:r>
    </w:p>
    <w:p w:rsidR="00C56F59">
      <w:pPr>
        <w:widowControl/>
        <w:bidi w:val="0"/>
        <w:spacing w:after="280" w:afterAutospacing="1"/>
        <w:jc w:val="center"/>
        <w:rPr>
          <w:rStyle w:val="PlaceholderText"/>
          <w:color w:val="000000"/>
          <w:lang w:val="en-US"/>
        </w:rPr>
      </w:pPr>
      <w:r>
        <w:rPr>
          <w:rStyle w:val="PlaceholderText"/>
          <w:color w:val="000000"/>
          <w:lang w:val="en-US"/>
        </w:rPr>
        <w:t>predseda vlády</w:t>
      </w:r>
    </w:p>
    <w:p w:rsidR="00C56F59">
      <w:pPr>
        <w:widowControl/>
        <w:bidi w:val="0"/>
        <w:spacing w:after="280" w:afterAutospacing="1"/>
        <w:jc w:val="center"/>
        <w:rPr>
          <w:rStyle w:val="PlaceholderText"/>
          <w:color w:val="000000"/>
          <w:lang w:val="en-US"/>
        </w:rPr>
      </w:pPr>
      <w:r>
        <w:rPr>
          <w:rStyle w:val="PlaceholderText"/>
          <w:color w:val="000000"/>
          <w:lang w:val="en-US"/>
        </w:rPr>
        <w:t>Slovenskej republiky</w:t>
      </w:r>
    </w:p>
    <w:p w:rsidR="00C56F59">
      <w:pPr>
        <w:widowControl/>
        <w:bidi w:val="0"/>
        <w:spacing w:after="280" w:afterAutospacing="1"/>
        <w:jc w:val="center"/>
        <w:rPr>
          <w:rStyle w:val="PlaceholderText"/>
          <w:color w:val="000000"/>
          <w:lang w:val="en-US"/>
        </w:rPr>
      </w:pPr>
      <w:r>
        <w:rPr>
          <w:rStyle w:val="PlaceholderText"/>
          <w:color w:val="000000"/>
          <w:lang w:val="en-US"/>
        </w:rPr>
        <w:t> </w:t>
      </w:r>
    </w:p>
    <w:p w:rsidR="00C56F59">
      <w:pPr>
        <w:widowControl/>
        <w:bidi w:val="0"/>
        <w:spacing w:after="280" w:afterAutospacing="1"/>
        <w:jc w:val="center"/>
        <w:rPr>
          <w:rStyle w:val="PlaceholderText"/>
          <w:color w:val="000000"/>
          <w:lang w:val="en-US"/>
        </w:rPr>
      </w:pPr>
      <w:r>
        <w:rPr>
          <w:rStyle w:val="PlaceholderText"/>
          <w:color w:val="000000"/>
          <w:lang w:val="en-US"/>
        </w:rPr>
        <w:t> </w:t>
      </w:r>
    </w:p>
    <w:p w:rsidR="00C56F59">
      <w:pPr>
        <w:widowControl/>
        <w:bidi w:val="0"/>
        <w:spacing w:after="280" w:afterAutospacing="1"/>
        <w:rPr>
          <w:rStyle w:val="PlaceholderText"/>
          <w:color w:val="000000"/>
          <w:lang w:val="en-US"/>
        </w:rPr>
      </w:pPr>
      <w:r>
        <w:rPr>
          <w:rStyle w:val="PlaceholderText"/>
          <w:color w:val="000000"/>
          <w:lang w:val="en-US"/>
        </w:rPr>
        <w:br/>
        <w:t> </w:t>
      </w:r>
    </w:p>
    <w:p w:rsidR="00C56F59">
      <w:pPr>
        <w:widowControl/>
        <w:bidi w:val="0"/>
        <w:spacing w:after="280" w:afterAutospacing="1"/>
        <w:jc w:val="center"/>
        <w:rPr>
          <w:rStyle w:val="PlaceholderText"/>
          <w:color w:val="000000"/>
          <w:lang w:val="en-US"/>
        </w:rPr>
      </w:pPr>
      <w:r>
        <w:rPr>
          <w:rStyle w:val="PlaceholderText"/>
          <w:color w:val="000000"/>
          <w:lang w:val="en-US"/>
        </w:rPr>
        <w:t> </w:t>
      </w:r>
    </w:p>
    <w:p w:rsidR="00C56F59">
      <w:pPr>
        <w:widowControl/>
        <w:bidi w:val="0"/>
        <w:spacing w:after="280" w:afterAutospacing="1"/>
        <w:jc w:val="center"/>
        <w:rPr>
          <w:rStyle w:val="PlaceholderText"/>
          <w:color w:val="000000"/>
          <w:lang w:val="en-US"/>
        </w:rPr>
      </w:pPr>
      <w:r>
        <w:rPr>
          <w:rStyle w:val="PlaceholderText"/>
          <w:color w:val="000000"/>
          <w:lang w:val="en-US"/>
        </w:rPr>
        <w:t xml:space="preserve">Peter Žiga, v. r. </w:t>
      </w:r>
    </w:p>
    <w:p w:rsidR="00C56F59">
      <w:pPr>
        <w:widowControl/>
        <w:bidi w:val="0"/>
        <w:spacing w:after="280" w:afterAutospacing="1"/>
        <w:jc w:val="center"/>
        <w:rPr>
          <w:rStyle w:val="PlaceholderText"/>
          <w:color w:val="000000"/>
          <w:lang w:val="en-US"/>
        </w:rPr>
      </w:pPr>
      <w:r>
        <w:rPr>
          <w:rStyle w:val="PlaceholderText"/>
          <w:color w:val="000000"/>
          <w:lang w:val="en-US"/>
        </w:rPr>
        <w:t>minister životného prostredia</w:t>
      </w:r>
    </w:p>
    <w:p w:rsidR="00C56F59">
      <w:pPr>
        <w:widowControl/>
        <w:bidi w:val="0"/>
        <w:spacing w:after="280" w:afterAutospacing="1"/>
        <w:jc w:val="center"/>
        <w:rPr>
          <w:rStyle w:val="PlaceholderText"/>
          <w:color w:val="000000"/>
          <w:lang w:val="en-US"/>
        </w:rPr>
      </w:pPr>
      <w:r>
        <w:rPr>
          <w:rStyle w:val="PlaceholderText"/>
          <w:color w:val="000000"/>
          <w:lang w:val="en-US"/>
        </w:rPr>
        <w:t>Slovenskej republiky</w:t>
      </w:r>
    </w:p>
    <w:p w:rsidR="00C56F59">
      <w:pPr>
        <w:widowControl/>
        <w:bidi w:val="0"/>
        <w:spacing w:after="280" w:afterAutospacing="1"/>
        <w:rPr>
          <w:rStyle w:val="PlaceholderText"/>
          <w:color w:val="000000"/>
          <w:lang w:val="en-US"/>
        </w:rPr>
      </w:pPr>
      <w:r>
        <w:rPr>
          <w:rStyle w:val="PlaceholderText"/>
          <w:color w:val="000000"/>
          <w:lang w:val="en-US"/>
        </w:rPr>
        <w:t> </w:t>
      </w:r>
    </w:p>
    <w:p w:rsidR="00C56F59">
      <w:pPr>
        <w:widowControl/>
        <w:bidi w:val="0"/>
        <w:spacing w:after="280" w:afterAutospacing="1"/>
        <w:rPr>
          <w:rStyle w:val="PlaceholderText"/>
          <w:color w:val="000000"/>
          <w:lang w:val="en-US"/>
        </w:rPr>
      </w:pPr>
      <w:r>
        <w:rPr>
          <w:rStyle w:val="PlaceholderText"/>
          <w:color w:val="000000"/>
          <w:lang w:val="en-US"/>
        </w:rPr>
        <w:t> </w:t>
      </w:r>
    </w:p>
    <w:p w:rsidR="00C56F59">
      <w:pPr>
        <w:widowControl/>
        <w:bidi w:val="0"/>
        <w:spacing w:after="280" w:afterAutospacing="1"/>
        <w:rPr>
          <w:rStyle w:val="PlaceholderText"/>
          <w:color w:val="000000"/>
          <w:lang w:val="en-US"/>
        </w:rPr>
      </w:pPr>
      <w:r>
        <w:rPr>
          <w:rStyle w:val="PlaceholderText"/>
          <w:color w:val="000000"/>
          <w:lang w:val="en-US"/>
        </w:rPr>
        <w:t> </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Times New Roman"/>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mp;quot">
    <w:altName w:val="Times New Roman"/>
    <w:panose1 w:val="00000000000000000000"/>
    <w:charset w:val="00"/>
    <w:family w:val="auto"/>
    <w:pitch w:val="variable"/>
    <w:sig w:usb0="00000000" w:usb1="00000000" w:usb2="00000000" w:usb3="00000000" w:csb0="00000001" w:csb1="00000000"/>
  </w:font>
  <w:font w:name="&amp;amp">
    <w:altName w:val="Times New Roman"/>
    <w:panose1 w:val="00000000000000000000"/>
    <w:charset w:val="00"/>
    <w:family w:val="auto"/>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7326DA"/>
    <w:rsid w:val="004B5AFB"/>
    <w:rsid w:val="007326DA"/>
    <w:rsid w:val="007C2ABB"/>
    <w:rsid w:val="00856250"/>
    <w:rsid w:val="00C56F59"/>
    <w:rsid w:val="00F1200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 w:type="paragraph" w:customStyle="1" w:styleId="TableMsoNormalTable">
    <w:name w:val="Table_MsoNormalTable"/>
    <w:basedOn w:val="Normal"/>
    <w:pPr>
      <w:spacing w:line="257" w:lineRule="auto"/>
      <w:jc w:val="left"/>
    </w:pPr>
    <w:rPr>
      <w:rFonts w:ascii="Calibri" w:hAnsi="Calibri" w:cs="Calibri"/>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4</TotalTime>
  <Pages>15</Pages>
  <Words>4434</Words>
  <Characters>25276</Characters>
  <Application>Microsoft Office Word</Application>
  <DocSecurity>0</DocSecurity>
  <Lines>0</Lines>
  <Paragraphs>0</Paragraphs>
  <ScaleCrop>false</ScaleCrop>
  <Company>Abyss</Company>
  <LinksUpToDate>false</LinksUpToDate>
  <CharactersWithSpaces>29651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Katrlík Radovan</cp:lastModifiedBy>
  <cp:revision>3</cp:revision>
  <cp:lastPrinted>2015-02-19T08:24:00Z</cp:lastPrinted>
  <dcterms:created xsi:type="dcterms:W3CDTF">2015-02-18T16:35:00Z</dcterms:created>
  <dcterms:modified xsi:type="dcterms:W3CDTF">2015-02-19T08:28:00Z</dcterms:modified>
</cp:coreProperties>
</file>