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0737" w:rsidRPr="00940737" w:rsidP="00940737">
      <w:pPr>
        <w:widowControl w:val="0"/>
        <w:autoSpaceDE w:val="0"/>
        <w:autoSpaceDN w:val="0"/>
        <w:bidi w:val="0"/>
        <w:adjustRightInd w:val="0"/>
        <w:ind w:right="-6"/>
        <w:jc w:val="center"/>
        <w:rPr>
          <w:rFonts w:ascii="TimesNewRomanPSMT" w:hAnsi="TimesNewRomanPSMT" w:cs="TimesNewRomanPSMT"/>
          <w:b/>
          <w:bCs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Dôvodová  správa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 xml:space="preserve">A. Všeobecná </w:t>
      </w:r>
      <w:r w:rsidRPr="00940737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as</w:t>
      </w:r>
      <w:r w:rsidRPr="00940737">
        <w:rPr>
          <w:rFonts w:ascii="TimesNewRomanPSMT" w:hAnsi="TimesNewRomanPSMT" w:cs="TimesNewRomanPSMT"/>
          <w:b/>
          <w:bCs/>
          <w:sz w:val="24"/>
          <w:szCs w:val="24"/>
          <w:lang w:eastAsia="sk-SK"/>
        </w:rPr>
        <w:t>ť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ab/>
        <w:t>Národná koncepcia informatizácie verejnej správy ako strategický dokument obsahuje princípy budovania e-Governmentu a zavádzania elektronických služieb na Slovensku. Vychádza zo Stratégie informatizácie verejnej správy. Stanovuje princípy, priority a architektúru integrovaných informa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ných systémov verejnej správy s cie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om zabezpe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i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bezproblémovú interoperabilitu a nezávislos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na technologických platformách. Jedným z 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ažiskových kame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ov tejto reformy je aj vytvorenie základných registrov pre údaje, s ktorými prichádzajú do styku orgány verejnej moci pri výkone svojej pôsobnosti. Tieto registre majú v nich obsiahnuté údaje sprístup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ova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pre spomínané orgány verejnej moci a pre fyzické osoby a právnické osoby za podmienok v nich ustanovených. Register adries je jedným zo spomínaných základných registrov.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12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Hlavným cie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om návrhu zákona je vytvori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legislatívny rámec pre zriadenie registra adries ako informa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ného systému verejnej správy, evidujúceho adresy a adresné body bytových a nebytových budov, ako referen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ných údajov, teda údajov o ktorých vierohodnosti nemožno pochybova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, pretože vznikajú zo základných evidencií orgánov, ktoré ich budú poskytova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registru adries.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ab/>
        <w:t>Prijatie návrhu zákona je jednou z podmienok, aby mohol vzniknú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referenčný register, popisujúci umiestnenie vstupov bytových a nebytových budov, a to tak slovným ozna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ením, ako aj vizualizáciou na mapovom podklade.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ab/>
        <w:t>Navrhovaná zákonná úprava zria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uje register adries a definuje pojem „adresa“ tak, aby pri aplikácii tohto zákona mali orgány verejnej správy preh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ad o budovách, ich umiestnení, vstupoch do nich pri vykonávaní svojich právomocí a úloh pod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a osobitných zákonov. Úprava má aj významný vplyv na 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innos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zložiek záchranného systému pri záchrane životov, pri ochrane majetku napr. v súvislosti s požiarmi 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i inými udalos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ami vyvolanými pôsobením prírodných živlov.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ab/>
        <w:t>Navrhuje sa zavedenie nového inštitútu, ktorým je adresný bod, ako geopriestorový údaj, ozna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ujúci polohu vstupu do bytovej a nebytovej budovy v priestore. Návrh tiež obsahuje úpravu mechanizmu poskytovania údajov z registra adries a úlohy štátnych orgánov a územnej samosprávy pri zhromaž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ovaní údajov o adresách a v prechodných ustanoveniach upravuje mechanizmus a 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asové lehoty, v ktorých bude potrebné do registra vloži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údaje. Toto bude základom stavby registra, pri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om od ú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innosti zákona budú orgány verejnej správy, právnické osoby a fyzické osoby povinné oznamova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 údaje, ktoré patria do registra v súvislosti s novými stavbami alebo ich prestavbou.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ab/>
        <w:t>Prijatie navrhovanej úpravy však vyvolá potrebu zmeny a doplnenia viacerých zákonov, ktoré majú vz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ah k registru adries.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ab/>
        <w:t xml:space="preserve">V osobitných 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lánkoch sa preto navrhujú zmeny v súvisiacich zákonoch, ktorými sú</w:t>
      </w:r>
    </w:p>
    <w:p w:rsidR="00940737" w:rsidRPr="00940737" w:rsidP="00940737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zákon Slovenskej národnej rady 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. 369/1990 Zb. o obecnom zriadení v znení neskorších predpisov,</w:t>
      </w:r>
    </w:p>
    <w:p w:rsidR="00940737" w:rsidRPr="00940737" w:rsidP="00940737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sz w:val="24"/>
          <w:szCs w:val="24"/>
          <w:lang w:eastAsia="sk-SK"/>
        </w:rPr>
        <w:t>zákon č. 253/1998 Z. z. o hlásení pobytu občanov Slovenskej republiky a registri obyvateľov Slovenskej republiky v znení neskorších predpisov,</w:t>
      </w:r>
    </w:p>
    <w:p w:rsidR="00940737" w:rsidRPr="00940737" w:rsidP="00940737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 xml:space="preserve">zákon 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. 324/2011 Z. z. o poštových službách a o zmene a doplnení niektorých zákonov v znení neskorších predpisov.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sz w:val="24"/>
          <w:szCs w:val="24"/>
          <w:lang w:eastAsia="sk-SK"/>
        </w:rPr>
        <w:t>V nadväznosti na elektronizáciu verejnej správy sa novelizuje aj zákon č. 224/2006 Z. z. o občianskych preukazoch a o zmene a doplnení niektorých zákonov v znení neskorších predpisov, v ktorom sa umožňuje elektronicky požiadať o vydanie nového občianskeho preukazu pri skončení doby jeho platnosti, pri zmene trvalého pobytu, ako aj elektronicky oznámiť stratu alebo odcudzenie občianskeho preukazu.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Vplyv návrhu zákona na rozpo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et verejnej správy, na podnikate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ské prostredie, na sociálne prostredie, vplyv na životné prostredie a vplyv na informatizáciu spolo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nosti je uvedený v doložke vybraných vplyvov.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9"/>
        <w:jc w:val="both"/>
        <w:rPr>
          <w:rFonts w:ascii="TimesNewRomanPSMT" w:hAnsi="TimesNewRomanPSMT" w:cs="TimesNewRomanPSMT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sz w:val="24"/>
          <w:szCs w:val="24"/>
          <w:lang w:eastAsia="sk-SK"/>
        </w:rPr>
        <w:t>Návrh zákona je v súlade s Ústavou Slovenskej republiky, ústavnými zákonmi, zákonmi a ostatnými všeobecne záväznými právnymi predpismi, ako aj s medzinárodnými zmluvami a inými medzinárodnými dokumentmi, ktorými je Slovenská republika viazaná.</w:t>
      </w:r>
      <w:r w:rsidRPr="00940737">
        <w:rPr>
          <w:rFonts w:ascii="Times New Roman" w:hAnsi="Times New Roman" w:cs="Times New Roman"/>
          <w:sz w:val="24"/>
          <w:szCs w:val="24"/>
          <w:lang w:eastAsia="sk-SK"/>
        </w:rPr>
        <w:t xml:space="preserve"> ako aj v súlade s právom Európskej únie. </w:t>
      </w:r>
    </w:p>
    <w:p w:rsidR="00940737" w:rsidRPr="00940737" w:rsidP="0094073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940737" w:rsidRPr="00940737" w:rsidP="0094073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 xml:space="preserve">B. Osobitná 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as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ť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K 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l. I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 1: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Ustanovenie vymedzuje predmet úpravy návrhu zákona, a to tak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 zriadeniu registra adries, ako aj k povinnostiam orgánov verejnej moci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 tomuto registru.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 2: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Ide o jedno zo základných defini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ných ustanovení, ktoré definuje pojem „adresa“ na účely tohto zákona. Dôležitým východiskom je vnímanie adresy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 hlavnému vstupu do budovy alebo ak má budova viac vstupov s ur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eným 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ným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íslom,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ku každému takémuto vstupu. Z tohto východiska vyplýva viazanie momentu vzniku a zániku adresy odlišne pre prípady jedného vstupu s 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ným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íslom a viacerých takýchto vstupov. Jedna budova tak môže ma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viacero adries, pri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om rozdiely budú v takomto prípade v 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nom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ísle a adresnom bode.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Pojem „adresa“ pozostáva z údajov, ktoré vyplývajú z administratívno-správneho usporiadania Slovenskej republiky, z údajov viažucich sa na polohu budovy v obci a na jej ozna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enie súpisným a 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ným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íslom, ako aj z adresného bodu, ako priestorového údaja. Takáto definícia zodpovedá potrebe presného ur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enia polohy vstupu do budovy v priestore.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 3: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Novým inštitútom v právnom poriadku sú „adresný bod“ a „geografická os ulice“. Ide o priestorové údaje, vyjadrené v priestorových súradniciach geodetického referen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ného systému.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Vychádzajúc z vnímania adresy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 vstupu do budovy sa navrhuje, aby aj adresný bod ozna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oval v priestore práve polohu tohto vstupu, vo väzbe na príslušné 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né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Údaje adresného bodu budú získavané v rámci zamerania adresného bodu, ktoré zabezpe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uje stavebník, a to pred podaním žiadosti o ur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enie súpisného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ísla a 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ného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ísla. Predpokladá sa, že stavebník si objedná vyhotovenie adresného bodu sú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asne s vyhotovením geometrického plánu, ktorý je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stavebného zákona povinný pripoji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k návrhu na vydanie kolauda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ného rozhodnutia.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Údaje o geografickej osi ulice budú získavané od stavebníka v rámci prípravy všeobecne záväzného nariadenia obce o ur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ení názvu ulice.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 4: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strike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Predmetným ustanovením sa zria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uje register adries, ako informa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ný systém verejnej správy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a zákona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. 275/2006 Z. z. o informa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ných systémoch verejnej správy a o zmene a doplnení niektorých zákonov v znení neskorších predpisov, ktorého správcom je Ministerstvo vnútra Slovenskej republiky (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alej len „ministerstvo“). Vychádzajúc z údajov obsiahnutých v adrese bude aj register adries pozostáva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z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asti obsahujúcej slovné vymedzenie adresy a z grafickej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asti na mapovom podklade.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 5: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Okrem adresy a jej systémového identifikátora sa navrhuje, aby register adries obsahoval aj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alšie, doplnkové údaje, ktoré nie sú sú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ou adresy, ale slúžia na bližšiu identifikáciu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i už typu budovy, ku ktorej je adresa priradená, alebo obce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i vojenského obvodu, v ktorom sa nachádza. Tieto údaje slúžia najmä na rozlišovanie medzi bytovými a nebytovými budovami.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Grafická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registra adries bude obsahova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vyzna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enie jednotlivých adresných bodov na mapovom podklade, ako aj údaje o geografickej osi ulice. Ide o súbor údajov, ktoré majú slúži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na zobrazenie vstupu do budovy v priestore.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Ku každej adrese sa bude uvádza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aj doplnkový údaj o územnom poštovom smerovacom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ísle pre u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enie doru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ovania ve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kými inštitucionálnymi používate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mi registra.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 6 a 7: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Ustanovenia § 6 obsahujú úpravu povinností ministerstva, obcí a poskytovate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univerzálnej služby pri zápise, zmene, oprave a výmaze údajov z registra adries. Rozdelenie povinností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ahu k jednotlivým typom údajov je založené na tom, kde tento údaj vzniká, alebo pri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innosti ktorého orgánu sa o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om tento orgán dozvie ako prvý alebo ho svojou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ou vytvorí. Z tohto dôvodu sa ministerstvu ukladajú povinnosti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 údajom o územnosprávnom usporiadaní Slovenskej republiky a systémovému identifikátoru adresy a obciam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 údajom, o ktorých rozhoduje (orienta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né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íslo, súpisné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íslo, názov ulice alebo verejného priestranstva) alebo ktoré sa pri svojej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innosti dozvie (adresný bod v rámci kolauda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ného konania).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 doplnkovým údajom bližšie identifikujúcim budovu sa na tento 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el ukladajú povinnosti vlastníkom budov, spolo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enstvu vlastníkov bytov a nebytových priestorov, alebo správcovi, oznamova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niektoré z týchto údajov obci. 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elom je uloži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povinnosti zápisu, zmeny, opravy a výmazu tomu orgánu, ktorý je najlepšie schopný tieto skuto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nosti zisti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a vo validnej forme aj evidova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Vzh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adom na to, že adresný bod zapisuje do registra adries obec, ukladá sa obci povinnos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vyzna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ho zárove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aj v grafickej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asti. Obdobne, ke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že obec ur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uje 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né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ísla na ulici a tým pádom aj "tvar" ulice, ukladá sa obci povinnos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vyzna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geografickú os ulice v grafickej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asti registra adries a udržiava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ju v aktuálnom stave.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Osobitné postavenie majú budovy slúžiace na obranu štátu alebo stavby pre bezpe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štátu, ktorých zápis adries do registra adries podlieha súhlasu príslušného štátneho orgánu. Dôvodom je snaha o ochranu záujmov Slovenskej republiky na úseku obrany a bezpe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nosti.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Lehota na zápis, zmenu a výmaz údajov je ustanovená sú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asne so vznikom, zmenou alebo zánikom tohto údaja. Vychádza sa pritom z predpokladu, že proces vzniku, zmeny a zániku údajov, zapísaných v registri adries, umož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uje takéto lehoty dodrža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Poštové smerovacie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 zapisuje poskytovate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univerzálnej služby bu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po oznámení vzniku, zmeny alebo opravy adresy ministerstvom alebo z vlastnej iniciatívy po zmenách vykonaných v 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íselníku poštových smerovacích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ísiel.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 8: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Predmetné ustanovenie upravuje spôsob opravy zapísaných údajov, ak sa zistí, že nie sú v súlade so skuto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ným stavom alebo sú chybné z dôvodu zjavnej nesprávnosti podkladu, na základe ktorého boli zapísané. Navrhovaný mechanizmus právny poriadok Slovenskej republiky pozná aj dnes, napríklad ak ide o opravu údajov vedených v katastri nehnute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ností.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 9: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Navrhovaná úprava predstavuje výnimku pre obce, ktoré dlhodobo nie sú z objektívnych dôvodov schopné povinnosti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tohto zákona plni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, ke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že nie sú na to technicky vybavené alebo nie sú prepojené na register adries. V takýchto prípadoch sa navrhuje, aby za obec predmetné povinnosti plnil okresný úrad, a to na žiados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obce. Okresný úrad bude tým orgánom, ktorý bude posudzova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,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 na strane obce skuto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ne existujú prekážky, ktoré plnenie povinnosti cez okresný úrad odôvod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ujú. Pôsobnos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okresného úradu sa ustanovuje v súlade so zákonom o organizácii miestnej štátnej správy a o zmene a doplnení niektorých zákonov.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 10: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Úprava poskytovania údajov z registra adries sa navrhuje v troch úrovniach.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 orgánu verejnej moci na 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ely plnenia úloh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osobitných zákonov pôjde o automatizované poskytovanie údajov vo forme elektronického odpisu - teda spôsob, ktorý umožní aj komunikáciu stroj-stroj.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 iným osobám sa bude poskytovanie údajov spravova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všeobecnou úpravou zákona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. 275/2006 Z. z., teda elektronickým odpisom alebo listinným výstupom na žiadosť. Automatizovaný prístup je podmienený uzatvorením dohody s Ministerstvom vnútra Slovenskej republiky. Okrem týchto spôsobov bude ministerstvo zverej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právne nezáväzné údaje na svojom webovom sídle. Ide teda o obdobnú úpravu, akú poznajú aj existujúce registre a štátne evidencie.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 11: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Predmetné ustanovenie obsahuje sankcie pre prípad porušenia povinností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a tohto zákona.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 12: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Vzh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adom na to, že zápis, zmena, oprava a výmaz údajov z registra adries nie je rozhodovaním o právach, právom chránených záujmoch a povinnostiach osôb, navrhuje sa vylú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z pôsobnosti správneho konania. Správne konanie sa bude aplikova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len na ukladanie sankcií.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 13: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že adresný bod a geografická os ulice je novým inštitútom, splnomoc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uje sa ministerstvo na vydanie vykonávacieho právneho predpisu, ktorým ustanoví podrobnosti o ich vyjadrení v grafickej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asti registra adries, ktorého cie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om bude najmä predchádzanie aplika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ných problémov. Vydanie vykonávacieho predpisu sa navrhuje v spolupráci s Úradom geodézie, kartografie a katastra Slovenskej republiky.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§ 14: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Prechodnými ustanoveniami sa navrhuje rieši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„prvé naplnenie“ registra adries údajmi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tohto zákona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 budovám a adresám, ktoré ku 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 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innosti zákona už existujú. Vzh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adom na rozsah tejto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innosti sa navrhuje obdobie jedného roka, pri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om táto povinnos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sa ukladá ministerstvu v sú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innosti s obcami.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K 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l. II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bodom 1 a 2: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Účelom zmeny § 2 ods. 4 je spresnenie právnej úpravy v nadväznosti na ustálenú aplika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nú prax. Navrhuje sa demonštratívnym výpo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tom ustanovi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,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 je inou zmenou územia obce a tiež vylú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potrebu súhlasu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 žiadosti obce v prípade zmeny, ktorá je vyvolaná zmenou štátnej hranice. Pokia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ide o pôsobnos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v rozhodovaní o týchto zmenách, tak ako doteraz, bude patri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okresnému úradu v sídle kraja, pretože ide o všeobecnú vnútornú správu štátu.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 bodu 3: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Legislatívno-technická úprava súvisiaca</w:t>
      </w:r>
      <w:r w:rsidRPr="00940737">
        <w:rPr>
          <w:rFonts w:ascii="Times New Roman" w:hAnsi="Times New Roman" w:cs="Times New Roman"/>
          <w:sz w:val="24"/>
          <w:szCs w:val="24"/>
          <w:lang w:eastAsia="sk-SK"/>
        </w:rPr>
        <w:t xml:space="preserve"> s novou organizáciou miestnej štátnej správy, ustanovenou zákonom č. 180/2013 Z. z.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4: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Zmeny v ustanoveniach o 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íslovaní budov sú dvojakého charakteru. Jednak v nadväznosti na úpravu adresy presnejšie definujú pôsobnos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obce na úseku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íslovania budov a zosúla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ď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ujú právny stav s potrebami aplika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nej praxe a platnou právnou terminológiou.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Okrem toho sa v nadväznosti na potrebu aktuálnosti údajov registra adries ukladá povinnos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osobe určenej v kolaudačnom rozhodnutí požiada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 ur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enie súpisného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ísla a 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ného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ísla do 30 dní odo 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právoplatnosti kolauda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ného rozhodnutia. Táto zmena má za cie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dosiahnu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reálnu evidenciu existujúcich budov v registri adries. Nadväzne na túto povinnos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sa na 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ely zlepšenia orientácie na ulici a inom verejnom priestranstve ukladá povinnos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ozna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budovu tabu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kou so súpisným a orienta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ným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íslom.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5: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Legislatívno-technická úprava súvisiaca s bodom 4.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6: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Legislatívno-technická úprava súvisiaca s bodom 7.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7: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Predmetné ustanovenie obsahuje sankcie pre prípad porušenia povinností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tohto zákona. Sankcie sú odstup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ň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ované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a závažnosti porušenej povinnosti.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8: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Prechodným ustanovením sa rieši splnenie novej povinnosti pod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ľ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 § 2c ods. 3 vo vz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 už existujúcim stavbám.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K bodu 9: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Legislatívno-technická úprava súvisiaca</w:t>
      </w:r>
      <w:r w:rsidRPr="00940737">
        <w:rPr>
          <w:rFonts w:ascii="Times New Roman" w:hAnsi="Times New Roman" w:cs="Times New Roman"/>
          <w:sz w:val="24"/>
          <w:szCs w:val="24"/>
          <w:lang w:eastAsia="sk-SK"/>
        </w:rPr>
        <w:t xml:space="preserve"> s novou organizáciou miestnej štátnej správy, ustanovenou zákonom č. 180/2013 Z. z.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 xml:space="preserve">K 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l. III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V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o vzť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 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zriadeniu registru adries, ako aj k povinnostiam orgánov verejnej moci vo vzť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ahu k tomuto registru adries, uloženú povinnosti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obci zapisovať, meniť, vymazávať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v registri adries údaje po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dľa §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 2 ods. 1 písm. f) až i) zákona o registri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adries, je potrebné vykonať zmenu aj v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 zákone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č.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 253/1998 Z. z. o 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hlásení pobytu občanov Slovenskej republiky a registri obyvateľov Slovenskej republiky v znení neskorších predpisov.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 xml:space="preserve">K 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l. IV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K bodu 1: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ab/>
        <w:t>Explicitne sa dop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ĺň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a, že sú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as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 xml:space="preserve">ou systému organizovania verejnej poštovej siete je aj poštové smerovacie 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 xml:space="preserve">íslo. Potreba zadefinovania poštového smerovacieho 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ísla ako sú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 xml:space="preserve">asti verejnej poštovej siete nadväzuje na zahrnutie poštového smerovacieho 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 xml:space="preserve">ísla do registra adries v zákone o registri adries. Definovanie poštového smerovacieho 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ísla vychádza z normy  STN 01 0141 Terminológia poštovej prevádzky. Sú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 xml:space="preserve">asne sa rozlíši, o aký druh poštového smerovacieho 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 xml:space="preserve">ísla ide, a to v záujme eliminácie rizík spojených s nesprávnym smerovaním zásielok v prípade adries, kde sa okrem územného poštového smerovacieho 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 xml:space="preserve">ísla využíva aj špecifické, resp. individuálne poštové smerovacie 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Cs/>
          <w:kern w:val="1"/>
          <w:sz w:val="24"/>
          <w:szCs w:val="24"/>
          <w:lang w:eastAsia="sk-SK"/>
        </w:rPr>
        <w:t>íslo.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 bodu 2: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ab/>
        <w:t xml:space="preserve">Ide o technickú zmenu v 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íslovaní odsekov.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b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kern w:val="1"/>
          <w:sz w:val="24"/>
          <w:szCs w:val="24"/>
          <w:lang w:eastAsia="sk-SK"/>
        </w:rPr>
        <w:t>K čl. V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bodom 1 a 13: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Ide o legislatívno-technickú úpravu, ktorou sa zavádza legislatívna skratka Ministerstva vnútra SR „ministerstvo“.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bodom 2, 3 a 12: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Ide o legislatívno-technickú úpravy nadväzujúce na nový § 5a o prevzatí občianskeho preukazu.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4: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Obdobne ako je tomu v zákone č. 647/2007 Z. z. o cestovných dokladoch navrhuje sa aj prevzatie občianskeho preukazu jednotne upraviť v samostatnom paragrafe. Podmienky prevzatia sa zosúlaďujú s prevzatím cestovných dokladov a vodičských preukazov, čiže aj občiansky preukaz bude môcť prevziať osoba blízka bez osvedčeného plnomocenstva, čím sa zníži ich administratívna záťaž. Návrhom sa taktiež rozširuje možnosť prevziať občiansky preukaz maloletých a mladistvých občanov o splnomocnenú osobu. Ak občan uvedie osobu, ktorá prevezme jeho občiansky preukaz, pri podaní žiadosti, nebude táto osoba potrebovať osvedčené plnomocenstvo.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5: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Ustanovenie rozširuje dôvody, na základe ktorých sa občanovi vydá nový občiansky preukaz prostredníctvom zastupiteľských úradov Slovenskej republiky v zahraničí, a to o poškodenie a zničenie občianskych preukazov.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bodom 6 a 10: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Ustanovenie umožňuje občanom požiadať o vydanie občianskeho preukazu elektronicky prostredníctvom portálu Ministerstva vnútra SR. Takáto forma podania žiadosti bude možná najskôr 180 dní pred skončením platnosti občianskeho preukazu a pri zmene trvalého pobytu, avšak len vtedy, ak občan už mal vydaný občiansky preukaz s čipom. Podobu tváre a podpis v digitalizovanej forme bude možné použiť z už uložených fotografií a podpisov v niektorom zo systémov dokladov, ktoré spravuje Ministerstvo vnútra SR, čiže z evidencie občianskych preukazov, evidencie cestovných dokladov alebo z evidencie vodičských preukazov. Aby však fotografia a podpis mohli byť použité, nesmú byť staršie ako päť rokov, ak pôjde o občana staršieho ako 18 rokov, a nie staršie ako tri roky, ak pôjde o občana mladšieho ako 18 rokov. Prevzatie občianskeho preukazu, o ktorý občan požiadal prostredníctvom portálu, však bude možné len osobne a iba na okresnom riaditeľstve Policajného zboru, ktoré uviedol v žiadosti.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7: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Neplatný bude okrem ohlásenej straty alebo odcudzenia, aj taký občiansky preukaz, ktorý bol nájdený a odovzdaný ako nález, pričom sa umožňuje stratu alebo odcudzenie ohlásiť aj prostredníctvom portálu ministerstva.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8: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Obdobne ako je tomu pri cestovných dokladoch, navrhuje sa, aby neodovzdaný občiansky preukaz, ktorý je neplatný z dôvodu úmrtia, straty štátneho občianskeho alebo ukončenia trvalého pobytu na území SR, bol z dôvodu zamedzenia prípadného zneužitia evidovaný v informačných systémoch ako odcudzený. 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9: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Rozširujú sa dôvody prijatia žiadosti o vydanie občianskeho preukazu prostredníctvom zastupiteľských úradov Slovenskej republiky v zahraničí o poškodenie a zničenie a zároveň sa ustanovujú dôvody, z ktorých je možné žiadať o vydanie nového občianskeho preukazu prostredníctvom portálu ministerstva.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11: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Z dôvodu možnosti expresného vydania občianskeho preukazu do dvoch pracovných dní na žiadosť občana, je potrebné vypustiť povinnosť požiadať o nový občiansky preukaz najneskôr 30 dní pred uplynutím doby jeho platnosti.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K bodu 14: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Vzhľadom na evidenčné lístky občianskych preukazov a zosúladenie vydávania občianskych preukazov môžu občania, ktorí majú občianske preukazy vydané pred 1. júlom 2008, žiadať o vydanie nových občianskych preukazov bez ohľadu na ich platnosť len na okresnom riaditeľstve Policajného zboru v územnom obvode, v ktorom majú trvalý pobyt. Aplikačná prax odhalila nejednoznačné určenie žiadateľa o občiansky preukaz, ktorý môže požiadať o vydanie občianskeho preukazu len na okresnom riaditeľstve v územnom obvode, v ktorom má trvalý pobyt alebo ktorý môže požiadať o jeho vydanie kdekoľvek.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K 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b/>
          <w:bCs/>
          <w:kern w:val="1"/>
          <w:sz w:val="24"/>
          <w:szCs w:val="24"/>
          <w:lang w:eastAsia="sk-SK"/>
        </w:rPr>
        <w:t>l. VI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 w:line="240" w:lineRule="atLeast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Ú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č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innos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sa navrhuje ustanovi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>ť</w:t>
      </w:r>
      <w:r w:rsidRPr="00940737">
        <w:rPr>
          <w:rFonts w:ascii="TimesNewRomanPSMT" w:hAnsi="TimesNewRomanPSMT" w:cs="TimesNewRomanPSMT"/>
          <w:kern w:val="1"/>
          <w:sz w:val="24"/>
          <w:szCs w:val="24"/>
          <w:lang w:eastAsia="sk-SK"/>
        </w:rPr>
        <w:t xml:space="preserve"> od 1. júla 2015.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sz w:val="24"/>
          <w:szCs w:val="24"/>
          <w:lang w:eastAsia="sk-SK"/>
        </w:rPr>
        <w:t>V Bratislave, 1</w:t>
      </w:r>
      <w:r w:rsidR="00EF033C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940737">
        <w:rPr>
          <w:rFonts w:ascii="Times New Roman" w:hAnsi="Times New Roman" w:cs="Times New Roman"/>
          <w:sz w:val="24"/>
          <w:szCs w:val="24"/>
          <w:lang w:eastAsia="sk-SK"/>
        </w:rPr>
        <w:t>. februára 2015</w:t>
      </w:r>
    </w:p>
    <w:p w:rsidR="00940737" w:rsidRPr="00940737" w:rsidP="0094073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b/>
          <w:sz w:val="24"/>
          <w:szCs w:val="24"/>
          <w:lang w:eastAsia="sk-SK"/>
        </w:rPr>
        <w:t>Robert Fico</w:t>
      </w:r>
      <w:r w:rsidR="003669C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v. r. </w:t>
      </w: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sz w:val="24"/>
          <w:szCs w:val="24"/>
          <w:lang w:eastAsia="sk-SK"/>
        </w:rPr>
        <w:t>predseda vlády Slovenskej republiky</w:t>
      </w: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b/>
          <w:sz w:val="24"/>
          <w:szCs w:val="24"/>
          <w:lang w:eastAsia="sk-SK"/>
        </w:rPr>
        <w:t>Robert Kaliňák</w:t>
      </w:r>
      <w:r w:rsidR="003669C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v. r.</w:t>
      </w:r>
    </w:p>
    <w:p w:rsidR="00940737" w:rsidRPr="00940737" w:rsidP="0094073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940737">
        <w:rPr>
          <w:rFonts w:ascii="Times New Roman" w:hAnsi="Times New Roman" w:cs="Times New Roman"/>
          <w:sz w:val="24"/>
          <w:szCs w:val="24"/>
          <w:lang w:eastAsia="sk-SK"/>
        </w:rPr>
        <w:t>podpredseda vlády a minister vnútra Slovenskej republiky</w:t>
      </w:r>
    </w:p>
    <w:p w:rsidR="00940737" w:rsidRPr="00940737" w:rsidP="00940737">
      <w:pPr>
        <w:widowControl w:val="0"/>
        <w:autoSpaceDE w:val="0"/>
        <w:autoSpaceDN w:val="0"/>
        <w:bidi w:val="0"/>
        <w:adjustRightInd w:val="0"/>
        <w:spacing w:after="0"/>
        <w:ind w:right="-6"/>
        <w:jc w:val="both"/>
        <w:rPr>
          <w:rFonts w:ascii="TimesNewRomanPSMT" w:hAnsi="TimesNewRomanPSMT" w:cs="TimesNewRomanPSMT"/>
          <w:kern w:val="1"/>
          <w:sz w:val="24"/>
          <w:szCs w:val="24"/>
          <w:lang w:eastAsia="sk-SK"/>
        </w:rPr>
      </w:pPr>
    </w:p>
    <w:p w:rsidR="00B877CC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p w:rsidR="000927F2">
      <w:pPr>
        <w:bidi w:val="0"/>
      </w:pPr>
    </w:p>
    <w:sectPr w:rsidSect="000927F2"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F2" w:rsidP="000927F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927F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F2" w:rsidP="000927F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071B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927F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C0DD4"/>
    <w:multiLevelType w:val="hybridMultilevel"/>
    <w:tmpl w:val="48CC3F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940737"/>
    <w:rsid w:val="00091990"/>
    <w:rsid w:val="000927F2"/>
    <w:rsid w:val="000B29C1"/>
    <w:rsid w:val="003669C7"/>
    <w:rsid w:val="006071B6"/>
    <w:rsid w:val="00635A1D"/>
    <w:rsid w:val="00940737"/>
    <w:rsid w:val="00B877CC"/>
    <w:rsid w:val="00C12D59"/>
    <w:rsid w:val="00C62501"/>
    <w:rsid w:val="00D70E69"/>
    <w:rsid w:val="00EF03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40737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073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40737"/>
    <w:rPr>
      <w:rFonts w:cs="Times New Roman"/>
      <w:rtl w:val="0"/>
      <w:cs w:val="0"/>
    </w:rPr>
  </w:style>
  <w:style w:type="paragraph" w:customStyle="1" w:styleId="CharChar1">
    <w:name w:val="Char Char1"/>
    <w:basedOn w:val="Normal"/>
    <w:uiPriority w:val="99"/>
    <w:rsid w:val="000927F2"/>
    <w:pPr>
      <w:spacing w:after="160" w:line="240" w:lineRule="exact"/>
      <w:jc w:val="lef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27F2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27F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0927F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927F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0927F2"/>
    <w:rPr>
      <w:rFonts w:cs="Times New Roman"/>
      <w:vertAlign w:val="superscript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0927F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27F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semiHidden/>
    <w:rsid w:val="000927F2"/>
    <w:pPr>
      <w:spacing w:after="0" w:line="240" w:lineRule="auto"/>
      <w:jc w:val="left"/>
    </w:pPr>
    <w:rPr>
      <w:rFonts w:ascii="Tahoma" w:hAnsi="Tahoma" w:cs="Tahoma"/>
      <w:sz w:val="16"/>
      <w:szCs w:val="16"/>
      <w:lang w:val="en-US" w:eastAsia="sk-SK"/>
    </w:rPr>
  </w:style>
  <w:style w:type="paragraph" w:styleId="NoSpacing">
    <w:name w:val="No Spacing"/>
    <w:uiPriority w:val="99"/>
    <w:qFormat/>
    <w:rsid w:val="000927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rsid w:val="000927F2"/>
    <w:pPr>
      <w:spacing w:after="0" w:line="240" w:lineRule="auto"/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7F2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0927F2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0927F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27F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2912</Words>
  <Characters>16601</Characters>
  <Application>Microsoft Office Word</Application>
  <DocSecurity>0</DocSecurity>
  <Lines>0</Lines>
  <Paragraphs>0</Paragraphs>
  <ScaleCrop>false</ScaleCrop>
  <Company>MVSR</Company>
  <LinksUpToDate>false</LinksUpToDate>
  <CharactersWithSpaces>19475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2015-02-20T13:50:00Z</dcterms:created>
  <dcterms:modified xsi:type="dcterms:W3CDTF">2015-02-20T13:50:00Z</dcterms:modified>
</cp:coreProperties>
</file>