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36"/>
          <w:szCs w:val="36"/>
        </w:rPr>
      </w:pPr>
      <w:r w:rsidRPr="00690CAF">
        <w:rPr>
          <w:rFonts w:ascii="Times New Roman" w:eastAsia="MS ??" w:hAnsi="Times New Roman" w:cs="Times New Roman" w:hint="default"/>
          <w:b/>
          <w:bCs/>
          <w:sz w:val="36"/>
          <w:szCs w:val="36"/>
        </w:rPr>
        <w:t>NÁ</w:t>
      </w:r>
      <w:r w:rsidRPr="00690CAF">
        <w:rPr>
          <w:rFonts w:ascii="Times New Roman" w:eastAsia="MS ??" w:hAnsi="Times New Roman" w:cs="Times New Roman" w:hint="default"/>
          <w:b/>
          <w:bCs/>
          <w:sz w:val="36"/>
          <w:szCs w:val="36"/>
        </w:rPr>
        <w:t>RODNÁ</w:t>
      </w:r>
      <w:r w:rsidRPr="00690CAF">
        <w:rPr>
          <w:rFonts w:ascii="Times New Roman" w:eastAsia="MS ??" w:hAnsi="Times New Roman" w:cs="Times New Roman" w:hint="default"/>
          <w:b/>
          <w:bCs/>
          <w:sz w:val="36"/>
          <w:szCs w:val="36"/>
        </w:rPr>
        <w:t xml:space="preserve">  RADA  SLOVENSKEJ  REPUBLIKY</w:t>
      </w:r>
    </w:p>
    <w:p w:rsidR="00690CAF" w:rsidRPr="00690CAF" w:rsidP="00690CAF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8"/>
          <w:szCs w:val="28"/>
        </w:rPr>
      </w:pPr>
      <w:r w:rsidRPr="00690CAF">
        <w:rPr>
          <w:rFonts w:ascii="Times New Roman" w:eastAsia="MS ??" w:hAnsi="Times New Roman" w:cs="Times New Roman" w:hint="default"/>
          <w:b/>
          <w:bCs/>
          <w:sz w:val="28"/>
          <w:szCs w:val="28"/>
        </w:rPr>
        <w:t>VI. volebné</w:t>
      </w:r>
      <w:r w:rsidRPr="00690CAF">
        <w:rPr>
          <w:rFonts w:ascii="Times New Roman" w:eastAsia="MS ??" w:hAnsi="Times New Roman" w:cs="Times New Roman" w:hint="default"/>
          <w:b/>
          <w:bCs/>
          <w:sz w:val="28"/>
          <w:szCs w:val="28"/>
        </w:rPr>
        <w:t xml:space="preserve"> obdobie</w:t>
      </w:r>
    </w:p>
    <w:p w:rsidR="00690CAF" w:rsidRPr="00690CAF" w:rsidP="00690CA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48"/>
          <w:szCs w:val="48"/>
        </w:rPr>
      </w:pPr>
      <w:r w:rsidRPr="00690CAF">
        <w:rPr>
          <w:rFonts w:ascii="Times New Roman" w:eastAsia="MS ??" w:hAnsi="Times New Roman" w:cs="Times New Roman"/>
          <w:b/>
          <w:bCs/>
          <w:sz w:val="48"/>
          <w:szCs w:val="48"/>
        </w:rPr>
        <w:t>1408</w:t>
      </w: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36"/>
          <w:szCs w:val="36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8"/>
          <w:szCs w:val="28"/>
        </w:rPr>
      </w:pPr>
      <w:r w:rsidRPr="00690CAF">
        <w:rPr>
          <w:rFonts w:ascii="Times New Roman" w:eastAsia="MS ??" w:hAnsi="Times New Roman" w:cs="Times New Roman" w:hint="default"/>
          <w:b/>
          <w:bCs/>
          <w:sz w:val="28"/>
          <w:szCs w:val="28"/>
        </w:rPr>
        <w:t>VLÁ</w:t>
      </w:r>
      <w:r w:rsidRPr="00690CAF">
        <w:rPr>
          <w:rFonts w:ascii="Times New Roman" w:eastAsia="MS ??" w:hAnsi="Times New Roman" w:cs="Times New Roman" w:hint="default"/>
          <w:b/>
          <w:bCs/>
          <w:sz w:val="28"/>
          <w:szCs w:val="28"/>
        </w:rPr>
        <w:t>DNY  NÁ</w:t>
      </w:r>
      <w:r w:rsidRPr="00690CAF">
        <w:rPr>
          <w:rFonts w:ascii="Times New Roman" w:eastAsia="MS ??" w:hAnsi="Times New Roman" w:cs="Times New Roman" w:hint="default"/>
          <w:b/>
          <w:bCs/>
          <w:sz w:val="28"/>
          <w:szCs w:val="28"/>
        </w:rPr>
        <w:t>VRH</w:t>
      </w: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shd w:val="clear" w:color="auto" w:fill="FFFFFF"/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KON</w:t>
      </w:r>
    </w:p>
    <w:p w:rsidR="00690CAF" w:rsidRPr="00690CAF" w:rsidP="00690CAF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/>
          <w:b/>
          <w:bCs/>
          <w:sz w:val="24"/>
          <w:szCs w:val="24"/>
        </w:rPr>
        <w:t>z ........................ 2015,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/>
          <w:b/>
          <w:bCs/>
          <w:sz w:val="24"/>
          <w:szCs w:val="24"/>
        </w:rPr>
        <w:t>o registri adries a o zmene a 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doplnení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 xml:space="preserve"> niektorý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konov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rada Slovenskej republiky sa uzniesla na tomto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kone: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l. I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1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Predmet ú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pravy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Tento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upravuje</w:t>
      </w:r>
    </w:p>
    <w:p w:rsidR="00690CAF" w:rsidRPr="00690CAF" w:rsidP="00690CAF">
      <w:pPr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zriadenie registra adries 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register“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),</w:t>
      </w:r>
    </w:p>
    <w:p w:rsidR="00690CAF" w:rsidRPr="00690CAF" w:rsidP="00690CAF">
      <w:pPr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zoznam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zapisujú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do registra,</w:t>
      </w:r>
    </w:p>
    <w:p w:rsidR="00690CAF" w:rsidRPr="00690CAF" w:rsidP="00690CAF">
      <w:pPr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podmienky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postup pri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pise, zmene a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maze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registra, ako aj pri oprave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zapí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v registri,</w:t>
      </w:r>
    </w:p>
    <w:p w:rsidR="00690CAF" w:rsidRPr="00690CAF" w:rsidP="00690CAF">
      <w:pPr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orgá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nov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tnej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 a obcí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vo veciach zapisovania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do registra, vedenia registra a poskytovania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z registra,</w:t>
      </w:r>
    </w:p>
    <w:p w:rsidR="00690CAF" w:rsidRPr="00690CAF" w:rsidP="00690CAF">
      <w:pPr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sankcie za 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povinností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2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Adresa a identifiká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tor adresy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Adresou na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ely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je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bor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a) až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i) identifikujú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cich polohu</w:t>
      </w:r>
    </w:p>
    <w:p w:rsidR="00690CAF" w:rsidRPr="00690CAF" w:rsidP="00690CAF">
      <w:pPr>
        <w:numPr>
          <w:numId w:val="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vstupu do bytovej budovy,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2"/>
      </w:r>
      <w:r w:rsidRPr="00690CAF">
        <w:rPr>
          <w:rFonts w:ascii="Times New Roman" w:eastAsia="MS ??" w:hAnsi="Times New Roman" w:cs="Times New Roman"/>
          <w:sz w:val="24"/>
          <w:szCs w:val="24"/>
        </w:rPr>
        <w:t>) nebytovej budovy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3"/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budova“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alebo</w:t>
      </w:r>
    </w:p>
    <w:p w:rsidR="00690CAF" w:rsidRPr="00690CAF" w:rsidP="00690CAF">
      <w:pPr>
        <w:numPr>
          <w:numId w:val="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hlavné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vstupu do budovy, ak budova nemá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Budove,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ale nemá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alebo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len jedno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byť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priradená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len jedna adresa. Ak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budova viac vstupov, je ku 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vstupu do budovy,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priradená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jedna adresa.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Adresa vzniká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budove určí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v registri. Ak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budova viac vstupov,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sla, adresa identifikujú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ca polohu vstupu do budovy, vzniká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vstupu do budovy určí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v registri.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Adresa zaniká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budove zruší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v registri. Ak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budova viac vstupov,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sla, adresa identifikujú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ca polohu vstupu do budovy, zaniká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vstupu do budovy zruší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v registri.</w:t>
      </w:r>
    </w:p>
    <w:p w:rsidR="00690CAF" w:rsidRPr="00690CAF" w:rsidP="00690CAF">
      <w:pPr>
        <w:bidi w:val="0"/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Identifiká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torom adresy na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ely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je jedineč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neprá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zdna a koneč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množ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ina alfanumerický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znakov,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slúž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na jednoznač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identifiká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ciu adresy, pre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potreby registra a iný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informač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mov na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ely ich komuniká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cie.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3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Adresný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 xml:space="preserve"> bod a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geografická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 xml:space="preserve"> os ulice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0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bodom je priestorový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4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polohu</w:t>
      </w:r>
    </w:p>
    <w:p w:rsidR="00690CAF" w:rsidRPr="00690CAF" w:rsidP="00690CAF">
      <w:pPr>
        <w:numPr>
          <w:numId w:val="24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vstupu do budovy, ktorej je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alebo</w:t>
      </w:r>
    </w:p>
    <w:p w:rsidR="00690CAF" w:rsidRPr="00690CAF" w:rsidP="00690CAF">
      <w:pPr>
        <w:numPr>
          <w:numId w:val="24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hlavné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vstupu do budovy, ak budova nemá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0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Geografická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 ulice je priestorový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3)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polohu geometrickej osi ulice alebo polohu iné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verejné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priestranstva 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ulica“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spojnicou lomový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bodov ulice.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0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bod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 ulice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vyjadre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priestorový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radniciach geodetické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referenč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je Euró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psky terestrický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referenč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1989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alfanumerický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kó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dom ETRS89.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0"/>
        </w:numPr>
        <w:tabs>
          <w:tab w:val="left" w:pos="142"/>
        </w:tabs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bod sa vyznačí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zameraní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bodu,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vyhotovuje v listinnej podobe a ako elektro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dokument. Vyhotovenie zamerania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zabezpečí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stavební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pred podaní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0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Geografická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 ulice sa vyznačí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zameraní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ulice,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vyhotovuje v listinnej podobe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ako elektronický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dok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ument. Vyhotovenie zamerania geografickej osi ulice zabezpečí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stavební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pred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zvu ulice.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5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  <w:r w:rsidRPr="00690CAF">
        <w:rPr>
          <w:rFonts w:ascii="Times New Roman" w:eastAsia="MS ??" w:hAnsi="Times New Roman" w:cs="Times New Roman"/>
          <w:bCs/>
          <w:sz w:val="24"/>
          <w:szCs w:val="24"/>
        </w:rPr>
        <w:t>Register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4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(1) Register je informač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verejnej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6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obsahuje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vcom je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 vnú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tra Slovenskej republiky 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). Osobitnú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registra tvorí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geografická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registra.</w:t>
      </w: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/>
          <w:strike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v registri sa považ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plné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zodpovedajú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ce skutoč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nosti, 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je preuká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opak. Proti osobe,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 dobrej viere spolieha na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v registri, nemôž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iná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osoba namietať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tieto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plné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nezodpovedajú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skutoč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nosti. 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5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Register obsahuje pri 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dej adrese tieto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daje: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kraja,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ok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resu,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obce alebo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vojenské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obvodu,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mestskej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asti, ak sa mesto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mestské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obce alebo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vojenské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obvodu, ak sa obec alebo vojenský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obvod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lenia 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zov ulice, ak je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ený,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ak je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adresný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bod,</w:t>
      </w:r>
    </w:p>
    <w:p w:rsidR="00690CAF" w:rsidRPr="00690CAF" w:rsidP="00690CAF">
      <w:pPr>
        <w:numPr>
          <w:numId w:val="6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identifiká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tor adresy.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Register obsahuje pri 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dej adrese tieto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o budove: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tom,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ide o bytovú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budovu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1)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nebytovú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budovu,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2)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kó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 druhu stavby,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tom,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sa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budove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byty, 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daj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sle bytu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podlaží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ktorom sa byt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dza, ak ide o budovu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ktorej sa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byty,</w:t>
      </w:r>
      <w:r w:rsidRPr="00690CAF">
        <w:rPr>
          <w:rFonts w:ascii="Times New Roman" w:eastAsia="MS ??" w:hAnsi="Times New Roman" w:cs="Times New Roman"/>
          <w:sz w:val="24"/>
          <w:szCs w:val="24"/>
          <w:vertAlign w:val="subscript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ak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tieto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obci zná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me, 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o tom,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obec, v ktorej sa budova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dza, je mestom,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tom,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sa budova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vo vojenskom obvode,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daj o tom,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obce samostatné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slovanie budov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slami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slami, ak sa budova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obce,</w:t>
      </w:r>
    </w:p>
    <w:p w:rsidR="00690CAF" w:rsidRPr="00690CAF" w:rsidP="00690CAF">
      <w:pPr>
        <w:numPr>
          <w:numId w:val="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selný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 kraja, okresu, obce, mestskej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alebo vojenské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obvodu.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Register pri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dej adrese obsahuje aj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tovom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smerovacom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sle.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7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Geografická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registra obsahuje geografickú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polohu kaž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osi ulí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c.</w:t>
      </w:r>
    </w:p>
    <w:p w:rsid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trike/>
          <w:sz w:val="24"/>
          <w:szCs w:val="24"/>
        </w:rPr>
      </w:pPr>
    </w:p>
    <w:p w:rsidR="00280E5D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trike/>
          <w:sz w:val="24"/>
          <w:szCs w:val="24"/>
        </w:rPr>
      </w:pPr>
    </w:p>
    <w:p w:rsidR="00280E5D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trike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6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 zapisuje,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vymazá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 a opravuje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registri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</w:t>
      </w:r>
    </w:p>
    <w:p w:rsidR="00690CAF" w:rsidRPr="00690CAF" w:rsidP="00690CAF">
      <w:pPr>
        <w:numPr>
          <w:numId w:val="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a) až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e), a j),</w:t>
      </w:r>
    </w:p>
    <w:p w:rsidR="00690CAF" w:rsidRPr="00690CAF" w:rsidP="00690CAF">
      <w:pPr>
        <w:numPr>
          <w:numId w:val="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5 ods. 2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e), f) a h).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 určí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adrese identifiká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tor adresy pri jej vzniku.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Obec zapisuje,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vymazá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 a opravuje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registri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</w:t>
      </w:r>
    </w:p>
    <w:p w:rsidR="00690CAF" w:rsidRPr="00690CAF" w:rsidP="00690CAF">
      <w:pPr>
        <w:numPr>
          <w:numId w:val="10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f) až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i),</w:t>
      </w:r>
    </w:p>
    <w:p w:rsidR="00690CAF" w:rsidRPr="00690CAF" w:rsidP="00690CAF">
      <w:pPr>
        <w:numPr>
          <w:numId w:val="10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a) až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d) a g).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Obec 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asne so vznikom adresy zaznamená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geogr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afickú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polohu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a 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asne so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nikom adresy vymaž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tú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 polohu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registra. Obec 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asne so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pisom, zmenou alebo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zvu ulice 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pisom, zmenou alebo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siel na uli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 zaznamená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zmení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vymaž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geografickú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 ulice.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 ide o adresu,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vo vojenskom obvode, 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odsekov 3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4, ako aj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pis, zmenu,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maz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opravu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2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f) vykoná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 Minis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terstvo obrany Slovenskej republiky.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 ide o budovu,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je stavbou pre obranu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tu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8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stavbou pre bezpeč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tu,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9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meniť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vymazá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opravovať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 a 2, ako aj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zobraziť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body a geografické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osi ulí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 v 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je 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len po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predchá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com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somnom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hlase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tneho orgá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nu, na plnenie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loh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slúž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 alebo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plnenie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loh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osô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jeho zriaď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skej 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sobnosti alebo zakladateľ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skej 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sobnosti.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 ide o budovu,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je stavbou jadrové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zariadenia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10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stavbou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visiacou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jadrový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zariadení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m, zapí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meniť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vymazá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opravovať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 a 2, ako aj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zobraziť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body a geografické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osi ulí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 v 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je 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len po predchá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com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somnom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hlase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radu jadrové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dozoru Slovenskej republiky.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11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zapisuje,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vymazá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opravuje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3.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7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1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pis, zmena a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maz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 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sa vykonajú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ku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 vzniku, zmeny, opravy alebo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niku adresy, ak odsek 3 a §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9 ods. 1 neustanovuje inak.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P="00690CAF">
      <w:pPr>
        <w:numPr>
          <w:numId w:val="11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Ministerstvo vedie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registri aktuá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2, ako aj hodnoty tý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pred vykonaní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ich zmeny alebo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mazu.</w:t>
      </w:r>
    </w:p>
    <w:p w:rsidR="00690CAF" w:rsidP="00690CAF">
      <w:pPr>
        <w:pStyle w:val="ListParagraph"/>
        <w:bidi w:val="0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1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vykoná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 najneskô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piatich pracovný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oz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menia vzniku, zmeny a opravy adresy ministerstvom.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1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zmení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smerovacie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vykoná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 tejto zmeny ku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 zmeny.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8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2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Ministerstvo, obec a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aj bez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vrhu zabezpeč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 opravu chyby v registri pri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dajoch,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do registra zapisujú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ak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v registri</w:t>
      </w:r>
    </w:p>
    <w:p w:rsidR="00690CAF" w:rsidRPr="00690CAF" w:rsidP="00690CAF">
      <w:pPr>
        <w:numPr>
          <w:numId w:val="1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rozpore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verejnou listinou alebo iný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dokumentom,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de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vznikol, zmenil sa alebo bol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alebo</w:t>
      </w:r>
    </w:p>
    <w:p w:rsidR="00690CAF" w:rsidRPr="00690CAF" w:rsidP="00690CAF">
      <w:pPr>
        <w:numPr>
          <w:numId w:val="13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chybné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 chyby v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počí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z 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 inej zjavnej nesprá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vnosti v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somnom vyhotovení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verejnej listiny alebo iné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dokumentu,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vznikol, zmenil sa aleb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 bol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ený.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4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Orgá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ny verejnej moci, vlastní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ci budov a iní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uží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vatelia budov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poskytnúť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ministerstvu a obci na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ely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1 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innosť.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4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Ten, koho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v,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vom chrá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ujmov alebo povinností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v registri tý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kedykoľ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vek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opravu chyby v registri. Ministerstvo, obec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vo vzť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ahu k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dajom,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do registra zapisujú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vykonať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opravu chyby do 30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osobitne odô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vodnený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padoch do 90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doruč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enia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somnej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 opravu chý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4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Ministerstvo, obec a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zabezpeč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 vykonanie opravy chyby v registri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podkladu,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je originá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 alebo osvedč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pia verejnej listiny alebo iné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dokumentu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 vznikol, zmenil sa alebo bol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ený.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contextualSpacing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9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 obec,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 je pripojená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register alebo ktorá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objektí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vnych technický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vodov nemôž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vykonať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pis, zmenu,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maz alebo opravu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v registri v lehote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piatich pracovný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vykoná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poskytnutý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obcou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pis, zmenu,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 alebo opravu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rad,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zemnom obvode sa obec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dza; obec je povinná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tieto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poskytnúť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bezodkladne.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5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Ustanovenie odseku 1 sa rovnako použ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ije aj na vyznač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polohy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osi ulice v 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registra.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10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Poskytovanie ú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dajov z registra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6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 poskytne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vcovi informač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verejnej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 vedené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lade so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tandardmi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osobitné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predpisu,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12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prevá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dzkovateľ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ovi informač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a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ovi univer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z registra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elektronickej podobe, a to aj automatizovaný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sobom. 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6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Ministerstvo poskytne 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inej osobe než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1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z registra, a to</w:t>
      </w:r>
    </w:p>
    <w:p w:rsidR="00690CAF" w:rsidRPr="00690CAF" w:rsidP="00690CAF">
      <w:pPr>
        <w:numPr>
          <w:numId w:val="1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forme elektronické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odpisu alebo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stupu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sobom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osobitné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 predpisu,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13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 xml:space="preserve">) </w:t>
      </w:r>
      <w:r w:rsidRPr="00690CAF">
        <w:rPr>
          <w:rFonts w:ascii="Times New Roman" w:eastAsia="MS ??" w:hAnsi="Times New Roman" w:cs="Times New Roman"/>
          <w:sz w:val="24"/>
          <w:szCs w:val="24"/>
        </w:rPr>
        <w:t>ak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ide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jednej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poskytnutie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jedné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hlavné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vstupu budovy alebo vstupu do jednej budovy,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bolo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</w:t>
      </w:r>
    </w:p>
    <w:p w:rsidR="00690CAF" w:rsidRPr="00690CAF" w:rsidP="00690CAF">
      <w:pPr>
        <w:numPr>
          <w:numId w:val="1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hromadne vo forme elektronické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odpisu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sobom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osobitné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predpisu,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12)</w:t>
      </w: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ak ide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klade jednej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poskytnutie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viacerý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hlavný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vstupom budovy alebo vstupom do viacerý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budov,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bolo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alebo</w:t>
      </w:r>
    </w:p>
    <w:p w:rsidR="00690CAF" w:rsidRPr="00690CAF" w:rsidP="00690CAF">
      <w:pPr>
        <w:numPr>
          <w:numId w:val="17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automatizovaný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sobom v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lade so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tandardmi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osobitné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predpisu.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11)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6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Register je verejn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stupný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aj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webové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dla ministerstva, prič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 takto sprí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stupnené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majú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informatí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vny charakter.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6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Poskytnutie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 1 a odseku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c) je podmienené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uzavretí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m dohody s ministerstvom. 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6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poskytovanie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dajov z registra sa nevzť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ahuje osobitný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predpis.</w:t>
      </w:r>
      <w:r>
        <w:rPr>
          <w:rFonts w:ascii="Times New Roman" w:eastAsia="MS ??" w:hAnsi="Times New Roman" w:cs="Times New Roman"/>
          <w:sz w:val="24"/>
          <w:szCs w:val="24"/>
          <w:vertAlign w:val="superscript"/>
          <w:rtl w:val="0"/>
        </w:rPr>
        <w:footnoteReference w:id="14"/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)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11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Sprá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vne delikty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(1)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uloží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pokutu od 1000 eur do 5000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eur poskytovateľ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ovi univerzá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lnej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by, ak nesplní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niektorú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povinností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 ods. 8.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rad pri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ukladaní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pokuty prihliada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sob, trvanie a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sledky protiprá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vneho konania, 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viacerý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povinností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opakované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povinností.</w:t>
      </w:r>
    </w:p>
    <w:p w:rsidR="00690CAF" w:rsidRPr="00690CAF" w:rsidP="00690CAF">
      <w:pPr>
        <w:bidi w:val="0"/>
        <w:spacing w:after="0" w:line="240" w:lineRule="auto"/>
        <w:ind w:left="786" w:hanging="36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(3) Pokutu 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 ulož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dvoch rokov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dozvedel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osti, najneskô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vš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ak do troch rokov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enia povinnosti.</w:t>
      </w:r>
    </w:p>
    <w:p w:rsidR="00690CAF" w:rsidRPr="00690CAF" w:rsidP="00690CAF">
      <w:pPr>
        <w:bidi w:val="0"/>
        <w:spacing w:after="0" w:line="240" w:lineRule="auto"/>
        <w:ind w:left="786" w:hanging="36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720" w:hanging="294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(4)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nosy pokú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jmom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tneho rozpoč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tu.</w:t>
      </w:r>
    </w:p>
    <w:p w:rsidR="00690CAF" w:rsidRPr="00690CAF" w:rsidP="00690CAF">
      <w:pPr>
        <w:bidi w:val="0"/>
        <w:spacing w:after="0" w:line="240" w:lineRule="auto"/>
        <w:ind w:left="720" w:hanging="720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12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Splnomocň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ovacie ustanovenie</w:t>
      </w:r>
    </w:p>
    <w:p w:rsidR="00690CAF" w:rsidRPr="00690CAF" w:rsidP="00690CAF">
      <w:pPr>
        <w:bidi w:val="0"/>
        <w:spacing w:after="0" w:line="240" w:lineRule="auto"/>
        <w:ind w:left="720" w:hanging="720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Vzor zamerania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a podrobnosti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vyjadrení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bodu, vyznač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polohy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ho bodu 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osi ulice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ustanoví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eobecne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vä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vny predpis,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vydá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ministerstvo po dohode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radom geodé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zie, kartografie a katastra Slovenskej republiky.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Spoloč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prechodné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ustanovenia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§ </w:t>
      </w:r>
      <w:r w:rsidRPr="00690CAF">
        <w:rPr>
          <w:rFonts w:ascii="Times New Roman" w:eastAsia="MS ??" w:hAnsi="Times New Roman" w:cs="Times New Roman"/>
          <w:sz w:val="24"/>
          <w:szCs w:val="24"/>
        </w:rPr>
        <w:t>13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(1) Na konanie pod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sa nevzť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ahuje vš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eobecný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predpis o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vnom konaní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okrem konania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pokuty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obce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tohto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je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konom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tnej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 riadený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m, metodicky usmerň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kontrolovaný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ministerstvom a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radom,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zemnom obvode sa obec nachá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14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numPr>
          <w:numId w:val="1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 Ak ide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budovy,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bolo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do 30.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2015, ministerstvo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innosti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obcami zapíš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do registra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 ods. 1 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a obec vyznačí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polohu adresné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bodu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 ulice v geografickej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registra do 30.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201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8"/>
        </w:numPr>
        <w:bidi w:val="0"/>
        <w:spacing w:after="0" w:line="240" w:lineRule="auto"/>
        <w:ind w:left="0"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Ministerstvo je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innosti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obcami povinné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zabezpeč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zameranie adresný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bodov vo vzť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ahu k budová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geografický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osí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1 do 30.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2016.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l. II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369/1990 Zb.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obecnom zriadení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 znení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kona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401/1990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96/1991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130/1991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421/1991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500/1991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kona Slovenskej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564/1991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11/1992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Slovenskej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295/1992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Zb.,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43/1993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252/1994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kona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rodnej rady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287/1994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229/1997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225/1998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233/1998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lezu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du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185/1999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389/1999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6/2001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45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/2001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205/2002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515/2003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369/2004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535/2004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583/2004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615/2004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757/2004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171/2005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628/2005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267/2006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uznesenia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du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616/2006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330/2007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334/2007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335/2007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lezu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du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205/2008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384/2008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kona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445/2008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lezu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du Slovenskej republiky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511/2009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102/2010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204/2011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361/2012 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160/2014 Z. 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180/2014 Z. 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 uznesenia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du Slovenskej republik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y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239/2014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 sa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 dopĺň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takto: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1.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odsek 4 znie: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(4) Inou zmenou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zemia obce ako v odseku 3 je </w:t>
      </w:r>
    </w:p>
    <w:p w:rsidR="00690CAF" w:rsidRPr="00690CAF" w:rsidP="00690CAF">
      <w:pPr>
        <w:numPr>
          <w:numId w:val="22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zmena hraní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zemia obce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vislosti so zmenou priebehu 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tnej hranice,</w:t>
      </w:r>
    </w:p>
    <w:p w:rsidR="00690CAF" w:rsidRPr="00690CAF" w:rsidP="00690CAF">
      <w:pPr>
        <w:numPr>
          <w:numId w:val="22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iná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zmena hraní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zemia obce ako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smene a),</w:t>
      </w:r>
    </w:p>
    <w:p w:rsidR="00690CAF" w:rsidRPr="00690CAF" w:rsidP="00690CAF">
      <w:pPr>
        <w:numPr>
          <w:numId w:val="22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zriadenie,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enie,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rozdelenie alebo zlúč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obce.“.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2.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sa dopĺň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odsekmi 5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znejú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: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(5) Ak osobitný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predpis neustanovuje inak,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inej zmene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zemia obce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4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 b) a c) rozhoduje so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hlasom obce 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dle kraja.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(6)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 vedie zoznam obcí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ich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uverejň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na svojom webovom 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dle. Ministerstvo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selné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kó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dy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asti obce.“.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Pozná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mka pod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iarou 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odkazu 2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3. V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2a ods. 4 sa slovo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obvodné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slovom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okresné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4.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2c vr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tane nadpisu znie: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„§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 xml:space="preserve"> 2c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Čí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slovanie budov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(1) Obec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uje,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zruš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bytový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budová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a nebytový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budová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budova“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), vedie evidenciu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siel a evidenciu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siel a udrž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iava ju v aktu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lnom stave. Obec zmení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zruší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alebo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aj bez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iadosti, ak sa zmení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alebo pominie 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vod, pre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bolo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Na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ovanie budov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slami obstará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 obec na vlastné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klady tabuľ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ky rovnaké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vzoru. Obec mô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rozhodnúť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slami na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tabuľ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rovnaké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vzoru.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(3) Osoba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kolaudač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nom rozhodnutí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je povinná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odsekov 1 a 2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30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voplatnosti kolaudač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rozhodnutia; ak tak neurobí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obec určí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odsekov 1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aj bez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iadosti. Predo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voplatnosti kolaudač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rozhodnutia na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 prevodu vlastní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ctva 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budove alebo poistenia budovy obec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na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stave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kovi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aj bez kolaudač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rozhodnutia.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(4) Vlastní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budovy je 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viditeľ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ne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budovu tabuľ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kou so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slom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tabuľ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kou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slom, ak je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. Ak je na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vu budovy založ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spoloč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enstvo v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kov bytov a nebytový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priestorov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dome,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prvej vety plní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toto spoloč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enstvo. Ak je na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vu domu uzatvorená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zmluva o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kone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vy,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prvej vety plní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vca.“.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5.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2d 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27a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sa slovo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stavieb“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 slov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om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budov“.</w:t>
      </w: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6.V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13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odseky 9 a 10.</w:t>
      </w: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/>
          <w:sz w:val="16"/>
          <w:szCs w:val="16"/>
        </w:rPr>
      </w:pPr>
    </w:p>
    <w:p w:rsidR="00690CAF" w:rsidRPr="00690CAF" w:rsidP="00690CAF">
      <w:pPr>
        <w:bidi w:val="0"/>
        <w:spacing w:after="0" w:line="240" w:lineRule="auto"/>
        <w:ind w:left="360" w:firstLine="6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Doterajš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odseky 11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12 sa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ako odseky 9 a 10.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7. Za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27a sa vkladá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27b,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tane nadpisu znie: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„§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27b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 delikty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numPr>
          <w:numId w:val="21"/>
        </w:numPr>
        <w:tabs>
          <w:tab w:val="left" w:pos="851"/>
        </w:tabs>
        <w:bidi w:val="0"/>
        <w:spacing w:after="0" w:line="240" w:lineRule="auto"/>
        <w:ind w:left="284" w:firstLine="142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vneho deliktu sa dopustí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osoba alebo fyzická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–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podnikateľ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ak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nariadenie,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neudrž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istotu a poriadok na uží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vanom pozemku alebo na inej nehnuteľ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nosti,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naruší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vzhľ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ad alebo prostredie obce, alebo ak zneč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verejné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priestranstvo alebo odkladá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veci mimo vyhradený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miest,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nesplní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ene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 lehote bez váž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neho 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starostom poskytnúť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pomoc alebo vecnú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pomoc pri odstraň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sledkov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ivelnej pohromy alebo inej mimoriadnej udalosti,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2c ods. 3, 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2c ods. 4, alebo </w:t>
      </w:r>
    </w:p>
    <w:p w:rsidR="00690CAF" w:rsidRPr="00690CAF" w:rsidP="00690CAF">
      <w:pPr>
        <w:numPr>
          <w:numId w:val="23"/>
        </w:numPr>
        <w:bidi w:val="0"/>
        <w:spacing w:after="0" w:line="240" w:lineRule="auto"/>
        <w:ind w:left="284" w:hanging="284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ruší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30e.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Obec uloží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pokutu za sprá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 delikty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 1 do 6 638 eur.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(3) Obec pri ukladaní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pokuty prihliada na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sob, trvanie a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sledky protiprá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vneho konania, na 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viacerý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povinností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 na opakované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povinností.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b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(4) Pokutu 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 ulož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do jedné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roka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a, keď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obec dozvedela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povinnosti, najneskô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vš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ak do troch rokov odo dň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poruš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enia povinnosti.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(5) 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nosy pokú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jmom rozpoč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tu obce.“.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8. Za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30d sa vkladá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30e, kto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tane nadpisu znie: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„§ 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30e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Prechodné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 xml:space="preserve"> ustanovenia k ú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pravá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m úč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inný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m od 1. jú</w:t>
      </w:r>
      <w:r w:rsidRPr="00690CAF">
        <w:rPr>
          <w:rFonts w:ascii="Times New Roman" w:eastAsia="MS ??" w:hAnsi="Times New Roman" w:cs="Times New Roman" w:hint="default"/>
          <w:bCs/>
          <w:sz w:val="24"/>
          <w:szCs w:val="24"/>
        </w:rPr>
        <w:t>la 2015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Ak ide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budovu, ktorej nebolo do 30. 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na 2015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vlastní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budovy je 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sla, ak sa 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uje, do 31. decembra 2015. Ak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vlastní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budovy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lehote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prvej vety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nepodá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obec rozhodne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urč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pisné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a orientač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sla aj bez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iadosti.“.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outlineLvl w:val="0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9.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obvodný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dle kraja“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vo vš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etký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tvaroch sa v celo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texte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slovami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okresný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dle kraja“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 prí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sluš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nom tvare.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l. III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708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253/1998 Z. z.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hlá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pobytu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anov Slovenskej republiky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registri obyvateľ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 Slovenskej republiky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. 369/1999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.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441/2001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660/2002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174/2004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215/2004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454/2004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523/2004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224/2006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335/2007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216/2008 Z. z.,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49/2012 Z. z.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190/2013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 sa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takto: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708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18 odsek 1 znie: </w:t>
      </w:r>
    </w:p>
    <w:p w:rsidR="00690CAF" w:rsidRPr="00690CAF" w:rsidP="00690CAF">
      <w:pPr>
        <w:bidi w:val="0"/>
        <w:spacing w:after="0" w:line="240" w:lineRule="auto"/>
        <w:ind w:firstLine="708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(1) Ohlasovň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zaznamená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 do registra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visiace so svojou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ou, ak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predmetom evidencie v registri.“.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l. IV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324/2011 Z. z.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služ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a o zmene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doplnení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niek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konov v znení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547/2011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352/2013 Z. z.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402/2013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 sa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dopĺň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takto:</w:t>
      </w:r>
    </w:p>
    <w:p w:rsidR="00690CAF" w:rsidRPr="00690CAF" w:rsidP="00690CAF">
      <w:pPr>
        <w:bidi w:val="0"/>
        <w:spacing w:after="0" w:line="240" w:lineRule="auto"/>
        <w:ind w:left="720" w:hanging="294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8 sa za odsek 2 vkladajú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odseky 3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znejú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: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(3) Súč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ou systé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organizovania verejnej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tovej siete je aj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smerovacie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predstavuje skupinu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slic slúž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iacich na spracovanie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sielok poč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as distribú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cie.</w:t>
      </w:r>
    </w:p>
    <w:p w:rsidR="00690CAF" w:rsidRPr="00690CAF" w:rsidP="00690CAF">
      <w:pPr>
        <w:bidi w:val="0"/>
        <w:spacing w:after="0" w:line="240" w:lineRule="auto"/>
        <w:ind w:left="720" w:hanging="294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(4)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smerovacie čí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 je</w:t>
      </w:r>
    </w:p>
    <w:p w:rsidR="00690CAF" w:rsidRPr="00690CAF" w:rsidP="00690CAF">
      <w:pPr>
        <w:numPr>
          <w:numId w:val="4"/>
        </w:numPr>
        <w:bidi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obvodu pôš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t, alebo</w:t>
      </w:r>
    </w:p>
    <w:p w:rsidR="00690CAF" w:rsidRPr="00690CAF" w:rsidP="00690CAF">
      <w:pPr>
        <w:numPr>
          <w:numId w:val="4"/>
        </w:numPr>
        <w:bidi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pecifické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tový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prieč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inkov.“.</w:t>
      </w:r>
    </w:p>
    <w:p w:rsidR="00690CAF" w:rsidRPr="00690CAF" w:rsidP="00690CAF">
      <w:pPr>
        <w:bidi w:val="0"/>
        <w:spacing w:after="0" w:line="240" w:lineRule="auto"/>
        <w:ind w:left="720" w:hanging="294"/>
        <w:contextualSpacing/>
        <w:jc w:val="both"/>
        <w:rPr>
          <w:rFonts w:ascii="Times New Roman" w:eastAsia="MS ??" w:hAnsi="Times New Roman" w:cs="Times New Roman"/>
          <w:sz w:val="16"/>
          <w:szCs w:val="16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Doterajš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odseky 3 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8 sa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ako odseky 5 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10.</w:t>
      </w:r>
    </w:p>
    <w:p w:rsidR="00690CAF" w:rsidRPr="00690CAF" w:rsidP="00690CAF">
      <w:pPr>
        <w:bidi w:val="0"/>
        <w:spacing w:after="0" w:line="240" w:lineRule="auto"/>
        <w:ind w:left="720" w:hanging="294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19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53 ods. 4 sa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8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slovami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8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7“.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l. V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. 224/2006 Z. z.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ianskych preukazoch a o zmene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doplnení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konov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693/2006 Z. z.,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647/2007 Z. z.,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445/2008 Z. z.,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49/2012 Z. z.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336/2012 Z.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z. sa mení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dopĺň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takto: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4b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 sa za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 vnú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tra Slovenskej republiky“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vkladajú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(ď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alej len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Ministerstvom vnú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tra Slovenskej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republiky“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slovom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ministerstvom“.</w:t>
      </w:r>
    </w:p>
    <w:p w:rsidR="00690CAF" w:rsidRPr="00690CAF" w:rsidP="00690CAF">
      <w:pPr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num" w:pos="426"/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4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druhá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veta.</w:t>
      </w:r>
    </w:p>
    <w:p w:rsidR="00690CAF" w:rsidRPr="00690CAF" w:rsidP="00690CAF">
      <w:pPr>
        <w:bidi w:val="0"/>
        <w:spacing w:after="0" w:line="240" w:lineRule="auto"/>
        <w:ind w:left="72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72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num" w:pos="426"/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 6.</w:t>
      </w:r>
    </w:p>
    <w:p w:rsidR="00690CAF" w:rsidRPr="00690CAF" w:rsidP="00690CAF">
      <w:pPr>
        <w:bidi w:val="0"/>
        <w:spacing w:after="0" w:line="240" w:lineRule="auto"/>
        <w:ind w:left="720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Doterajší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odsek 7 sa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uje ako odsek 6.</w:t>
      </w:r>
    </w:p>
    <w:p w:rsidR="00690CAF" w:rsidRPr="00690CAF" w:rsidP="00690CAF">
      <w:pPr>
        <w:bidi w:val="0"/>
        <w:spacing w:after="0" w:line="240" w:lineRule="auto"/>
        <w:ind w:left="72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num" w:pos="426"/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sa vkladá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5a,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tane nadpisu znie: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„§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5a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Prevzatie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 xml:space="preserve">(1)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si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ktoromkoľ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vek okresnom riaditeľ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stve,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uviedol pri podaní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 vydanie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preukazu, alebo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 doruč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na adresu na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zemí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Slovenskej republiky.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(2)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iadal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preukazu, je 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si ho najneskô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do 90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 podania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iadosti. 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(3) Za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osoba jemu blí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zka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po predlož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preukazu; za osobu maloletú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mladistvú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aj osoba uvedená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hyperlink r:id="rId5" w:history="1">
        <w:r w:rsidRPr="00690CAF">
          <w:rPr>
            <w:rFonts w:ascii="Times New Roman" w:eastAsia="MS ??" w:hAnsi="Times New Roman" w:cs="Times New Roman" w:hint="default"/>
            <w:bCs/>
            <w:sz w:val="24"/>
            <w:szCs w:val="24"/>
          </w:rPr>
          <w:t>§ </w:t>
        </w:r>
        <w:r w:rsidRPr="00690CAF">
          <w:rPr>
            <w:rFonts w:ascii="Times New Roman" w:eastAsia="MS ??" w:hAnsi="Times New Roman" w:cs="Times New Roman" w:hint="default"/>
            <w:bCs/>
            <w:sz w:val="24"/>
            <w:szCs w:val="24"/>
          </w:rPr>
          <w:t>6 ods. 2</w:t>
        </w:r>
      </w:hyperlink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 predlož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preukazu. Za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pozbavené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sobilosti na prá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vne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kony prevezme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jeho opatrovní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 po predlož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preukazu.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(4) Iný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 predlož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keho preukazu a plnomocenstva na zastupovanie s osvedč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m podpisom. </w:t>
      </w: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(5) Osvedč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plná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moc na zastupovanie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4 sa nevyž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aduje, ak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starší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ako 15 rokov pri podaní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splnomocní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prevzatie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ianskeho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preukazu iné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 skutoč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uvedie do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podpíš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pred orgá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nom,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vydá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va, alebo zastupiteľ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radom.</w:t>
      </w: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(6)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prevezme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odsekov 2 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5, je 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prevzatie potvrdiť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podpisom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; ak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nie je spô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sobilý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podpí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sa, uvedie sa 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 skutoč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iadosti.“.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Pozná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mka pod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iarou k odkazu 2a znie:</w:t>
      </w: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116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ka.“.</w:t>
      </w:r>
    </w:p>
    <w:p w:rsidR="00690CAF" w:rsidRPr="00690CAF" w:rsidP="00690CAF">
      <w:pPr>
        <w:tabs>
          <w:tab w:val="left" w:pos="142"/>
        </w:tabs>
        <w:bidi w:val="0"/>
        <w:spacing w:after="0" w:line="240" w:lineRule="auto"/>
        <w:ind w:left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7a sa za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 b)“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vkladajú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c)“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za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5,“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sa vkladajú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5a,“.</w:t>
      </w:r>
    </w:p>
    <w:p w:rsidR="00690CAF" w:rsidRPr="00690CAF" w:rsidP="00690CAF">
      <w:pPr>
        <w:bidi w:val="0"/>
        <w:spacing w:after="0" w:line="240" w:lineRule="auto"/>
        <w:ind w:left="360"/>
        <w:jc w:val="both"/>
        <w:rPr>
          <w:rFonts w:ascii="Times New Roman" w:eastAsia="MS ??" w:hAnsi="Times New Roman" w:cs="Times New Roman"/>
          <w:b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Za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7a sa vkladá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7b,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tane nadpisu znie:</w:t>
      </w:r>
    </w:p>
    <w:p w:rsidR="00690CAF" w:rsidRPr="00690CAF" w:rsidP="00690CAF">
      <w:pPr>
        <w:tabs>
          <w:tab w:val="left" w:pos="720"/>
        </w:tabs>
        <w:bidi w:val="0"/>
        <w:spacing w:after="0" w:line="240" w:lineRule="auto"/>
        <w:ind w:left="426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7b</w:t>
      </w:r>
    </w:p>
    <w:p w:rsidR="00690CAF" w:rsidRPr="00690CAF" w:rsidP="00690CAF">
      <w:pPr>
        <w:tabs>
          <w:tab w:val="left" w:pos="720"/>
        </w:tabs>
        <w:bidi w:val="0"/>
        <w:spacing w:after="0" w:line="240" w:lineRule="auto"/>
        <w:ind w:left="426"/>
        <w:jc w:val="center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Podanie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lu ministerstva 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6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nové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</w:t>
      </w:r>
    </w:p>
    <w:p w:rsidR="00690CAF" w:rsidRPr="00690CAF" w:rsidP="00690CAF">
      <w:pPr>
        <w:bidi w:val="0"/>
        <w:spacing w:after="0" w:line="240" w:lineRule="auto"/>
        <w:ind w:left="709" w:hanging="283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a)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d), ak ide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najskô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180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 skonč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doby platnosti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ianskeho preukazu, alebo </w:t>
      </w:r>
    </w:p>
    <w:p w:rsidR="00690CAF" w:rsidRPr="00690CAF" w:rsidP="00690CAF">
      <w:pPr>
        <w:bidi w:val="0"/>
        <w:spacing w:after="0" w:line="240" w:lineRule="auto"/>
        <w:ind w:left="709" w:hanging="283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b)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c), ak ide o zmenu trvalé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ho pobytu. </w:t>
      </w:r>
    </w:p>
    <w:p w:rsidR="00690CAF" w:rsidRPr="00690CAF" w:rsidP="00690CAF">
      <w:pPr>
        <w:bidi w:val="0"/>
        <w:spacing w:after="0" w:line="240" w:lineRule="auto"/>
        <w:ind w:left="426" w:firstLine="425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6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 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 podať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len vtedy, ak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anovi 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bol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elektronický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ipom a podoba tvá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podpis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evidencii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ianskych preukazov, evidencii cestovný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dokladov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2b</w:t>
      </w:r>
      <w:r w:rsidRPr="00690CAF">
        <w:rPr>
          <w:rFonts w:ascii="Times New Roman" w:eastAsia="MS ??" w:hAnsi="Times New Roman" w:cs="Times New Roman"/>
          <w:sz w:val="24"/>
          <w:szCs w:val="24"/>
        </w:rPr>
        <w:t>) alebo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evidencii vodič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ov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2c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starš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ako päť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rokov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hlasí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ich použ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ití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pri podaní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p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ministerstva; ak ide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mladš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ieho ako 18 rokov, podoba tvá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podpis nesmú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byť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starš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ako tri roky.</w:t>
      </w:r>
    </w:p>
    <w:p w:rsidR="00690CAF" w:rsidRPr="00690CAF" w:rsidP="00690CAF">
      <w:pPr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6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Pri podaní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 nemož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uviesť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daje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3 ods. 3, ak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 sú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evidencii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ianskych preukazov.</w:t>
      </w:r>
    </w:p>
    <w:p w:rsidR="00690CAF" w:rsidRPr="00690CAF" w:rsidP="00690CAF">
      <w:pPr>
        <w:bidi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6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firstLine="425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iadal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ministerstva, je 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osobne najneskô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do 90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podania 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 na okresnom riaditeľ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stve,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uv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iedol 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iadosti; prevzatie je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povinný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potvrdiť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svojí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podpisom.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na prevzatie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preukazu,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iadal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ministerstva, nemôž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splnomocniť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inú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osobu, ani za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ana nemôž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prevziať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osoba blí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zka ale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o osoba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2.“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. </w:t>
      </w:r>
    </w:p>
    <w:p w:rsidR="00690CAF" w:rsidRPr="00690CAF" w:rsidP="00690CAF">
      <w:pPr>
        <w:bidi w:val="0"/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left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Pozná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mky pod 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iarou k odkazom 2b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2c znejú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:</w:t>
      </w:r>
    </w:p>
    <w:p w:rsidR="00690CAF" w:rsidRPr="00690CAF" w:rsidP="00690CAF">
      <w:pPr>
        <w:bidi w:val="0"/>
        <w:spacing w:after="0" w:line="240" w:lineRule="auto"/>
        <w:ind w:left="851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2b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29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i)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j)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647/2007 Z. z.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cestovný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dokladoch a o zmene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doplnení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konov.</w:t>
      </w:r>
    </w:p>
    <w:p w:rsidR="00690CAF" w:rsidRPr="00690CAF" w:rsidP="00690CAF">
      <w:pPr>
        <w:bidi w:val="0"/>
        <w:spacing w:after="0" w:line="240" w:lineRule="auto"/>
        <w:ind w:left="851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  <w:vertAlign w:val="superscript"/>
        </w:rPr>
        <w:t>2c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)  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107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k)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kona č.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8/2009 Z. z. o cestnej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premá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vke a 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zmene a doplnení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niektorý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ch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konov.“.</w:t>
      </w:r>
    </w:p>
    <w:p w:rsidR="00690CAF" w:rsidRPr="00690CAF" w:rsidP="00690CAF">
      <w:pPr>
        <w:bidi w:val="0"/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V §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10 ods. 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smeno b) znie:</w:t>
      </w:r>
    </w:p>
    <w:p w:rsidR="00690CAF" w:rsidRPr="00690CAF" w:rsidP="00690CAF">
      <w:pPr>
        <w:bidi w:val="0"/>
        <w:spacing w:after="0" w:line="240" w:lineRule="auto"/>
        <w:ind w:left="851" w:hanging="425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b)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an stratil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alebo ak mu bol odcudzený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to skutoč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bola ohlá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okresné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 riaditeľ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stvu, ktoré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mukoľ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vek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tvaru Policajné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zboru, zastupiteľ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radu alebo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ministerstva, alebo ak bol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na okresné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riaditeľ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stvo,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vek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tvar Policajné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zboru alebo zastupiteľ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odovzdaný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ako 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lez,“.</w:t>
      </w:r>
    </w:p>
    <w:p w:rsidR="00690CAF" w:rsidRPr="00690CAF" w:rsidP="00690CAF">
      <w:pPr>
        <w:bidi w:val="0"/>
        <w:spacing w:after="0" w:line="240" w:lineRule="auto"/>
        <w:ind w:left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10 sa dopĺň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odsekom 4, ktorý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znie:</w:t>
      </w:r>
    </w:p>
    <w:p w:rsidR="00690CAF" w:rsidRPr="00690CAF" w:rsidP="00690CAF">
      <w:pPr>
        <w:bidi w:val="0"/>
        <w:spacing w:after="0" w:line="240" w:lineRule="auto"/>
        <w:ind w:left="426" w:firstLine="282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(4)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vodov uvedený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ch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odseku 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a) sa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iansky preukaz eviduje ako odcudzený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, ak nedoš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lo k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jeho odovzdaniu.“.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num" w:pos="426"/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hanging="720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smeno b) znie: </w:t>
      </w:r>
    </w:p>
    <w:p w:rsidR="00690CAF" w:rsidRPr="00690CAF" w:rsidP="00690CAF">
      <w:pPr>
        <w:bidi w:val="0"/>
        <w:spacing w:after="0" w:line="240" w:lineRule="auto"/>
        <w:ind w:left="708" w:hanging="282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b)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okresné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riaditeľ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stvo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nové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do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30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od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neplatnosti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preukazu; ak ide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neplatnosť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10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b) alebo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c) alebo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 zmeny mena alebo priezviska,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aj zastupiteľ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ský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rad a ak ide o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vydanie nové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podľ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7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d) najskô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r 180 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pred skon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 doby platnosti obč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ianskeho preukazu alebo z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dô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vodu zmeny trvalé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ho pobytu, môž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 pož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iadať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aj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ministerstva,“.</w:t>
      </w: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 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e) sa na konci pripá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ja tieto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alebo prostrední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ctvom portá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lu ministerstva,“.</w:t>
      </w:r>
    </w:p>
    <w:p w:rsidR="00690CAF" w:rsidRPr="00690CAF" w:rsidP="00690CAF">
      <w:pPr>
        <w:bidi w:val="0"/>
        <w:spacing w:after="0" w:line="240" w:lineRule="auto"/>
        <w:ind w:left="72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tabs>
          <w:tab w:val="num" w:pos="426"/>
          <w:tab w:val="clear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11 ods. 1 sa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smeno j).</w:t>
      </w:r>
    </w:p>
    <w:p w:rsidR="00690CAF" w:rsidRPr="00690CAF" w:rsidP="00690CAF">
      <w:pPr>
        <w:bidi w:val="0"/>
        <w:spacing w:after="0" w:line="240" w:lineRule="auto"/>
        <w:ind w:left="720"/>
        <w:contextualSpacing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Doterajš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ie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k) 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m) sa označ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ujú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ako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smená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j) až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l).</w:t>
      </w:r>
    </w:p>
    <w:p w:rsidR="00690CAF" w:rsidRPr="00690CAF" w:rsidP="00690CAF">
      <w:pPr>
        <w:bidi w:val="0"/>
        <w:spacing w:after="0" w:line="240" w:lineRule="auto"/>
        <w:ind w:firstLine="426"/>
        <w:contextualSpacing/>
        <w:jc w:val="both"/>
        <w:rPr>
          <w:rFonts w:ascii="Times New Roman" w:eastAsia="MS ??" w:hAnsi="Times New Roman" w:cs="Times New Roman" w:hint="default"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14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pí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sm.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m) sa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6“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nahrá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dzajú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slovami „§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5a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2“.</w:t>
      </w:r>
    </w:p>
    <w:p w:rsidR="00690CAF" w:rsidRPr="00690CAF" w:rsidP="00690CAF">
      <w:pPr>
        <w:bidi w:val="0"/>
        <w:spacing w:after="0" w:line="240" w:lineRule="auto"/>
        <w:ind w:left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15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ajú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slová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vnú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tra Slovenskej republiky“.</w:t>
      </w:r>
    </w:p>
    <w:p w:rsidR="00690CAF" w:rsidRPr="00690CAF" w:rsidP="00690CAF">
      <w:pPr>
        <w:bidi w:val="0"/>
        <w:spacing w:after="0" w:line="240" w:lineRule="auto"/>
        <w:ind w:left="426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numPr>
          <w:numId w:val="25"/>
        </w:numPr>
        <w:overflowPunct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/>
          <w:sz w:val="24"/>
          <w:szCs w:val="24"/>
        </w:rPr>
        <w:t>V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§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17a ods. 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6 sa vypúšť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a 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slovo „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platný“.</w:t>
      </w:r>
    </w:p>
    <w:p w:rsidR="00690CAF" w:rsidRPr="00690CAF" w:rsidP="00690CAF">
      <w:pPr>
        <w:bidi w:val="0"/>
        <w:spacing w:after="0" w:line="240" w:lineRule="auto"/>
        <w:jc w:val="both"/>
        <w:rPr>
          <w:rFonts w:ascii="Times New Roman" w:eastAsia="MS ??" w:hAnsi="Times New Roman" w:cs="Times New Roman"/>
          <w:bCs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 w:hint="default"/>
          <w:b/>
          <w:bCs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Č</w:t>
      </w:r>
      <w:r w:rsidRPr="00690CAF">
        <w:rPr>
          <w:rFonts w:ascii="Times New Roman" w:eastAsia="MS ??" w:hAnsi="Times New Roman" w:cs="Times New Roman" w:hint="default"/>
          <w:b/>
          <w:bCs/>
          <w:sz w:val="24"/>
          <w:szCs w:val="24"/>
        </w:rPr>
        <w:t>l. VI</w:t>
      </w:r>
    </w:p>
    <w:p w:rsidR="00690CAF" w:rsidRPr="00690CAF" w:rsidP="00690CAF">
      <w:pPr>
        <w:bidi w:val="0"/>
        <w:spacing w:after="0" w:line="240" w:lineRule="auto"/>
        <w:jc w:val="center"/>
        <w:rPr>
          <w:rFonts w:ascii="Times New Roman" w:eastAsia="MS ??" w:hAnsi="Times New Roman" w:cs="Times New Roman"/>
          <w:sz w:val="24"/>
          <w:szCs w:val="24"/>
        </w:rPr>
      </w:pPr>
    </w:p>
    <w:p w:rsidR="00690CAF" w:rsidRPr="00690CAF" w:rsidP="00690CAF">
      <w:pPr>
        <w:bidi w:val="0"/>
        <w:spacing w:after="0" w:line="240" w:lineRule="auto"/>
        <w:ind w:firstLine="426"/>
        <w:jc w:val="both"/>
        <w:rPr>
          <w:rFonts w:ascii="Times New Roman" w:eastAsia="MS ??" w:hAnsi="Times New Roman" w:cs="Times New Roman" w:hint="default"/>
          <w:sz w:val="24"/>
          <w:szCs w:val="24"/>
        </w:rPr>
      </w:pPr>
      <w:r w:rsidRPr="00690CAF">
        <w:rPr>
          <w:rFonts w:ascii="Times New Roman" w:eastAsia="MS ??" w:hAnsi="Times New Roman" w:cs="Times New Roman" w:hint="default"/>
          <w:sz w:val="24"/>
          <w:szCs w:val="24"/>
        </w:rPr>
        <w:t>Tento zá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kon nadobú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da úč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innosť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 xml:space="preserve"> 1. jú</w:t>
      </w:r>
      <w:r w:rsidRPr="00690CAF">
        <w:rPr>
          <w:rFonts w:ascii="Times New Roman" w:eastAsia="MS ??" w:hAnsi="Times New Roman" w:cs="Times New Roman" w:hint="default"/>
          <w:sz w:val="24"/>
          <w:szCs w:val="24"/>
        </w:rPr>
        <w:t>la 2015.</w:t>
      </w:r>
    </w:p>
    <w:p w:rsidR="00690CAF" w:rsidRPr="00690CAF" w:rsidP="00690CAF">
      <w:pPr>
        <w:bidi w:val="0"/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E610B8" w:rsidRPr="00690CAF" w:rsidP="00690CAF">
      <w:pPr>
        <w:bidi w:val="0"/>
      </w:pPr>
    </w:p>
    <w:sectPr w:rsidSect="000A74E3">
      <w:footerReference w:type="even" r:id="rId6"/>
      <w:footerReference w:type="defaul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8E" w:rsidP="001C6F29">
    <w:pPr>
      <w:pStyle w:val="Footer"/>
      <w:framePr w:wrap="around" w:vAnchor="text" w:hAnchor="margin" w:xAlign="center"/>
      <w:bidi w:val="0"/>
      <w:rPr>
        <w:rStyle w:val="PageNumber"/>
      </w:rPr>
    </w:pPr>
    <w:r w:rsidR="00994302">
      <w:rPr>
        <w:rStyle w:val="PageNumber"/>
      </w:rPr>
      <w:fldChar w:fldCharType="begin"/>
    </w:r>
    <w:r w:rsidR="00994302">
      <w:rPr>
        <w:rStyle w:val="PageNumber"/>
      </w:rPr>
      <w:instrText xml:space="preserve">PAGE  </w:instrText>
    </w:r>
    <w:r w:rsidR="00994302">
      <w:rPr>
        <w:rStyle w:val="PageNumber"/>
      </w:rPr>
      <w:fldChar w:fldCharType="separate"/>
    </w:r>
    <w:r w:rsidR="00994302">
      <w:rPr>
        <w:rStyle w:val="PageNumber"/>
      </w:rPr>
      <w:fldChar w:fldCharType="end"/>
    </w:r>
  </w:p>
  <w:p w:rsidR="00A0338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38E" w:rsidP="001C6F29">
    <w:pPr>
      <w:pStyle w:val="Footer"/>
      <w:framePr w:wrap="around" w:vAnchor="text" w:hAnchor="margin" w:xAlign="center"/>
      <w:bidi w:val="0"/>
      <w:rPr>
        <w:rStyle w:val="PageNumber"/>
      </w:rPr>
    </w:pPr>
    <w:r w:rsidR="00994302">
      <w:rPr>
        <w:rStyle w:val="PageNumber"/>
      </w:rPr>
      <w:fldChar w:fldCharType="begin"/>
    </w:r>
    <w:r w:rsidR="00994302">
      <w:rPr>
        <w:rStyle w:val="PageNumber"/>
      </w:rPr>
      <w:instrText xml:space="preserve">PAGE  </w:instrText>
    </w:r>
    <w:r w:rsidR="00994302">
      <w:rPr>
        <w:rStyle w:val="PageNumber"/>
      </w:rPr>
      <w:fldChar w:fldCharType="separate"/>
    </w:r>
    <w:r w:rsidR="004F3FD2">
      <w:rPr>
        <w:rStyle w:val="PageNumber"/>
        <w:noProof/>
      </w:rPr>
      <w:t>12</w:t>
    </w:r>
    <w:r w:rsidR="00994302">
      <w:rPr>
        <w:rStyle w:val="PageNumber"/>
      </w:rPr>
      <w:fldChar w:fldCharType="end"/>
    </w:r>
  </w:p>
  <w:p w:rsidR="00A0338E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516" w:rsidP="00690CAF">
      <w:pPr>
        <w:bidi w:val="0"/>
        <w:spacing w:after="0" w:line="240" w:lineRule="auto"/>
      </w:pPr>
      <w:r>
        <w:separator/>
      </w:r>
    </w:p>
  </w:footnote>
  <w:footnote w:type="continuationSeparator" w:id="1">
    <w:p w:rsidR="00AA3516" w:rsidP="00690CAF">
      <w:pPr>
        <w:bidi w:val="0"/>
        <w:spacing w:after="0" w:line="240" w:lineRule="auto"/>
      </w:pPr>
      <w:r>
        <w:continuationSeparator/>
      </w:r>
    </w:p>
  </w:footnote>
  <w:footnote w:id="2">
    <w:p w:rsidP="00690CAF">
      <w:pPr>
        <w:pStyle w:val="FootnoteText"/>
        <w:bidi w:val="0"/>
        <w:ind w:left="142" w:hanging="142"/>
      </w:pPr>
      <w:r w:rsidRPr="00280E5D" w:rsidR="00690CAF">
        <w:rPr>
          <w:rStyle w:val="FootnoteReference"/>
          <w:rFonts w:ascii="Times New Roman" w:hAnsi="Times New Roman"/>
        </w:rPr>
        <w:footnoteRef/>
      </w:r>
      <w:r w:rsidRPr="00280E5D" w:rsidR="00690CAF">
        <w:rPr>
          <w:rFonts w:ascii="Times New Roman" w:hAnsi="Times New Roman" w:cs="Times New Roman"/>
          <w:vertAlign w:val="superscript"/>
        </w:rPr>
        <w:t>)</w:t>
      </w:r>
      <w:r w:rsidRPr="00280E5D" w:rsidR="00690CAF">
        <w:rPr>
          <w:rFonts w:ascii="Times New Roman" w:hAnsi="Times New Roman" w:cs="Times New Roman"/>
        </w:rPr>
        <w:t>§ 43b zákona č. 50/1976 Zb. o územnom plánovaní a stavebnom poriadku (stavebný zákon) v znení zákona č. 237/2000 Z. z.</w:t>
      </w:r>
    </w:p>
  </w:footnote>
  <w:footnote w:id="3">
    <w:p w:rsidR="00690CAF" w:rsidRPr="00280E5D" w:rsidP="00690CAF">
      <w:pPr>
        <w:pStyle w:val="FootnoteText"/>
        <w:bidi w:val="0"/>
        <w:ind w:left="142" w:hanging="142"/>
        <w:rPr>
          <w:rFonts w:ascii="Times New Roman" w:hAnsi="Times New Roman" w:cs="Times New Roman"/>
        </w:rPr>
      </w:pPr>
      <w:r w:rsidRPr="00280E5D">
        <w:rPr>
          <w:rStyle w:val="FootnoteReference"/>
          <w:rFonts w:ascii="Times New Roman" w:hAnsi="Times New Roman"/>
        </w:rPr>
        <w:footnoteRef/>
      </w:r>
      <w:r w:rsidRPr="00280E5D">
        <w:rPr>
          <w:rFonts w:ascii="Times New Roman" w:hAnsi="Times New Roman" w:cs="Times New Roman"/>
          <w:vertAlign w:val="superscript"/>
        </w:rPr>
        <w:t>)</w:t>
      </w:r>
      <w:r w:rsidRPr="00280E5D">
        <w:rPr>
          <w:rFonts w:ascii="Times New Roman" w:hAnsi="Times New Roman" w:cs="Times New Roman"/>
        </w:rPr>
        <w:t>§ 43c zákona č. 50/1976 Zb. v znení zákona č. 237/2000 Z. z.</w:t>
      </w:r>
    </w:p>
    <w:p w:rsidP="00690CAF">
      <w:pPr>
        <w:pStyle w:val="FootnoteText"/>
        <w:bidi w:val="0"/>
        <w:ind w:left="142" w:hanging="142"/>
      </w:pPr>
    </w:p>
  </w:footnote>
  <w:footnote w:id="4">
    <w:p w:rsidP="00690CAF">
      <w:pPr>
        <w:pStyle w:val="FootnoteText"/>
        <w:bidi w:val="0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Style w:val="FootnoteReference"/>
          <w:rFonts w:ascii="Times New Roman" w:hAnsi="Times New Roman"/>
        </w:rPr>
        <w:t>)</w:t>
      </w:r>
      <w:r w:rsidRPr="00690CAF" w:rsidR="00690CAF">
        <w:rPr>
          <w:rFonts w:ascii="Times New Roman" w:hAnsi="Times New Roman" w:cs="Times New Roman"/>
        </w:rPr>
        <w:t>§ 2 písm. g) zákona č. 3/2010 Z. z. o národnej infraštruktúre pre priestorové informácie.</w:t>
      </w:r>
    </w:p>
  </w:footnote>
  <w:footnote w:id="5">
    <w:p w:rsidP="00690CAF">
      <w:pPr>
        <w:pStyle w:val="FootnoteText"/>
        <w:bidi w:val="0"/>
        <w:ind w:left="142" w:hanging="142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>)</w:t>
      </w:r>
      <w:r w:rsidRPr="00690CAF" w:rsidR="00690CAF">
        <w:rPr>
          <w:rFonts w:ascii="Times New Roman" w:hAnsi="Times New Roman" w:cs="Times New Roman"/>
        </w:rPr>
        <w:t>§ 2b ods. 1 zákona Slovenskej národnej rady č. 369/1990 Zb. o obecnom zriadení v znení zákona č. 453/2001 Z. z.</w:t>
      </w:r>
    </w:p>
  </w:footnote>
  <w:footnote w:id="6">
    <w:p w:rsidP="00690CAF">
      <w:pPr>
        <w:bidi w:val="0"/>
        <w:spacing w:after="0" w:line="240" w:lineRule="auto"/>
        <w:ind w:left="142" w:hanging="142"/>
      </w:pPr>
      <w:r w:rsidRPr="00690CAF" w:rsidR="00690CA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90CAF" w:rsidR="00690CA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0CAF" w:rsidR="00690CAF">
        <w:rPr>
          <w:rFonts w:ascii="Times New Roman" w:hAnsi="Times New Roman" w:cs="Times New Roman"/>
          <w:sz w:val="20"/>
          <w:szCs w:val="20"/>
        </w:rPr>
        <w:t>§ 2 písm. b) zákona č. 275/2006 Z. z. o informačných systémoch verejnej správy a o zmene a doplnení niektorých zákonov v znení zákona č. 570/2009 Z. z.</w:t>
      </w:r>
    </w:p>
  </w:footnote>
  <w:footnote w:id="7">
    <w:p w:rsidP="00690CAF">
      <w:pPr>
        <w:bidi w:val="0"/>
        <w:spacing w:after="0" w:line="240" w:lineRule="auto"/>
        <w:ind w:left="142" w:hanging="142"/>
      </w:pPr>
      <w:r w:rsidRPr="00690CAF" w:rsidR="00690CA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90CAF" w:rsidR="00690CA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0CAF" w:rsidR="00690CAF">
        <w:rPr>
          <w:rFonts w:ascii="Times New Roman" w:hAnsi="Times New Roman" w:cs="Times New Roman"/>
          <w:sz w:val="20"/>
          <w:szCs w:val="20"/>
        </w:rPr>
        <w:t>§ 8 ods. 4 písm. a) zákona č. 324/2011 Z. z. o poštových službách a o zmene a doplnení niektorých zákonov v znení zákona č. ...../2015 Z. z.</w:t>
      </w:r>
    </w:p>
  </w:footnote>
  <w:footnote w:id="8">
    <w:p w:rsidP="00690CAF">
      <w:pPr>
        <w:tabs>
          <w:tab w:val="left" w:pos="284"/>
        </w:tabs>
        <w:bidi w:val="0"/>
        <w:spacing w:after="0" w:line="240" w:lineRule="auto"/>
        <w:ind w:left="284" w:hanging="284"/>
      </w:pPr>
      <w:r w:rsidRPr="00690CAF" w:rsidR="00690CA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90CAF" w:rsidR="00690CAF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690CAF" w:rsidR="00690CAF">
        <w:rPr>
          <w:rFonts w:ascii="Times New Roman" w:hAnsi="Times New Roman" w:cs="Times New Roman"/>
          <w:sz w:val="20"/>
          <w:szCs w:val="20"/>
        </w:rPr>
        <w:t>§ 139b ods. 9 zákona č. 50/1976 Zb. v znení neskorších predpisov.</w:t>
      </w:r>
    </w:p>
  </w:footnote>
  <w:footnote w:id="9">
    <w:p w:rsidP="00690CAF">
      <w:pPr>
        <w:pStyle w:val="FootnoteText"/>
        <w:tabs>
          <w:tab w:val="left" w:pos="284"/>
        </w:tabs>
        <w:bidi w:val="0"/>
        <w:ind w:left="284" w:hanging="284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 xml:space="preserve">) </w:t>
      </w:r>
      <w:r w:rsidRPr="00690CAF" w:rsidR="00690CAF">
        <w:rPr>
          <w:rFonts w:ascii="Times New Roman" w:hAnsi="Times New Roman" w:cs="Times New Roman"/>
        </w:rPr>
        <w:t>§ 139b ods. 10 zákona č. 50/1976 Zb. v znení neskorších predpisov.</w:t>
      </w:r>
    </w:p>
  </w:footnote>
  <w:footnote w:id="10">
    <w:p w:rsidP="00690CAF">
      <w:pPr>
        <w:tabs>
          <w:tab w:val="left" w:pos="284"/>
        </w:tabs>
        <w:bidi w:val="0"/>
        <w:spacing w:after="0" w:line="240" w:lineRule="auto"/>
        <w:ind w:left="284" w:hanging="284"/>
      </w:pPr>
      <w:r w:rsidRPr="00690CAF" w:rsidR="00690CAF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90CAF" w:rsidR="00690CA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0CAF" w:rsidR="00690CAF">
        <w:rPr>
          <w:rFonts w:ascii="Times New Roman" w:hAnsi="Times New Roman" w:cs="Times New Roman"/>
          <w:sz w:val="20"/>
          <w:szCs w:val="20"/>
        </w:rPr>
        <w:t xml:space="preserve"> Zákon č. 541/2004 Z. z. o mierovom využívaní jadrovej energie (atómový zákon) a o zmene a doplnení niektorých zákonov v znení niektorých predpisov.</w:t>
      </w:r>
    </w:p>
  </w:footnote>
  <w:footnote w:id="11">
    <w:p w:rsidP="00690CAF">
      <w:pPr>
        <w:pStyle w:val="FootnoteText"/>
        <w:tabs>
          <w:tab w:val="left" w:pos="284"/>
        </w:tabs>
        <w:bidi w:val="0"/>
        <w:ind w:left="284" w:hanging="284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>)</w:t>
      </w:r>
      <w:r w:rsidRPr="00690CAF" w:rsidR="00690CAF">
        <w:rPr>
          <w:rFonts w:ascii="Times New Roman" w:hAnsi="Times New Roman" w:cs="Times New Roman"/>
        </w:rPr>
        <w:t xml:space="preserve"> § 3 ods. 1 zákona č. 324/2011 Z. z. </w:t>
      </w:r>
    </w:p>
  </w:footnote>
  <w:footnote w:id="12">
    <w:p w:rsidP="00690CAF">
      <w:pPr>
        <w:pStyle w:val="FootnoteText"/>
        <w:bidi w:val="0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>)</w:t>
      </w:r>
      <w:r w:rsidRPr="00690CAF" w:rsidR="00690CAF">
        <w:rPr>
          <w:rFonts w:ascii="Times New Roman" w:hAnsi="Times New Roman" w:cs="Times New Roman"/>
        </w:rPr>
        <w:t xml:space="preserve"> § 6 zákona č. 275/2006 Z. z. v znení neskorších predpisov.</w:t>
      </w:r>
    </w:p>
  </w:footnote>
  <w:footnote w:id="13">
    <w:p w:rsidP="00690CAF">
      <w:pPr>
        <w:pStyle w:val="FootnoteText"/>
        <w:bidi w:val="0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>)</w:t>
      </w:r>
      <w:r w:rsidRPr="00690CAF" w:rsidR="00690CAF">
        <w:rPr>
          <w:rFonts w:ascii="Times New Roman" w:hAnsi="Times New Roman" w:cs="Times New Roman"/>
        </w:rPr>
        <w:t xml:space="preserve"> § 7 zákona č. 275/2006 Z. z. v znení neskorších predpisov.</w:t>
      </w:r>
    </w:p>
  </w:footnote>
  <w:footnote w:id="14">
    <w:p w:rsidP="00690CAF">
      <w:pPr>
        <w:pStyle w:val="FootnoteText"/>
        <w:bidi w:val="0"/>
        <w:ind w:left="284" w:hanging="284"/>
      </w:pPr>
      <w:r w:rsidRPr="00690CAF" w:rsidR="00690CAF">
        <w:rPr>
          <w:rStyle w:val="FootnoteReference"/>
          <w:rFonts w:ascii="Times New Roman" w:hAnsi="Times New Roman"/>
        </w:rPr>
        <w:footnoteRef/>
      </w:r>
      <w:r w:rsidRPr="00690CAF" w:rsidR="00690CAF">
        <w:rPr>
          <w:rFonts w:ascii="Times New Roman" w:hAnsi="Times New Roman" w:cs="Times New Roman"/>
          <w:vertAlign w:val="superscript"/>
        </w:rPr>
        <w:t>)</w:t>
      </w:r>
      <w:r w:rsidRPr="00690CAF" w:rsidR="00690CAF">
        <w:rPr>
          <w:rFonts w:ascii="Times New Roman" w:hAnsi="Times New Roman" w:cs="Times New Roman"/>
        </w:rPr>
        <w:t xml:space="preserve"> Zákon č. 211/2000 Z. z. o slobodnom prístupe k informáciám a o zmene a doplnení niektorých zákonov (zákon o slobode informácií)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354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1947D22"/>
    <w:multiLevelType w:val="hybridMultilevel"/>
    <w:tmpl w:val="5980FD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4A1F2A"/>
    <w:multiLevelType w:val="hybridMultilevel"/>
    <w:tmpl w:val="A8147E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D72CFE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F8439D7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0D7218D"/>
    <w:multiLevelType w:val="hybridMultilevel"/>
    <w:tmpl w:val="023C1D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27E760D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2D49032A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391D56C5"/>
    <w:multiLevelType w:val="hybridMultilevel"/>
    <w:tmpl w:val="023C1D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9801EB"/>
    <w:multiLevelType w:val="hybridMultilevel"/>
    <w:tmpl w:val="1180C6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FC6CF7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3C6E0A8D"/>
    <w:multiLevelType w:val="hybridMultilevel"/>
    <w:tmpl w:val="09BA7F44"/>
    <w:lvl w:ilvl="0">
      <w:start w:val="1"/>
      <w:numFmt w:val="decimal"/>
      <w:lvlText w:val="(%1)"/>
      <w:lvlJc w:val="left"/>
      <w:pPr>
        <w:ind w:left="15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12">
    <w:nsid w:val="4136764B"/>
    <w:multiLevelType w:val="hybridMultilevel"/>
    <w:tmpl w:val="52A264D8"/>
    <w:lvl w:ilvl="0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2C878F2"/>
    <w:multiLevelType w:val="hybridMultilevel"/>
    <w:tmpl w:val="52748788"/>
    <w:lvl w:ilvl="0">
      <w:start w:val="2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3F35EC4"/>
    <w:multiLevelType w:val="hybridMultilevel"/>
    <w:tmpl w:val="52A264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002764E"/>
    <w:multiLevelType w:val="hybridMultilevel"/>
    <w:tmpl w:val="DB3C165A"/>
    <w:lvl w:ilvl="0">
      <w:start w:val="1"/>
      <w:numFmt w:val="decimal"/>
      <w:lvlText w:val="(%1)"/>
      <w:lvlJc w:val="left"/>
      <w:pPr>
        <w:ind w:left="15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309166E"/>
    <w:multiLevelType w:val="hybridMultilevel"/>
    <w:tmpl w:val="4CB89E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3103879"/>
    <w:multiLevelType w:val="hybridMultilevel"/>
    <w:tmpl w:val="023C1D5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8406B6"/>
    <w:multiLevelType w:val="hybridMultilevel"/>
    <w:tmpl w:val="52A264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F65243"/>
    <w:multiLevelType w:val="hybridMultilevel"/>
    <w:tmpl w:val="52A264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787FD4"/>
    <w:multiLevelType w:val="hybridMultilevel"/>
    <w:tmpl w:val="5980FD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CB073B"/>
    <w:multiLevelType w:val="hybridMultilevel"/>
    <w:tmpl w:val="023C1D50"/>
    <w:lvl w:ilvl="0">
      <w:start w:val="1"/>
      <w:numFmt w:val="decimal"/>
      <w:lvlText w:val="(%1)"/>
      <w:lvlJc w:val="left"/>
      <w:pPr>
        <w:ind w:left="29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5A87AF6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6130E13"/>
    <w:multiLevelType w:val="hybridMultilevel"/>
    <w:tmpl w:val="0F14E750"/>
    <w:lvl w:ilvl="0">
      <w:start w:val="1"/>
      <w:numFmt w:val="decimal"/>
      <w:lvlText w:val="(%1)"/>
      <w:lvlJc w:val="left"/>
      <w:pPr>
        <w:ind w:left="846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5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6" w:hanging="180"/>
      </w:pPr>
      <w:rPr>
        <w:rFonts w:cs="Times New Roman"/>
        <w:rtl w:val="0"/>
        <w:cs w:val="0"/>
      </w:rPr>
    </w:lvl>
  </w:abstractNum>
  <w:abstractNum w:abstractNumId="24">
    <w:nsid w:val="7AFC6A6C"/>
    <w:multiLevelType w:val="hybridMultilevel"/>
    <w:tmpl w:val="CAF0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650"/>
        </w:tabs>
        <w:ind w:left="1650" w:hanging="390"/>
      </w:pPr>
      <w:rPr>
        <w:rFonts w:cs="Times New Roman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1F6815"/>
    <w:multiLevelType w:val="hybridMultilevel"/>
    <w:tmpl w:val="38906D2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4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19"/>
  </w:num>
  <w:num w:numId="12">
    <w:abstractNumId w:val="18"/>
  </w:num>
  <w:num w:numId="13">
    <w:abstractNumId w:val="22"/>
  </w:num>
  <w:num w:numId="14">
    <w:abstractNumId w:val="13"/>
  </w:num>
  <w:num w:numId="15">
    <w:abstractNumId w:val="8"/>
  </w:num>
  <w:num w:numId="16">
    <w:abstractNumId w:val="21"/>
  </w:num>
  <w:num w:numId="17">
    <w:abstractNumId w:val="25"/>
  </w:num>
  <w:num w:numId="18">
    <w:abstractNumId w:val="5"/>
  </w:num>
  <w:num w:numId="19">
    <w:abstractNumId w:val="9"/>
  </w:num>
  <w:num w:numId="20">
    <w:abstractNumId w:val="15"/>
  </w:num>
  <w:num w:numId="21">
    <w:abstractNumId w:val="17"/>
  </w:num>
  <w:num w:numId="22">
    <w:abstractNumId w:val="1"/>
  </w:num>
  <w:num w:numId="23">
    <w:abstractNumId w:val="20"/>
  </w:num>
  <w:num w:numId="24">
    <w:abstractNumId w:val="6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690CAF"/>
    <w:rsid w:val="000C7B9D"/>
    <w:rsid w:val="001C6F29"/>
    <w:rsid w:val="00280E5D"/>
    <w:rsid w:val="004F3FD2"/>
    <w:rsid w:val="00690CAF"/>
    <w:rsid w:val="008E763B"/>
    <w:rsid w:val="00994302"/>
    <w:rsid w:val="00A0338E"/>
    <w:rsid w:val="00AA3516"/>
    <w:rsid w:val="00E610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0CA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90CAF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690CA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90CAF"/>
    <w:rPr>
      <w:rFonts w:cs="Times New Roman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0CAF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90CAF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690CAF"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rsid w:val="00690CA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690CA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javascript:%20fZzSRInternal('30889',%20'13735669',%20'13735669',%20'4908130',%20'4908130',%20'0')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3735</Words>
  <Characters>21291</Characters>
  <Application>Microsoft Office Word</Application>
  <DocSecurity>0</DocSecurity>
  <Lines>0</Lines>
  <Paragraphs>0</Paragraphs>
  <ScaleCrop>false</ScaleCrop>
  <Company>MVSR</Company>
  <LinksUpToDate>false</LinksUpToDate>
  <CharactersWithSpaces>24977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2015-02-20T13:50:00Z</dcterms:created>
  <dcterms:modified xsi:type="dcterms:W3CDTF">2015-02-20T13:50:00Z</dcterms:modified>
</cp:coreProperties>
</file>