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47B1" w:rsidRPr="003E65A6" w:rsidP="00BE60E9">
      <w:pPr>
        <w:suppressAutoHyphens/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E65A6">
        <w:rPr>
          <w:rFonts w:ascii="Times New Roman" w:hAnsi="Times New Roman"/>
          <w:b/>
          <w:sz w:val="28"/>
          <w:szCs w:val="28"/>
          <w:lang w:eastAsia="ar-SA"/>
        </w:rPr>
        <w:t>TABUĽKA ZHODY</w:t>
      </w:r>
    </w:p>
    <w:p w:rsidR="00BE47B1" w:rsidRPr="003E65A6" w:rsidP="00BE60E9">
      <w:pPr>
        <w:suppressAutoHyphens/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E65A6">
        <w:rPr>
          <w:rFonts w:ascii="Times New Roman" w:hAnsi="Times New Roman"/>
          <w:b/>
          <w:sz w:val="28"/>
          <w:szCs w:val="28"/>
          <w:lang w:eastAsia="ar-SA"/>
        </w:rPr>
        <w:t>právneho predpisu s právom Európskej únie</w:t>
      </w:r>
    </w:p>
    <w:tbl>
      <w:tblPr>
        <w:tblStyle w:val="TableNormal"/>
        <w:tblW w:w="0" w:type="auto"/>
        <w:tblInd w:w="-595" w:type="dxa"/>
        <w:tblLayout w:type="fixed"/>
        <w:tblCellMar>
          <w:left w:w="43" w:type="dxa"/>
          <w:right w:w="43" w:type="dxa"/>
        </w:tblCellMar>
      </w:tblPr>
      <w:tblGrid>
        <w:gridCol w:w="780"/>
        <w:gridCol w:w="4820"/>
        <w:gridCol w:w="850"/>
        <w:gridCol w:w="851"/>
        <w:gridCol w:w="708"/>
        <w:gridCol w:w="4962"/>
        <w:gridCol w:w="567"/>
        <w:gridCol w:w="1134"/>
      </w:tblGrid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6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SMERNICA Európskeho parlamentu a Rady 2011/95/EÚ z 13. decembra 2011 o normách pre oprávnenie štátnych príslušníkov tretej krajiny alebo osôb bez štátneho občianstva mať postavenie medzinárodnej ochrany, o jednotnom postavení utečencov alebo osôb oprávnených na doplnkovú ochranu</w:t>
            </w:r>
            <w:r w:rsidR="00376361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a o obsahu poskytovanej ochrany</w:t>
            </w:r>
            <w:r w:rsidRPr="00BE47B1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(prepracované znenie)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E73C2" w:rsidRPr="00DE73C2" w:rsidP="00DE73C2">
            <w:pPr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0" w:hanging="43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E73C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Návrh zákona, ktorým sa mení a dopĺňa zákon č. 480/2002 Z. z. o azyle a o zmene a doplnení niektorých zákonov a ktorým sa menia a dopĺňajú niektoré zákony (ďalej len „návrh zákona) je v texte predmetnej tabuľky zvýraznené tučným písmom</w:t>
            </w:r>
          </w:p>
          <w:p w:rsidR="00BE47B1" w:rsidRPr="00DE73C2" w:rsidP="00DE73C2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0" w:hanging="43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E73C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Zákon č. 480/2002 Z. z. o azyle a o zmene a doplnení niektorých zákonov v znení neskorších predpisov</w:t>
            </w:r>
          </w:p>
          <w:p w:rsidR="00B072AB" w:rsidRPr="00DE73C2" w:rsidP="00DE73C2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0" w:hanging="43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A85912" w:rsidR="00BE47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Zákon č. 404/2011 Z. z. o pobyte cudzincov a o zmene a doplnení niektorých zákonov v znení zákona </w:t>
            </w:r>
            <w:r w:rsidR="00A8591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č. </w:t>
            </w:r>
            <w:r w:rsidR="004E1F8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75</w:t>
            </w:r>
            <w:r w:rsidR="00A8591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/2013 Z. z.</w:t>
            </w:r>
          </w:p>
          <w:p w:rsidR="00DE73C2" w:rsidRPr="00DE73C2" w:rsidP="00DE73C2">
            <w:pPr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0" w:hanging="43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E73C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Zákon č. 305/2005 Z. z. o sociálnoprávnej ochrane detí a o sociálnej kuratele a o zmene a doplnení niektorých zákonov v znení neskorších predpisov</w:t>
            </w:r>
          </w:p>
          <w:p w:rsidR="00A85912" w:rsidRPr="00A85912" w:rsidP="00BE60E9">
            <w:pPr>
              <w:suppressAutoHyphens/>
              <w:autoSpaceDE w:val="0"/>
              <w:bidi w:val="0"/>
              <w:spacing w:after="0" w:line="240" w:lineRule="auto"/>
              <w:ind w:firstLine="432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3E65A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rPr>
          <w:trHeight w:val="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Článok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(Č, O,V, P)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Text smernice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Spôsob transpo-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zície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(N, O, D, n. a.)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Číslo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ind w:right="-3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Článok 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(Č, §, O, V, 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Text zhody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Zhoda (Ú, Č, R, 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Poznámky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80168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Č: 24</w:t>
            </w:r>
          </w:p>
          <w:p w:rsidR="0080168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80168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2. Hneď ako je to možné po udelení medzinárodnej ochrany, členské štáty vydajú osobám s postavením doplnkovej ochrany a ich rodinným príslušníkom obnoviteľné povolenie na pobyt, ktoré musí byť platné najmenej jeden rok a v prípade obnovenia najmenej na dva roky, pokiaľ to závažné dôvody vnútornej bezpečnosti alebo verejného poriadku nevyžadujú inak.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80168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80168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Zákon č.</w:t>
            </w:r>
          </w:p>
          <w:p w:rsidR="0080168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480/2002</w:t>
            </w:r>
          </w:p>
          <w:p w:rsidR="0080168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Z. z.</w:t>
            </w:r>
          </w:p>
          <w:p w:rsidR="00CD5A2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A2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A2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A2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A2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A2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A2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A2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A22" w:rsidP="00CD5A22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Zákon č. 404/2012</w:t>
            </w:r>
          </w:p>
          <w:p w:rsidR="00CD5A22" w:rsidRPr="00BE47B1" w:rsidP="00CD5A22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80168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§ 27a</w:t>
            </w:r>
          </w:p>
          <w:p w:rsidR="0080168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O: 1</w:t>
            </w: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5D4C7A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§ 20</w:t>
            </w: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3</w:t>
            </w: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V: 1</w:t>
            </w: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§ 73</w:t>
            </w: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11</w:t>
            </w: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V: 3</w:t>
            </w: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V: 4</w:t>
            </w: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F7B07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F7B07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V: 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80168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(1) Cudzinec, ktorému sa poskytla doplnková ochrana, považuje sa za cudzinca, ktorému sa udelil prechodný pobyt; to neplatí, ak má na území Slovenskej republiky udelený trvalý pobyt.</w:t>
            </w:r>
            <w:r w:rsidRPr="00BE47B1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6a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DF7B0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F7B0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F7B07">
              <w:rPr>
                <w:rFonts w:ascii="Times New Roman" w:hAnsi="Times New Roman"/>
                <w:iCs/>
                <w:sz w:val="20"/>
                <w:szCs w:val="20"/>
                <w:lang w:eastAsia="sk-SK"/>
              </w:rPr>
              <w:t xml:space="preserve">(3) </w:t>
            </w:r>
            <w:r w:rsidRPr="005D4C7A" w:rsidR="005D4C7A">
              <w:rPr>
                <w:rFonts w:ascii="Times New Roman" w:hAnsi="Times New Roman"/>
                <w:iCs/>
                <w:sz w:val="20"/>
                <w:szCs w:val="20"/>
                <w:lang w:eastAsia="sk-SK"/>
              </w:rPr>
              <w:t xml:space="preserve">Doplnková ochrana podľa § 13a a 13b sa poskytuje na jeden rok; po uplynutí jedného roka sa poskytovanie doplnkovej ochrany na žiadosť predĺži vždy o dva roky, ak sú splnené podmienky uvedené v § 13a alebo § 13b a nie sú dôvody na jej neposkytnutie podľa § 13c ods. 2 až 4. </w:t>
            </w:r>
          </w:p>
          <w:p w:rsidR="00CD5A2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F7B07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F7B0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Cudzincovi, ktorému sa poskytla doplnková ochrana, policajný útvar vydá do 15 dní doklad o pobyte, v ktorom uvedie názov „doplnková ochrana“; platnosť dokladu o pobyte je </w:t>
            </w:r>
            <w:r w:rsidRPr="005D4C7A" w:rsidR="005D4C7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jeden rok</w:t>
            </w:r>
            <w:r w:rsidRPr="005D4C7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.</w:t>
            </w:r>
            <w:r w:rsidRPr="00DF7B0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DF7B07" w:rsidRPr="005D4C7A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F7B0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Po uplynutí platnosti dokladu o pobyte policajný útvar vydá cudzincovi, ktorému sa poskytla doplnková ochrana, nový doklad o </w:t>
            </w:r>
            <w:r w:rsidRPr="005D4C7A">
              <w:rPr>
                <w:rFonts w:ascii="Times New Roman" w:hAnsi="Times New Roman"/>
                <w:sz w:val="20"/>
                <w:szCs w:val="20"/>
                <w:lang w:eastAsia="ar-SA"/>
              </w:rPr>
              <w:t>pobyte s platnosťou na dva roky.</w:t>
            </w:r>
          </w:p>
          <w:p w:rsidR="00DF7B07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F7B07">
              <w:rPr>
                <w:rFonts w:ascii="Times New Roman" w:hAnsi="Times New Roman"/>
                <w:sz w:val="20"/>
                <w:szCs w:val="20"/>
              </w:rPr>
              <w:t>Pred uplynutím platnosti dokladu o pobyte vydaného podľa tohto odseku sa platnosť takého dokladu skončí aj vtedy, ak cudzincovi zanikol azyl alebo zanikla doplnková ochrana.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80168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80168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80168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Č: 25</w:t>
            </w:r>
          </w:p>
          <w:p w:rsidR="0080168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80168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2. Členské štáty vydajú osobám s postavením doplnkovej ochrany, ktoré nemajú možnosť získať národný pas, dokumenty, ktoré im umožnia vycestovať mimo ich územia, pokiaľ to závažné dôvody vnútroštátnej bezpečnosti alebo verejného poriadku nevyžadujú inak.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80168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80168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Zákon č.</w:t>
            </w:r>
          </w:p>
          <w:p w:rsidR="0080168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404/2011</w:t>
            </w:r>
          </w:p>
          <w:p w:rsidR="0080168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80168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§ 74</w:t>
            </w:r>
          </w:p>
          <w:p w:rsidR="00801682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O: 1</w:t>
            </w:r>
          </w:p>
          <w:p w:rsidR="00CD5043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043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043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043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043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043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043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043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043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043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043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043" w:rsidRPr="00BE47B1" w:rsidP="00CD5043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5D4C7A" w:rsidRPr="005D4C7A" w:rsidP="005D4C7A">
            <w:pPr>
              <w:bidi w:val="0"/>
              <w:spacing w:after="0" w:line="240" w:lineRule="auto"/>
              <w:ind w:hanging="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D4C7A">
              <w:rPr>
                <w:rFonts w:ascii="Times New Roman" w:hAnsi="Times New Roman"/>
                <w:b/>
                <w:sz w:val="20"/>
                <w:szCs w:val="20"/>
              </w:rPr>
              <w:t xml:space="preserve">Cudzinecký pas oprávňujúci cudzinca na vycestovanie zo Slovenskej republiky a na návrat do Slovenskej republiky vydá policajný útvar </w:t>
            </w:r>
          </w:p>
          <w:p w:rsidR="005D4C7A" w:rsidRPr="005D4C7A" w:rsidP="005D4C7A">
            <w:pPr>
              <w:numPr>
                <w:ilvl w:val="1"/>
                <w:numId w:val="5"/>
              </w:numPr>
              <w:bidi w:val="0"/>
              <w:spacing w:after="0" w:line="240" w:lineRule="auto"/>
              <w:ind w:left="0" w:hanging="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D4C7A">
              <w:rPr>
                <w:rFonts w:ascii="Times New Roman" w:hAnsi="Times New Roman"/>
                <w:b/>
                <w:sz w:val="20"/>
                <w:szCs w:val="20"/>
              </w:rPr>
              <w:t xml:space="preserve">cudzincovi, ktorému sa poskytla doplnková ochrana a nemá vlastný platný cestovný doklad, </w:t>
            </w:r>
          </w:p>
          <w:p w:rsidR="005D4C7A" w:rsidRPr="005D4C7A" w:rsidP="005D4C7A">
            <w:pPr>
              <w:numPr>
                <w:ilvl w:val="1"/>
                <w:numId w:val="5"/>
              </w:numPr>
              <w:bidi w:val="0"/>
              <w:spacing w:after="0" w:line="240" w:lineRule="auto"/>
              <w:ind w:left="0" w:hanging="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D4C7A">
              <w:rPr>
                <w:rFonts w:ascii="Times New Roman" w:hAnsi="Times New Roman"/>
                <w:b/>
                <w:sz w:val="20"/>
                <w:szCs w:val="20"/>
              </w:rPr>
              <w:t xml:space="preserve">štátnemu príslušníkovi tretej krajiny, ktorý má udelený dlhodobý pobyt podľa </w:t>
              <w:br/>
              <w:t>§ 52 ods. 1 písm. a) na základe poskytnutej doplnkovej ochrany a nemá vlastný platný cestovný doklad, alebo</w:t>
            </w:r>
          </w:p>
          <w:p w:rsidR="005D4C7A" w:rsidRPr="005D4C7A" w:rsidP="005D4C7A">
            <w:pPr>
              <w:numPr>
                <w:ilvl w:val="1"/>
                <w:numId w:val="5"/>
              </w:numPr>
              <w:bidi w:val="0"/>
              <w:spacing w:after="0" w:line="240" w:lineRule="auto"/>
              <w:ind w:left="0" w:hanging="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D4C7A">
              <w:rPr>
                <w:rFonts w:ascii="Times New Roman" w:hAnsi="Times New Roman"/>
                <w:b/>
                <w:sz w:val="20"/>
                <w:szCs w:val="20"/>
              </w:rPr>
              <w:t xml:space="preserve">štátnemu príslušníkovi tretej krajiny, ktorý má udelený trvalý pobyt podľa § 46 ods. 2 písm. c) alebo písm. e) a nemá vlastný platný cestovný doklad. </w:t>
            </w:r>
          </w:p>
          <w:p w:rsidR="005D4C7A" w:rsidRPr="005D4C7A" w:rsidP="005D4C7A">
            <w:pPr>
              <w:bidi w:val="0"/>
              <w:spacing w:after="0" w:line="240" w:lineRule="auto"/>
              <w:ind w:hanging="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4C7A" w:rsidRPr="005D4C7A" w:rsidP="005D4C7A">
            <w:pPr>
              <w:bidi w:val="0"/>
              <w:spacing w:after="0" w:line="240" w:lineRule="auto"/>
              <w:ind w:hanging="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D4C7A">
              <w:rPr>
                <w:rFonts w:ascii="Times New Roman" w:hAnsi="Times New Roman"/>
                <w:b/>
                <w:sz w:val="20"/>
                <w:szCs w:val="20"/>
              </w:rPr>
              <w:t xml:space="preserve">Cudzinecký pas oprávňujúci štátneho príslušníka tretej krajiny na vycestovanie vydá policajný útvar štátnemu príslušníkovi tretej krajiny, ktorý nemá vlastný platný cestovný doklad a ktorý nemožno zabezpečiť ani prostredníctvom zastupiteľského úradu štátu, ktorého je štátnym príslušníkom, a </w:t>
            </w:r>
          </w:p>
          <w:p w:rsidR="005D4C7A" w:rsidRPr="005D4C7A" w:rsidP="005D4C7A">
            <w:pPr>
              <w:numPr>
                <w:numId w:val="6"/>
              </w:numPr>
              <w:bidi w:val="0"/>
              <w:spacing w:after="0" w:line="240" w:lineRule="auto"/>
              <w:ind w:left="0" w:hanging="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D4C7A">
              <w:rPr>
                <w:rFonts w:ascii="Times New Roman" w:hAnsi="Times New Roman"/>
                <w:b/>
                <w:sz w:val="20"/>
                <w:szCs w:val="20"/>
              </w:rPr>
              <w:t>ktorému bol udelený tolerovaný pobyt,</w:t>
            </w:r>
          </w:p>
          <w:p w:rsidR="00801682" w:rsidRPr="00BE47B1" w:rsidP="00CD5043">
            <w:pPr>
              <w:numPr>
                <w:numId w:val="6"/>
              </w:numPr>
              <w:bidi w:val="0"/>
              <w:spacing w:after="0" w:line="240" w:lineRule="auto"/>
              <w:ind w:left="0" w:hanging="43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D4C7A" w:rsidR="005D4C7A">
              <w:rPr>
                <w:rFonts w:ascii="Times New Roman" w:hAnsi="Times New Roman"/>
                <w:b/>
                <w:sz w:val="20"/>
                <w:szCs w:val="20"/>
              </w:rPr>
              <w:t>o ktorom sa rozhodlo, že bude administratívne vyhostený, alebo ktorému bol uložený trest vyhostenia, alebo</w:t>
            </w:r>
            <w:r w:rsidR="00CD50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D4C7A" w:rsidR="005D4C7A">
              <w:rPr>
                <w:rFonts w:ascii="Times New Roman" w:hAnsi="Times New Roman"/>
                <w:b/>
                <w:sz w:val="20"/>
                <w:szCs w:val="20"/>
              </w:rPr>
              <w:t>ktorý sa narodil na území Slovenskej republiky.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80168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80168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6E104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Č: 31</w:t>
            </w:r>
          </w:p>
          <w:p w:rsidR="006E104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O: 3</w:t>
            </w:r>
          </w:p>
          <w:p w:rsidR="006E104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P: a</w:t>
            </w:r>
          </w:p>
          <w:p w:rsidR="006E104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P: b </w:t>
            </w:r>
          </w:p>
          <w:p w:rsidR="006E104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P: c</w:t>
            </w:r>
          </w:p>
          <w:p w:rsidR="006E104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E104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P: d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6E104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3. Členské štáty zaistia, aby maloletí bez sprievodu boli umiestnení:</w:t>
            </w:r>
          </w:p>
          <w:p w:rsidR="006E104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a) spolu s dospelými príbuznými alebo</w:t>
            </w:r>
          </w:p>
          <w:p w:rsidR="006E104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b) v pestúnskej rodine, alebo</w:t>
            </w:r>
          </w:p>
          <w:p w:rsidR="006E104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c) v strediskách špecializovaných na poskytnutie ubytovania pre maloletých, alebo</w:t>
            </w:r>
          </w:p>
          <w:p w:rsidR="006E104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d) v inom ubytovaní vhodnom pre maloletých.</w:t>
            </w:r>
          </w:p>
          <w:p w:rsidR="006E104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E104E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 tejto súvislosti sa zohľadnia názory dieťaťa v súlade s jeho vekom a stupňom dospelosti.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6E104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6E104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EC1370">
              <w:rPr>
                <w:rFonts w:ascii="Times New Roman" w:hAnsi="Times New Roman"/>
                <w:sz w:val="20"/>
                <w:szCs w:val="20"/>
                <w:lang w:eastAsia="ar-SA"/>
              </w:rPr>
              <w:t>Zákon č. 305/2005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6E104E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EC1370">
              <w:rPr>
                <w:rFonts w:ascii="Times New Roman" w:hAnsi="Times New Roman"/>
                <w:sz w:val="20"/>
                <w:szCs w:val="20"/>
                <w:lang w:eastAsia="ar-SA"/>
              </w:rPr>
              <w:t>§ 50</w:t>
            </w: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1</w:t>
            </w: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3</w:t>
            </w: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4</w:t>
            </w: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015EF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015EF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015EF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015EF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015EF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015EF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EC1370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O. 5</w:t>
            </w:r>
          </w:p>
          <w:p w:rsidR="00BE60E9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60E9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60E9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60E9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60E9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60E9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60E9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60E9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60E9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60E9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60E9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D5043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60E9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60E9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§ 25</w:t>
            </w:r>
          </w:p>
          <w:p w:rsidR="00BE60E9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CD5043" w:rsidRPr="00CD5043" w:rsidP="00CD504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C1370" w:rsidR="00EC1370">
              <w:rPr>
                <w:rFonts w:ascii="Times New Roman" w:hAnsi="Times New Roman"/>
                <w:sz w:val="20"/>
                <w:szCs w:val="20"/>
                <w:lang w:eastAsia="ar-SA"/>
              </w:rPr>
              <w:t>(</w:t>
            </w:r>
            <w:r w:rsidRPr="00CD504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1) Na detský domov pre maloletých bez sprievodu, v ktorom je umiestnený maloletý bez sprievodu predbežným opatrením súdu podľa osobitného predpisu, 28) ustanovenia </w:t>
            </w:r>
            <w:r w:rsidRPr="00CD504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§ 49, 51,</w:t>
            </w:r>
            <w:r w:rsidRPr="00CD504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§ 52 až 56 a § 58 až 60 sa vzťahujú rovnako, ak tento zákon neustanovuje inak.</w:t>
            </w:r>
          </w:p>
          <w:p w:rsidR="00CD5043" w:rsidRPr="00CD5043" w:rsidP="00CD504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504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(2) Pri výkone </w:t>
            </w:r>
            <w:r w:rsidRPr="00CD504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rozhodnutia súdu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CD504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v detskom domove pre maloletých bez sprievodu treba prihliadať na predchádzajúcu výchovu dieťaťa a rešpektovať kultúrne a náboženské odlišnosti dieťaťa.</w:t>
            </w:r>
          </w:p>
          <w:p w:rsidR="00CD5043" w:rsidRPr="00CD5043" w:rsidP="00CD504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504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(3) Detský domov pre maloletých bez sprievodu zabezpečí lekársku prehliadku v rozsahu podľa § 31 písm. c), ak pred umiestnením dieťaťa do detského domova pre maloletých bez sprievodu nebol doložený doklad podľa § 31 písm. c).</w:t>
            </w:r>
          </w:p>
          <w:p w:rsidR="00CD5043" w:rsidP="00CD504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CD504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(4) Detský domov pre maloletých bez sprievodu utvára podmienky na výučbu slovenského jazyka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9015EF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podľa osobitného predpisu</w:t>
            </w:r>
            <w:r w:rsidRPr="009015EF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ar-SA"/>
              </w:rPr>
              <w:t>40)</w:t>
            </w:r>
            <w:r w:rsidRPr="009015EF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.</w:t>
            </w:r>
          </w:p>
          <w:p w:rsidR="009015EF" w:rsidP="00CD504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9015EF" w:rsidRPr="009015EF" w:rsidP="00CD504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15E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40</w:t>
            </w:r>
            <w:r w:rsidRPr="009015EF">
              <w:rPr>
                <w:rFonts w:ascii="Times New Roman" w:hAnsi="Times New Roman"/>
                <w:b/>
                <w:sz w:val="20"/>
                <w:szCs w:val="20"/>
              </w:rPr>
              <w:t>) § 146 ods. 3 zákona č. 245/2008 Z. z. o výchove a vzdelávaní (školský zákon) a o zmene a doplnení niektorých zákonov.</w:t>
            </w:r>
          </w:p>
          <w:p w:rsidR="009015EF" w:rsidRPr="009015EF" w:rsidP="00CD504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CD5043" w:rsidP="00CD504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D504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(5) Detský domov pre maloletých bez sprievodu je povinný zistiť, ak je to vzhľadom na vek dieťaťa a jeho rozumovú vyspelosť možné, názor dieťaťa na všetky skutočnosti, ktoré sa ho týkajú, najmä zistiť názor dieťaťa na jeho premiestnenie, zlúčenie s rodinou, návrat do krajiny pôvodu, udelenie azylu alebo poskytnutie doplnkovej ochrany, a to už pred vykonaním úkonov na účely jeho premiestnenia, zlúčenia rodiny, návratom do krajiny pôvodu alebo pred podaním vyhlásenia, ktorým sa žiada o udelenie azylu alebo poskytnutie doplnkovej ochrany. Na účely zisťovania názoru dieťaťa podľa prvej vety detský domov pre maloletých bez sprievodu zabezpečí tlmočenie do jazyka, ktorému dieťa rozumie.</w:t>
            </w:r>
          </w:p>
          <w:p w:rsidR="00CD5043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60E9" w:rsidRPr="00BE47B1" w:rsidP="00CD5043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ms sans serif" w:hAnsi="ms sans serif"/>
                <w:color w:val="000000"/>
                <w:sz w:val="20"/>
                <w:szCs w:val="20"/>
              </w:rPr>
              <w:t>(3) Ak orgán sociálnoprávnej ochrany detí a sociálnej kurately na základe rozhodnutia súdu vykonáva funkciu poručníka maloletého bez sprievodu a maloletý bez sprievodu je umiestnený v zariadení zriadenom podľa tohto zákona spolupracuje orgán sociálnoprávnej ochrany detí a sociálnej kurately s týmto zariadením.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6E104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532978">
              <w:rPr>
                <w:rFonts w:ascii="Times New Roman" w:hAnsi="Times New Roman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6E104E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E47B1" w:rsidRPr="00BE47B1" w:rsidP="00BE60E9">
      <w:pPr>
        <w:suppressAutoHyphens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BE47B1" w:rsidRPr="00BE47B1" w:rsidP="00BE60E9">
      <w:pPr>
        <w:suppressAutoHyphens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BE47B1">
        <w:rPr>
          <w:rFonts w:ascii="Times New Roman" w:hAnsi="Times New Roman"/>
          <w:sz w:val="20"/>
          <w:szCs w:val="20"/>
          <w:lang w:eastAsia="ar-SA"/>
        </w:rPr>
        <w:t>LEGENDA:</w:t>
      </w: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2166"/>
        <w:gridCol w:w="3723"/>
        <w:gridCol w:w="2167"/>
        <w:gridCol w:w="6088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21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 stĺpci (1):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Č – článok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O – odsek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 – veta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P – písmeno (číslo)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 stĺpci (3):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 – bežná transpozícia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O – transpozícia s možnosťou voľby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D – transpozícia podľa úvahy (dobrovoľná)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n.a. – transpozícia sa neuskutočňuje</w:t>
            </w:r>
          </w:p>
        </w:tc>
        <w:tc>
          <w:tcPr>
            <w:tcW w:w="2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 stĺpci (5):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Č – článok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§ – paragraf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O – odsek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 – veta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P – písmeno (číslo)</w:t>
            </w:r>
          </w:p>
        </w:tc>
        <w:tc>
          <w:tcPr>
            <w:tcW w:w="6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 stĺpci (7):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Ú – úplná zhoda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Č – čiastočná zhoda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R – rozpor (v príp., že zatiaľ nedošlo k transp., ale príde k nej v budúcnosti)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 – neaplikovateľné</w:t>
            </w:r>
          </w:p>
        </w:tc>
      </w:tr>
    </w:tbl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sectPr w:rsidSect="00045D96">
      <w:footerReference w:type="default" r:id="rId4"/>
      <w:pgSz w:w="16838" w:h="11906" w:orient="landscape"/>
      <w:pgMar w:top="1417" w:right="1417" w:bottom="28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Times New Roman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E5F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95292A">
      <w:rPr>
        <w:noProof/>
      </w:rPr>
      <w:t>2</w:t>
    </w:r>
    <w:r>
      <w:fldChar w:fldCharType="end"/>
    </w:r>
  </w:p>
  <w:p w:rsidR="00021E5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9AB11FA"/>
    <w:multiLevelType w:val="hybridMultilevel"/>
    <w:tmpl w:val="73E8E7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801AA1"/>
    <w:multiLevelType w:val="hybridMultilevel"/>
    <w:tmpl w:val="9B1AE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87B0A94"/>
    <w:multiLevelType w:val="hybridMultilevel"/>
    <w:tmpl w:val="CF208530"/>
    <w:lvl w:ilvl="0">
      <w:start w:val="1"/>
      <w:numFmt w:val="lowerLetter"/>
      <w:lvlText w:val="%1)"/>
      <w:lvlJc w:val="left"/>
      <w:pPr>
        <w:ind w:left="186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26" w:hanging="180"/>
      </w:pPr>
      <w:rPr>
        <w:rFonts w:cs="Times New Roman"/>
        <w:rtl w:val="0"/>
        <w:cs w:val="0"/>
      </w:rPr>
    </w:lvl>
  </w:abstractNum>
  <w:abstractNum w:abstractNumId="4">
    <w:nsid w:val="4DCC63D4"/>
    <w:multiLevelType w:val="hybridMultilevel"/>
    <w:tmpl w:val="CDE41D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E7C0BAF"/>
    <w:multiLevelType w:val="hybridMultilevel"/>
    <w:tmpl w:val="C3286D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DEC0C40"/>
    <w:multiLevelType w:val="hybridMultilevel"/>
    <w:tmpl w:val="679C4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2665"/>
    <w:rsid w:val="000178F5"/>
    <w:rsid w:val="00021E5F"/>
    <w:rsid w:val="00022EB4"/>
    <w:rsid w:val="00031F61"/>
    <w:rsid w:val="00045D96"/>
    <w:rsid w:val="0008027E"/>
    <w:rsid w:val="000D4AC2"/>
    <w:rsid w:val="000F795D"/>
    <w:rsid w:val="001018F4"/>
    <w:rsid w:val="001111AB"/>
    <w:rsid w:val="00130ED8"/>
    <w:rsid w:val="00161EAE"/>
    <w:rsid w:val="00166F8C"/>
    <w:rsid w:val="00167A81"/>
    <w:rsid w:val="001900BF"/>
    <w:rsid w:val="001A1151"/>
    <w:rsid w:val="001A259B"/>
    <w:rsid w:val="001E0101"/>
    <w:rsid w:val="001E51E5"/>
    <w:rsid w:val="0021393C"/>
    <w:rsid w:val="002462C2"/>
    <w:rsid w:val="002E1E71"/>
    <w:rsid w:val="00376361"/>
    <w:rsid w:val="003C7C36"/>
    <w:rsid w:val="003D0BDB"/>
    <w:rsid w:val="003E65A6"/>
    <w:rsid w:val="00411E98"/>
    <w:rsid w:val="00480513"/>
    <w:rsid w:val="00483D6F"/>
    <w:rsid w:val="004A77D4"/>
    <w:rsid w:val="004E1F8C"/>
    <w:rsid w:val="005069D2"/>
    <w:rsid w:val="00524B25"/>
    <w:rsid w:val="00532978"/>
    <w:rsid w:val="00557A27"/>
    <w:rsid w:val="00561C1A"/>
    <w:rsid w:val="00582E84"/>
    <w:rsid w:val="005A66BD"/>
    <w:rsid w:val="005B0CD4"/>
    <w:rsid w:val="005C7248"/>
    <w:rsid w:val="005D4C7A"/>
    <w:rsid w:val="005D62D7"/>
    <w:rsid w:val="005E23B4"/>
    <w:rsid w:val="005F0347"/>
    <w:rsid w:val="005F26F5"/>
    <w:rsid w:val="005F2822"/>
    <w:rsid w:val="00643A5E"/>
    <w:rsid w:val="00667CD5"/>
    <w:rsid w:val="00693A3C"/>
    <w:rsid w:val="006970CD"/>
    <w:rsid w:val="006A38D2"/>
    <w:rsid w:val="006C3F69"/>
    <w:rsid w:val="006C5B13"/>
    <w:rsid w:val="006C61CC"/>
    <w:rsid w:val="006E104E"/>
    <w:rsid w:val="0075596A"/>
    <w:rsid w:val="007964BB"/>
    <w:rsid w:val="007F177A"/>
    <w:rsid w:val="00801682"/>
    <w:rsid w:val="008071F0"/>
    <w:rsid w:val="008130B4"/>
    <w:rsid w:val="00832EAF"/>
    <w:rsid w:val="00864289"/>
    <w:rsid w:val="00886D81"/>
    <w:rsid w:val="008B2DBE"/>
    <w:rsid w:val="008B7B12"/>
    <w:rsid w:val="008C2484"/>
    <w:rsid w:val="008D3437"/>
    <w:rsid w:val="008F6404"/>
    <w:rsid w:val="008F7287"/>
    <w:rsid w:val="009015EF"/>
    <w:rsid w:val="009114C6"/>
    <w:rsid w:val="00924018"/>
    <w:rsid w:val="0095292A"/>
    <w:rsid w:val="00952B88"/>
    <w:rsid w:val="00990E66"/>
    <w:rsid w:val="00991AAE"/>
    <w:rsid w:val="009F74F4"/>
    <w:rsid w:val="00A21F93"/>
    <w:rsid w:val="00A339A4"/>
    <w:rsid w:val="00A7026F"/>
    <w:rsid w:val="00A85912"/>
    <w:rsid w:val="00AC5E3A"/>
    <w:rsid w:val="00AE1E0D"/>
    <w:rsid w:val="00AF27F8"/>
    <w:rsid w:val="00B072AB"/>
    <w:rsid w:val="00B14658"/>
    <w:rsid w:val="00B82C6A"/>
    <w:rsid w:val="00BA0706"/>
    <w:rsid w:val="00BE47B1"/>
    <w:rsid w:val="00BE60E9"/>
    <w:rsid w:val="00BF12AD"/>
    <w:rsid w:val="00C0721C"/>
    <w:rsid w:val="00C6142C"/>
    <w:rsid w:val="00C8110E"/>
    <w:rsid w:val="00C871AF"/>
    <w:rsid w:val="00CD5043"/>
    <w:rsid w:val="00CD5A22"/>
    <w:rsid w:val="00CF4584"/>
    <w:rsid w:val="00D41BE3"/>
    <w:rsid w:val="00D815BE"/>
    <w:rsid w:val="00DA3C06"/>
    <w:rsid w:val="00DC3D57"/>
    <w:rsid w:val="00DD0A54"/>
    <w:rsid w:val="00DE2665"/>
    <w:rsid w:val="00DE73C2"/>
    <w:rsid w:val="00DF7B07"/>
    <w:rsid w:val="00E20797"/>
    <w:rsid w:val="00E30467"/>
    <w:rsid w:val="00E51251"/>
    <w:rsid w:val="00E676F7"/>
    <w:rsid w:val="00E77C83"/>
    <w:rsid w:val="00E869DB"/>
    <w:rsid w:val="00EA21DC"/>
    <w:rsid w:val="00EA7346"/>
    <w:rsid w:val="00EC1370"/>
    <w:rsid w:val="00EC3B87"/>
    <w:rsid w:val="00ED26C3"/>
    <w:rsid w:val="00EF49EC"/>
    <w:rsid w:val="00F07C52"/>
    <w:rsid w:val="00F159B7"/>
    <w:rsid w:val="00F56008"/>
    <w:rsid w:val="00F92FA5"/>
    <w:rsid w:val="00FA3D1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E47B1"/>
    <w:pPr>
      <w:keepNext/>
      <w:tabs>
        <w:tab w:val="num" w:pos="0"/>
      </w:tabs>
      <w:suppressAutoHyphens/>
      <w:autoSpaceDE w:val="0"/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069D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E47B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ar-SA" w:bidi="ar-SA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5069D2"/>
    <w:rPr>
      <w:rFonts w:asciiTheme="majorHAnsi" w:eastAsiaTheme="majorEastAsia" w:hAnsiTheme="majorHAnsi" w:cs="Times New Roman"/>
      <w:color w:val="243F60" w:themeColor="accent1" w:themeShade="7F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BE47B1"/>
    <w:pPr>
      <w:suppressAutoHyphens/>
      <w:autoSpaceDE w:val="0"/>
      <w:spacing w:after="120" w:line="480" w:lineRule="auto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E47B1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customStyle="1" w:styleId="Normlny">
    <w:name w:val="_Normálny"/>
    <w:basedOn w:val="Normal"/>
    <w:uiPriority w:val="99"/>
    <w:rsid w:val="00BE47B1"/>
    <w:pPr>
      <w:suppressAutoHyphens/>
      <w:autoSpaceDE w:val="0"/>
      <w:spacing w:after="0" w:line="240" w:lineRule="auto"/>
      <w:jc w:val="left"/>
    </w:pPr>
    <w:rPr>
      <w:rFonts w:ascii="Times New Roman" w:hAnsi="Times New Roman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rsid w:val="00BE47B1"/>
    <w:rPr>
      <w:rFonts w:cs="Times New Roman"/>
      <w:color w:val="000080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rsid w:val="00BE47B1"/>
    <w:pPr>
      <w:suppressAutoHyphens/>
      <w:autoSpaceDE w:val="0"/>
      <w:spacing w:after="0" w:line="240" w:lineRule="auto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BE47B1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paragraph" w:styleId="NoSpacing">
    <w:name w:val="No Spacing"/>
    <w:uiPriority w:val="1"/>
    <w:qFormat/>
    <w:rsid w:val="00BE47B1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Footer">
    <w:name w:val="footer"/>
    <w:basedOn w:val="Normal"/>
    <w:link w:val="PtaChar"/>
    <w:uiPriority w:val="99"/>
    <w:rsid w:val="00BE47B1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left"/>
    </w:pPr>
    <w:rPr>
      <w:rFonts w:ascii="Arial" w:hAnsi="Arial" w:cs="Arial"/>
      <w:lang w:eastAsia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BE47B1"/>
    <w:rPr>
      <w:rFonts w:ascii="Arial" w:hAnsi="Arial" w:cs="Arial"/>
      <w:rtl w:val="0"/>
      <w:cs w:val="0"/>
      <w:lang w:val="x-none" w:eastAsia="ar-SA" w:bidi="ar-SA"/>
    </w:rPr>
  </w:style>
  <w:style w:type="paragraph" w:styleId="Header">
    <w:name w:val="header"/>
    <w:basedOn w:val="Normal"/>
    <w:link w:val="HlavikaChar"/>
    <w:uiPriority w:val="99"/>
    <w:rsid w:val="00BE47B1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BE47B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BE47B1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cs-CZ" w:eastAsia="cs-CZ"/>
    </w:rPr>
  </w:style>
  <w:style w:type="paragraph" w:styleId="HTMLPreformatted">
    <w:name w:val="HTML Preformatted"/>
    <w:basedOn w:val="Normal"/>
    <w:link w:val="PredformtovanHTMLChar"/>
    <w:uiPriority w:val="99"/>
    <w:rsid w:val="00BE4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 Unicode MS" w:eastAsia="Arial Unicode MS" w:hAnsi="Arial Unicode MS" w:cs="Arial Unicode MS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locked/>
    <w:rsid w:val="00BE47B1"/>
    <w:rPr>
      <w:rFonts w:ascii="Arial Unicode MS" w:eastAsia="Arial Unicode MS" w:hAnsi="Arial Unicode MS" w:cs="Arial Unicode MS"/>
      <w:sz w:val="20"/>
      <w:szCs w:val="20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8B7B12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0"/>
      <w:szCs w:val="20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8B7B1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Zkladntext">
    <w:name w:val="Z‡kladn’ text"/>
    <w:basedOn w:val="Normal"/>
    <w:uiPriority w:val="99"/>
    <w:rsid w:val="006C3F69"/>
    <w:pPr>
      <w:spacing w:after="0" w:line="240" w:lineRule="auto"/>
      <w:jc w:val="both"/>
    </w:pPr>
    <w:rPr>
      <w:rFonts w:ascii="Times New Roman" w:hAnsi="Times New Roman"/>
      <w:sz w:val="24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A8591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1022</Words>
  <Characters>5827</Characters>
  <Application>Microsoft Office Word</Application>
  <DocSecurity>0</DocSecurity>
  <Lines>0</Lines>
  <Paragraphs>0</Paragraphs>
  <ScaleCrop>false</ScaleCrop>
  <Company>MVSR</Company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Nataša Wiedemannová</cp:lastModifiedBy>
  <cp:revision>2</cp:revision>
  <dcterms:created xsi:type="dcterms:W3CDTF">2015-02-18T14:18:00Z</dcterms:created>
  <dcterms:modified xsi:type="dcterms:W3CDTF">2015-02-18T14:18:00Z</dcterms:modified>
</cp:coreProperties>
</file>