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3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682"/>
        <w:gridCol w:w="938"/>
        <w:gridCol w:w="5866"/>
        <w:gridCol w:w="567"/>
        <w:gridCol w:w="992"/>
        <w:gridCol w:w="850"/>
        <w:gridCol w:w="4678"/>
        <w:gridCol w:w="709"/>
        <w:gridCol w:w="1059"/>
      </w:tblGrid>
      <w:tr>
        <w:tblPrEx>
          <w:tblW w:w="16341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34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CB64E4" w:rsidP="0078287E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TABUĽKA  ZHODY</w:t>
            </w:r>
          </w:p>
          <w:p w:rsidR="00327791" w:rsidP="00327791">
            <w:pPr>
              <w:pStyle w:val="Zkladntext"/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B64E4" w:rsidR="004577EC">
              <w:rPr>
                <w:rFonts w:ascii="Arial Narrow" w:hAnsi="Arial Narrow"/>
                <w:b/>
                <w:sz w:val="22"/>
                <w:szCs w:val="22"/>
              </w:rPr>
              <w:t>k </w:t>
            </w:r>
            <w:r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Pr="00327791">
              <w:rPr>
                <w:rFonts w:ascii="Arial Narrow" w:hAnsi="Arial Narrow" w:cs="Arial"/>
                <w:b/>
                <w:sz w:val="22"/>
                <w:szCs w:val="22"/>
              </w:rPr>
              <w:t>ávrh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u</w:t>
            </w:r>
            <w:r w:rsidRPr="00327791">
              <w:rPr>
                <w:rFonts w:ascii="Arial Narrow" w:hAnsi="Arial Narrow" w:cs="Arial"/>
                <w:b/>
                <w:sz w:val="22"/>
                <w:szCs w:val="22"/>
              </w:rPr>
              <w:t xml:space="preserve"> zákona,</w:t>
            </w:r>
            <w:r w:rsidRPr="00327791">
              <w:rPr>
                <w:rFonts w:ascii="Arial Narrow" w:hAnsi="Arial Narrow"/>
                <w:b/>
                <w:sz w:val="22"/>
                <w:szCs w:val="22"/>
              </w:rPr>
              <w:t xml:space="preserve"> ktorým sa mení a dopĺňa zákon č. </w:t>
            </w:r>
            <w:r w:rsidR="00CF06D2">
              <w:rPr>
                <w:rFonts w:ascii="Arial Narrow" w:hAnsi="Arial Narrow"/>
                <w:b/>
                <w:sz w:val="22"/>
                <w:szCs w:val="22"/>
              </w:rPr>
              <w:t>431/2002</w:t>
            </w:r>
            <w:r w:rsidRPr="00327791">
              <w:rPr>
                <w:rFonts w:ascii="Arial Narrow" w:hAnsi="Arial Narrow"/>
                <w:b/>
                <w:sz w:val="22"/>
                <w:szCs w:val="22"/>
              </w:rPr>
              <w:t xml:space="preserve"> Z. z. o</w:t>
            </w:r>
            <w:r w:rsidR="00CF06D2">
              <w:rPr>
                <w:rFonts w:ascii="Arial Narrow" w:hAnsi="Arial Narrow"/>
                <w:b/>
                <w:sz w:val="22"/>
                <w:szCs w:val="22"/>
              </w:rPr>
              <w:t xml:space="preserve"> účtovníctve</w:t>
            </w:r>
            <w:r w:rsidRPr="00327791">
              <w:rPr>
                <w:rFonts w:ascii="Arial Narrow" w:hAnsi="Arial Narrow"/>
                <w:b/>
                <w:sz w:val="22"/>
                <w:szCs w:val="22"/>
              </w:rPr>
              <w:t xml:space="preserve"> v znení neskorších predpisov </w:t>
            </w:r>
            <w:r w:rsidRPr="0032779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8C54C3" w:rsidRPr="00CB64E4" w:rsidP="00327791">
            <w:pPr>
              <w:pStyle w:val="Zkladntext"/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B64E4" w:rsidR="00127033">
              <w:rPr>
                <w:rFonts w:ascii="Arial Narrow" w:hAnsi="Arial Narrow"/>
                <w:b/>
                <w:sz w:val="22"/>
                <w:szCs w:val="22"/>
              </w:rPr>
              <w:t>s právom Európskej únie</w:t>
            </w: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CB64E4">
            <w:pPr>
              <w:pStyle w:val="Heading4"/>
              <w:bidi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CB64E4">
              <w:rPr>
                <w:rFonts w:ascii="Arial Narrow" w:hAnsi="Arial Narrow"/>
              </w:rPr>
              <w:t>Názov smernice:</w:t>
            </w:r>
          </w:p>
        </w:tc>
        <w:tc>
          <w:tcPr>
            <w:tcW w:w="147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CB64E4" w:rsidP="00221382">
            <w:pPr>
              <w:pStyle w:val="Default"/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B64E4" w:rsidR="00E745B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SMERNICA EURÓPSKEHO PARLAMENTU A RADY </w:t>
            </w:r>
            <w:r w:rsidRPr="00CB64E4" w:rsidR="00E745B5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201</w:t>
            </w:r>
            <w:r w:rsidR="00221382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4/95</w:t>
            </w:r>
            <w:r w:rsidRPr="00CB64E4" w:rsidR="00E745B5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/EÚ</w:t>
            </w:r>
            <w:r w:rsidRPr="00CB64E4" w:rsidR="00E745B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z 2</w:t>
            </w:r>
            <w:r w:rsidR="00221382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Pr="00CB64E4" w:rsidR="00E745B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 </w:t>
            </w:r>
            <w:r w:rsidR="00221382">
              <w:rPr>
                <w:rFonts w:ascii="Arial Narrow" w:hAnsi="Arial Narrow"/>
                <w:b/>
                <w:bCs/>
                <w:sz w:val="22"/>
                <w:szCs w:val="22"/>
              </w:rPr>
              <w:t>októbr</w:t>
            </w:r>
            <w:r w:rsidRPr="00CB64E4" w:rsidR="00E745B5">
              <w:rPr>
                <w:rFonts w:ascii="Arial Narrow" w:hAnsi="Arial Narrow"/>
                <w:b/>
                <w:bCs/>
                <w:sz w:val="22"/>
                <w:szCs w:val="22"/>
              </w:rPr>
              <w:t>a 201</w:t>
            </w:r>
            <w:r w:rsidR="00221382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="00ED17C1">
              <w:rPr>
                <w:rFonts w:ascii="Arial Narrow" w:hAnsi="Arial Narrow"/>
                <w:b/>
                <w:bCs/>
                <w:sz w:val="22"/>
                <w:szCs w:val="22"/>
              </w:rPr>
              <w:t>,</w:t>
            </w:r>
            <w:r w:rsidRPr="00CB64E4" w:rsidR="00E745B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221382" w:rsidR="0022138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ktorou sa mení smernica 2013/34/EÚ, pokiaľ ide o zverejňovanie nefinančných informácií a informácií týkajúcich sa rozmanitosti niektorými veľkými podnikmi a skupinami</w:t>
            </w: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CB64E4">
            <w:pPr>
              <w:pStyle w:val="Heading4"/>
              <w:bidi w:val="0"/>
              <w:spacing w:before="120" w:after="0" w:line="240" w:lineRule="auto"/>
              <w:rPr>
                <w:rFonts w:ascii="Arial Narrow" w:hAnsi="Arial Narrow"/>
              </w:rPr>
            </w:pPr>
            <w:r w:rsidRPr="00CB64E4" w:rsidR="00DE0F85">
              <w:rPr>
                <w:rFonts w:ascii="Arial Narrow" w:hAnsi="Arial Narrow"/>
              </w:rPr>
              <w:t>Smernica EÚ</w:t>
            </w:r>
          </w:p>
          <w:p w:rsidR="00E745B5" w:rsidRPr="00CB64E4" w:rsidP="00E745B5">
            <w:pPr>
              <w:pStyle w:val="BodyText3"/>
              <w:bidi w:val="0"/>
              <w:spacing w:after="0" w:line="240" w:lineRule="exac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EE7DD6" w:rsidRPr="00CB64E4" w:rsidP="00E745B5">
            <w:pPr>
              <w:pStyle w:val="BodyText3"/>
              <w:bidi w:val="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CB64E4" w:rsidR="00E745B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21382" w:rsid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SMERNICA EURÓPSKEHO PARLAMENTU A RADY </w:t>
            </w:r>
            <w:r w:rsidRPr="00221382" w:rsid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  <w:t>2014/95/EÚ</w:t>
            </w:r>
            <w:r w:rsidRPr="00221382" w:rsid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z 22. októbra 2014</w:t>
            </w:r>
            <w:r w:rsidR="00EC51F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,</w:t>
            </w:r>
            <w:r w:rsidRPr="00221382" w:rsid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ktorou sa mení smernica 2013/34/EÚ, pokiaľ ide o zverejňovanie nefinančných informácií a informácií týkajúcich sa rozmanitosti niektorými veľkými podnikmi a skupinami</w:t>
            </w:r>
          </w:p>
        </w:tc>
        <w:tc>
          <w:tcPr>
            <w:tcW w:w="8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17BF4" w:rsidRPr="00CB64E4" w:rsidP="00E745B5">
            <w:pPr>
              <w:pStyle w:val="Heading4"/>
              <w:bidi w:val="0"/>
              <w:spacing w:before="120" w:after="0" w:line="240" w:lineRule="auto"/>
              <w:rPr>
                <w:rFonts w:ascii="Arial Narrow" w:hAnsi="Arial Narrow"/>
              </w:rPr>
            </w:pPr>
            <w:r w:rsidRPr="00CB64E4" w:rsidR="008C54C3">
              <w:rPr>
                <w:rFonts w:ascii="Arial Narrow" w:hAnsi="Arial Narrow"/>
              </w:rPr>
              <w:t>Všeobecne záväzné právn</w:t>
            </w:r>
            <w:r w:rsidRPr="00CB64E4" w:rsidR="00E745B5">
              <w:rPr>
                <w:rFonts w:ascii="Arial Narrow" w:hAnsi="Arial Narrow"/>
              </w:rPr>
              <w:t>e predpisy Slovenskej republiky</w:t>
            </w:r>
          </w:p>
          <w:p w:rsidR="009557B2" w:rsidRPr="00CB64E4" w:rsidP="009557B2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3B1E3F" w:rsidP="009557B2">
            <w:pPr>
              <w:pStyle w:val="Title"/>
              <w:bidi w:val="0"/>
              <w:spacing w:after="0" w:line="240" w:lineRule="auto"/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Zákon č. 431/2002 Z. z. o účtovníctve v znení neskorších predpisov (ďalej len „</w:t>
            </w:r>
            <w:r w:rsidRPr="008D5DF3">
              <w:rPr>
                <w:rFonts w:ascii="Arial Narrow" w:hAnsi="Arial Narrow" w:cs="Arial"/>
                <w:sz w:val="22"/>
                <w:szCs w:val="22"/>
              </w:rPr>
              <w:t>431/2002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>“),</w:t>
            </w:r>
          </w:p>
          <w:p w:rsidR="00064E2C" w:rsidRPr="009823B3" w:rsidP="00064E2C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823B3">
              <w:rPr>
                <w:rFonts w:ascii="Arial Narrow" w:hAnsi="Arial Narrow" w:cs="Arial"/>
                <w:b/>
                <w:sz w:val="22"/>
                <w:szCs w:val="22"/>
              </w:rPr>
              <w:t>Návrh zákona,</w:t>
            </w:r>
            <w:r w:rsidRPr="009823B3">
              <w:rPr>
                <w:rFonts w:ascii="Arial Narrow" w:hAnsi="Arial Narrow"/>
                <w:b/>
                <w:sz w:val="22"/>
                <w:szCs w:val="22"/>
              </w:rPr>
              <w:t xml:space="preserve"> ktorým sa mení a dopĺňa zákon č. 431/2002 Z. z. o účtovníctve v znení neskorších predpisov </w:t>
            </w:r>
            <w:r w:rsidRPr="009823B3">
              <w:rPr>
                <w:rFonts w:ascii="Arial Narrow" w:hAnsi="Arial Narrow" w:cs="Arial"/>
                <w:b/>
                <w:sz w:val="22"/>
                <w:szCs w:val="22"/>
              </w:rPr>
              <w:t>(ďalej len „návrh zákona“)</w:t>
            </w:r>
          </w:p>
          <w:p w:rsidR="0097431E" w:rsidP="009C787A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="009C787A">
              <w:rPr>
                <w:rFonts w:ascii="Arial Narrow" w:hAnsi="Arial Narrow"/>
                <w:sz w:val="22"/>
                <w:szCs w:val="22"/>
              </w:rPr>
              <w:t>Zákon č. 530/2003 Z. z. o obchodnom registri a o zmene a doplnení niektorých zákonov v znení neskorších predpisov (ďalej len „</w:t>
            </w:r>
            <w:r w:rsidRPr="008E3A4F" w:rsidR="009C787A">
              <w:rPr>
                <w:rFonts w:ascii="Arial Narrow" w:hAnsi="Arial Narrow"/>
                <w:b/>
                <w:sz w:val="22"/>
                <w:szCs w:val="22"/>
              </w:rPr>
              <w:t>530/2003</w:t>
            </w:r>
            <w:r w:rsidR="009C787A">
              <w:rPr>
                <w:rFonts w:ascii="Arial Narrow" w:hAnsi="Arial Narrow"/>
                <w:sz w:val="22"/>
                <w:szCs w:val="22"/>
              </w:rPr>
              <w:t>“)</w:t>
            </w:r>
          </w:p>
          <w:p w:rsidR="00B66E45" w:rsidRPr="00BF7BEA" w:rsidP="00BF7BEA">
            <w:pPr>
              <w:bidi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="009C787A">
              <w:rPr>
                <w:rFonts w:ascii="Arial Narrow" w:hAnsi="Arial Narrow"/>
                <w:sz w:val="22"/>
                <w:szCs w:val="22"/>
              </w:rPr>
              <w:t>Zákon č. 513/1991 Zb. Obchodný zákonník v znení neskorších predpisov (ďalej len „</w:t>
            </w:r>
            <w:r w:rsidRPr="00B66E45" w:rsidR="009C787A">
              <w:rPr>
                <w:rFonts w:ascii="Arial Narrow" w:hAnsi="Arial Narrow"/>
                <w:b/>
                <w:sz w:val="22"/>
                <w:szCs w:val="22"/>
              </w:rPr>
              <w:t>513/1991</w:t>
            </w:r>
            <w:r w:rsidR="009C787A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BodyText2"/>
              <w:bidi w:val="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BodyText2"/>
              <w:bidi w:val="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 w:rsidR="005170A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Článok</w:t>
            </w:r>
          </w:p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(Č, O,</w:t>
            </w:r>
          </w:p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V, P)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Spôsob transp.</w:t>
            </w:r>
          </w:p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(N, O, D, n.a.)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Číslo</w:t>
            </w:r>
          </w:p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Článok (Č, §, O, V, 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Poznámky</w:t>
            </w: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A6697" w:rsidP="00221382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 xml:space="preserve">Čl. 1 </w:t>
            </w:r>
          </w:p>
          <w:p w:rsidR="00221382" w:rsidRPr="00CB64E4" w:rsidP="00221382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221382" w:rsidP="009557B2">
            <w:pPr>
              <w:pStyle w:val="CM4"/>
              <w:bidi w:val="0"/>
              <w:spacing w:before="60" w:after="6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2138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Zmeny smernice 2013/34/EÚ Smernica 2013/34/EÚ sa mení takto: 1. Vkladá sa tento článok: </w:t>
            </w:r>
          </w:p>
          <w:p w:rsidR="00221382" w:rsidP="009557B2">
            <w:pPr>
              <w:pStyle w:val="CM4"/>
              <w:bidi w:val="0"/>
              <w:spacing w:before="60" w:after="6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2138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„Článok 19a Nefinančný výkaz </w:t>
            </w:r>
          </w:p>
          <w:p w:rsidR="009A6697" w:rsidP="009557B2">
            <w:pPr>
              <w:pStyle w:val="CM4"/>
              <w:bidi w:val="0"/>
              <w:spacing w:before="60" w:after="6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221382" w:rsidR="00221382">
              <w:rPr>
                <w:rFonts w:ascii="Arial Narrow" w:hAnsi="Arial Narrow"/>
                <w:bCs/>
                <w:sz w:val="22"/>
                <w:szCs w:val="22"/>
              </w:rPr>
              <w:t>1.Veľké podniky, ktoré sú subjektmi verejného záujmu a ktoré k súvahovému dňu vykazujú, že prekročili kritérium priemerného počtu 500 zamestnancov počas účtovného obdobia, zahrnú do správy o hospodárení aj nefinančný výkaz obsahujúci informácie v rozsahu potrebnom na pochopenie vývoja, správania, pozície a vplyvu činnosti podniku týkajúce sa minimálne environmentálnych, sociálnych a zamestnaneckých záležitostí, dodržiavania ľudských práv a boja proti korupcii a úplatkárstvu vrátane: a) stručného opisu obchodného modelu podniku; b) opisu politík, ktoré podnik uplatňuje vo vzťahu k uvedeným záležitostiam, a to vrátane postupov použitých v súlade so zásadou náležitej starostlivosti; c) výsledkov uvedených politík;</w:t>
            </w:r>
          </w:p>
          <w:p w:rsidR="00221382" w:rsidP="00221382">
            <w:pPr>
              <w:pStyle w:val="Default"/>
              <w:bidi w:val="0"/>
              <w:spacing w:after="0" w:line="240" w:lineRule="auto"/>
            </w:pPr>
            <w:r w:rsidRPr="00221382">
              <w:t xml:space="preserve">d)hlavných rizík týkajúcich sa uvedených záležitostí a spojených s činnosťami podniku vrátane, tam kde je to náležité a primerané, jeho obchodných vzťahov, produktov alebo služieb, ktoré by mohli mať nepriaznivé dôsledky na dané oblasti, a spôsobu, akým podnik tieto riziká riadi; e) kľúčových nefinančných ukazovateľov správania relevantných pre konkrétne podnikanie. Ak podnik neuplatňuje politiky v súvislosti s jednou alebo viacerými z uvedených záležitostí, v nefinančnom vyhlásení poskytne jasné a odôvodnené vysvetlenie, prečo ich neuplatňuje. Nefinančný výkaz uvedený v prvom pododseku obsahuje, ak je to vhodné, aj odkazy na sumy vykazované vo výročných finančných výkazoch a ďalšie vysvetlenia k nim. Členské štáty môžu povoliť, aby sa vo výnimočných prípadoch vypustili informácie o neukončených veciach alebo veciach, o ktorých sa rokuje, keď – v riadne odôvodnenom stanovisku členov správnych, riadiacich a dozorných orgánov, ktorí konajú v rámci právomocí na základe vnútroštátnych právnych predpisov a ktorí majú za uvedené stanovisko kolektívnu zodpovednosť – by zverejnenie takýchto informácií mohlo vážne poškodiť obchodnú pozíciu podniku, za predpokladu, že takéto vypustenie nebráni správnemu a vyváženému pochopeniu vývoja, správania, pozície a vplyvu činnosti podniku. Pri požadovaní zverejnenia informácií uvedených v prvom pododseku členské štáty zabezpečia, že podnik môže vychádzať z vnútroštátnych rámcov, rámcov Únie alebo medzinárodných rámcov, </w:t>
            </w:r>
            <w:r w:rsidRPr="00221382">
              <w:t>a v takom prípade podniky presne uvedú, z ktorých rámcov vychádzali.</w:t>
            </w:r>
          </w:p>
          <w:p w:rsidR="009C3481" w:rsidP="00221382">
            <w:pPr>
              <w:pStyle w:val="Default"/>
              <w:bidi w:val="0"/>
              <w:spacing w:after="0" w:line="240" w:lineRule="auto"/>
            </w:pPr>
          </w:p>
          <w:p w:rsidR="009C3481" w:rsidP="00221382">
            <w:pPr>
              <w:pStyle w:val="Default"/>
              <w:bidi w:val="0"/>
              <w:spacing w:after="0" w:line="240" w:lineRule="auto"/>
            </w:pPr>
            <w:r w:rsidRPr="00221382" w:rsidR="00221382">
              <w:t xml:space="preserve">2.Podniky, ktoré si splnili povinnosť uvedenú v odseku 1, majú splnenú povinnosť týkajúcu sa analýzy nefinančných informácií stanovenej v článku 19 ods. 1 treťom pododseku. </w:t>
            </w:r>
          </w:p>
          <w:p w:rsidR="009C3481" w:rsidP="00221382">
            <w:pPr>
              <w:pStyle w:val="Default"/>
              <w:bidi w:val="0"/>
              <w:spacing w:after="0" w:line="240" w:lineRule="auto"/>
            </w:pPr>
          </w:p>
          <w:p w:rsidR="009C3481" w:rsidP="00221382">
            <w:pPr>
              <w:pStyle w:val="Default"/>
              <w:bidi w:val="0"/>
              <w:spacing w:after="0" w:line="240" w:lineRule="auto"/>
            </w:pPr>
            <w:r w:rsidRPr="00221382" w:rsidR="00221382">
              <w:t xml:space="preserve">3.Podnik, ktorý je dcérskym podnikom, je oslobodený od povinnosti uvedenej v odseku 1, ak uvedený podnik a jeho dcérske podniky sú zahrnuté do konsolidovanej správy o hospodárení alebo samostatnej správy iného podniku, ktoré boli </w:t>
            </w:r>
            <w:r w:rsidRPr="00221382" w:rsidR="00221382">
              <w:t xml:space="preserve">vypracované v súlade s článkom 29 a týmto článkom. </w:t>
            </w:r>
          </w:p>
          <w:p w:rsidR="009C3481" w:rsidP="00221382">
            <w:pPr>
              <w:pStyle w:val="Default"/>
              <w:bidi w:val="0"/>
              <w:spacing w:after="0" w:line="240" w:lineRule="auto"/>
            </w:pPr>
          </w:p>
          <w:p w:rsidR="00221382" w:rsidP="00221382">
            <w:pPr>
              <w:pStyle w:val="Default"/>
              <w:bidi w:val="0"/>
              <w:spacing w:after="0" w:line="240" w:lineRule="auto"/>
            </w:pPr>
            <w:r w:rsidRPr="00221382">
              <w:t>4.Ak podnik pripravuje samostatnú správu týkajúcu sa toho istého účtovného obdobia – bez ohľadu na to, či vychádza z vnútroštátnych rámcov, rámcov Únie alebo medzinárodných rámcov –, ktorá sa týka informácií požadovaných pre nefinančný výkaz, ako je stanovené v odseku 1, členské štáty môžu tento podnik oslobodiť od povinnosti pripraviť nefinančný výkaz stanovený v odseku 1 za predpokladu, že táto samostatná správa: a) je uverejnená spolu so správou o hospodárení v súlade s článkom 30 alebo b)je verejne sprístupnená v primeranej lehote, ktorá nie je dlhšia ako šesť mesiacov po súvahovom dni, na internetovej stránke podniku a odkazuje sa na ňu v správe o hospodárení. Odsek 2 sa uplatňuje mutatis mutandis na po</w:t>
            </w:r>
            <w:r w:rsidRPr="00221382">
              <w:t xml:space="preserve">dniky, ktoré pripravujú samostatnú správu, ako sa uvádza v prvom pododseku tohto odseku. </w:t>
            </w:r>
          </w:p>
          <w:p w:rsidR="00221382" w:rsidP="00221382">
            <w:pPr>
              <w:pStyle w:val="Default"/>
              <w:bidi w:val="0"/>
              <w:spacing w:after="0" w:line="240" w:lineRule="auto"/>
            </w:pPr>
          </w:p>
          <w:p w:rsidR="00221382" w:rsidP="00221382">
            <w:pPr>
              <w:pStyle w:val="Default"/>
              <w:bidi w:val="0"/>
              <w:spacing w:after="0" w:line="240" w:lineRule="auto"/>
            </w:pPr>
            <w:r w:rsidRPr="00221382">
              <w:t>5.</w:t>
            </w:r>
            <w:r>
              <w:t xml:space="preserve"> </w:t>
            </w:r>
            <w:r w:rsidRPr="00221382">
              <w:t xml:space="preserve">Členské štáty zabezpečia, aby štatutárny audítor alebo audítorská firma skontrolovali, či bol poskytnutý nefinančný výkaz uvedený v odseku 1, alebo samostatná správa uvedená v odseku 4. </w:t>
            </w:r>
          </w:p>
          <w:p w:rsidR="00221382" w:rsidP="00221382">
            <w:pPr>
              <w:pStyle w:val="Default"/>
              <w:bidi w:val="0"/>
              <w:spacing w:after="0" w:line="240" w:lineRule="auto"/>
            </w:pPr>
          </w:p>
          <w:p w:rsidR="00221382" w:rsidRPr="00221382" w:rsidP="00221382">
            <w:pPr>
              <w:pStyle w:val="Default"/>
              <w:bidi w:val="0"/>
              <w:spacing w:after="0" w:line="240" w:lineRule="auto"/>
            </w:pPr>
            <w:r w:rsidRPr="00221382">
              <w:t>6.Členské štáty môžu požadovať, aby vierohodnosť informácií nefinančného výkazu uvedeného v odseku 1 alebo samostatnej správy uvedenej v odseku 4 overil nezávislý poskytovateľ uisťovacích služieb.“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9A6697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A6697" w:rsidRPr="00B537F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37FC" w:rsidR="00B537FC">
              <w:rPr>
                <w:rFonts w:ascii="Arial Narrow" w:hAnsi="Arial Narrow"/>
                <w:b/>
                <w:sz w:val="22"/>
                <w:szCs w:val="22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A6697" w:rsidRPr="00C018CF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018CF" w:rsidR="00B537FC">
              <w:rPr>
                <w:rFonts w:ascii="Arial Narrow" w:hAnsi="Arial Narrow"/>
                <w:b/>
                <w:sz w:val="22"/>
                <w:szCs w:val="22"/>
              </w:rPr>
              <w:t>§ 20</w:t>
            </w:r>
          </w:p>
          <w:p w:rsidR="00B537FC" w:rsidRPr="00CB64E4" w:rsidP="00C018CF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018CF">
              <w:rPr>
                <w:rFonts w:ascii="Arial Narrow" w:hAnsi="Arial Narrow"/>
                <w:b/>
                <w:sz w:val="22"/>
                <w:szCs w:val="22"/>
              </w:rPr>
              <w:t>O: 9</w:t>
            </w:r>
            <w:r w:rsidRPr="00C018CF" w:rsidR="004A48A5">
              <w:rPr>
                <w:rFonts w:ascii="Arial Narrow" w:hAnsi="Arial Narrow"/>
                <w:b/>
                <w:sz w:val="22"/>
                <w:szCs w:val="22"/>
              </w:rPr>
              <w:t xml:space="preserve"> až O:1</w:t>
            </w:r>
            <w:r w:rsidRPr="00C018CF" w:rsidR="00C018CF">
              <w:rPr>
                <w:rFonts w:ascii="Arial Narrow" w:hAnsi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Subjekt verejného záujmu, okrem účtovnej jednotky podľa § 17b, ktorého priemerný prepočítaný počet zamestnancov za účtovné obdobie prekročil 500 zamestnancov, uvádza vo výročnej správe aj nefinančné informácie o vývoji, konaní, pozícii a o vplyve činnosti účtovnej jednotky na environmentálnu, sociálnu a zamestnaneckú oblasť, informáciu o dodržiavaní ľudských práv a informáciu o boji proti korupcii a úplatkárstvu (ďalej len „oblasť spoločenskej zodpovednosti“), pričom uvedie najmä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stručný opis obchodného modelu,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opis a výsledky používania politiky, ktorú účtovná jednotka uplatňuje v oblasti spoločenskej zodpovednosti,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opis hlavných rizík vplyvu účtovnej jednotky na oblasť spoločenskej zodpovednosti vyplývajúceho z činnosti účtovnej jednotky, ktorý by mohol mať nepriaznivé dôsledky, a ak je to primerané aj opis obchodných vzťahov, produktov alebo služieb, ktoré účtovná jednotka poskytuje, a opis spôsobu, akým účtovná jednotka tieto riziká riadi,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významné nefinančné informácie o činnosti účtovnej jednotky podľa jednotlivých činností,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odkaz na informácie o sumách vykázaných v účtovnej závierke a vysvetlenie týchto súm z hľadiska vplyvov na oblasť spoločenskej zodpovednosti, ak je to vhodné.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(10) Subjekt verejného záujmu môže pri informáciách podľa odseku 9 vychádzať aj z rámca Európskej únie alebo z iného medzinárodného rámca, ktorý upravuje nefinančné informácie, ak presne uvedie podľa akého rámca postupoval.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(11) Povinnosť uviesť informácie podľa odseku 9 nemá subjekt verejného záujmu, ktorý je dcérskou účtovnou jednotkou, ak sú informácie o ňom a všetkých jeho dcérskych účtovných jednotkách zahrnuté vo výročnej správe  alebo v obdobnej správe materskej účtovnej jednotky.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A6697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</w:rPr>
            </w:pPr>
            <w:r w:rsidRPr="00B62780" w:rsidR="00B62780">
              <w:rPr>
                <w:rFonts w:ascii="Arial Narrow" w:hAnsi="Arial Narrow"/>
                <w:b/>
              </w:rPr>
              <w:t>(12) Ak subjekt verejného záujmu nezverejňuje informácie podľa odseku 9, uvedie vo výročnej správe jasné a odôvodnené vysvetlenie dôvodov, na základe ktorých tak nekonal.</w:t>
            </w:r>
          </w:p>
          <w:p w:rsidR="00B62780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62780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 xml:space="preserve">(13) Účtovná jednotka, ktorá emitovala cenné papiere a tieto boli prijaté na obchodovanie na regulovanom trhu ktoréhokoľvek členského štátu, uvedie vo výročnej správe aj opis politiky rozmanitosti, ktorú uplatňuje vo svojich správnych orgánoch, riadiacich orgánoch a dozorných orgánoch najmä vo vzťahu k veku, pohlaviu, vzdelaniu a profesijným skúsenostiam členov týchto orgánov, ciele takejto politiky, spôsob akým sa vykonáva a dosiahnuté výsledky vo vykazovanom období, ak ku dňu, ku ktorému sa zostavuje účtovná závierka, </w:t>
            </w:r>
            <w:r w:rsidR="00C15E38">
              <w:rPr>
                <w:rFonts w:ascii="Arial Narrow" w:hAnsi="Arial Narrow"/>
                <w:b/>
              </w:rPr>
              <w:t>splni</w:t>
            </w:r>
            <w:r w:rsidRPr="00B62780">
              <w:rPr>
                <w:rFonts w:ascii="Arial Narrow" w:hAnsi="Arial Narrow"/>
                <w:b/>
              </w:rPr>
              <w:t>la aspoň dve z týchto podmienok:</w:t>
            </w:r>
          </w:p>
          <w:p w:rsidR="00B62780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a)</w:t>
              <w:tab/>
              <w:t>celková suma majetku presiahla 20 000 000 eur, pričom sumou majetku na tento účel sa rozumie suma zistená zo súvahy v ocenení upravenom o položky podľa § 26 ods. 3,</w:t>
            </w:r>
          </w:p>
          <w:p w:rsidR="00B62780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b)</w:t>
              <w:tab/>
              <w:t>čistý obrat presiahol 40 000 000 eur,</w:t>
            </w:r>
          </w:p>
          <w:p w:rsidR="00B62780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c)</w:t>
              <w:tab/>
              <w:t>priemerný prepočítaný počet zamestnancov presiahol 250.</w:t>
            </w:r>
          </w:p>
          <w:p w:rsidR="00B62780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62780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(14) Účtovná jednotka, ktorá neuvádza vo výročnej správe opis politiky rozmanitosti podľa odseku 13, uvádza vo výročnej správe dôvody, na základe ktorých sa rozhodla neuplatňovať politiku rozmanitosti.</w:t>
            </w:r>
          </w:p>
          <w:p w:rsidR="00B62780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62780" w:rsidRPr="00C018CF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</w:rPr>
            </w:pPr>
            <w:r w:rsidRPr="00B62780">
              <w:rPr>
                <w:rFonts w:ascii="Arial Narrow" w:hAnsi="Arial Narrow"/>
                <w:b/>
              </w:rPr>
              <w:t>(15) Uvedením informácií podľa odseku 9 je splnená povinnosť účtovnej jednotky uvádzať nefinančné informácie  o vplyve činnosti účtovnej jednotky na životné prostredie a na zamestnanosť podľa odseku 1 písm. a).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A6697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1D0863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9A6697" w:rsidRPr="00464943" w:rsidP="0046494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97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CB64E4" w:rsidP="004577E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C:1</w:t>
            </w:r>
          </w:p>
          <w:p w:rsidR="004F4517" w:rsidRPr="00CB64E4" w:rsidP="004577E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O: 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P="00E47B6E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Článok 20 sa mení takto: </w:t>
            </w:r>
          </w:p>
          <w:p w:rsidR="004F4517" w:rsidP="00ED0BD7">
            <w:pPr>
              <w:pStyle w:val="Normlny"/>
              <w:numPr>
                <w:numId w:val="1"/>
              </w:numPr>
              <w:bidi w:val="0"/>
              <w:spacing w:after="0" w:line="240" w:lineRule="auto"/>
              <w:ind w:left="382" w:hanging="283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V odseku 1 sa dopĺňa toto písmeno: </w:t>
            </w:r>
          </w:p>
          <w:p w:rsidR="004F4517" w:rsidP="009C3481">
            <w:pPr>
              <w:pStyle w:val="Normlny"/>
              <w:bidi w:val="0"/>
              <w:spacing w:after="0" w:line="240" w:lineRule="auto"/>
              <w:ind w:left="382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>„g) opis politiky rozmanitosti, ktorú podnik uplatňuje vo vzťahu k svojim správnym, riadiacim a dozorným orgánom, pokiaľ ide o aspekty, ako napríklad vek, pohlavie alebo vzdelanie a profesionálne skúsenosti, ciele uvedenej politiky rozmanitosti, ako sa vykonáva, a výsledky vo vykazovanom období. Ak sa takáto politika neuplatňuje, výkaz obsahuje vysvetlenie, prečo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je to tak.“ </w:t>
            </w:r>
          </w:p>
          <w:p w:rsidR="004F4517" w:rsidRPr="00CB64E4" w:rsidP="004F4517">
            <w:pPr>
              <w:pStyle w:val="Normlny"/>
              <w:bidi w:val="0"/>
              <w:spacing w:after="0" w:line="240" w:lineRule="auto"/>
              <w:ind w:left="720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F4517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4F4517" w:rsidP="00D74E1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F4517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4F4517" w:rsidP="004577E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F4517">
              <w:rPr>
                <w:rFonts w:ascii="Arial Narrow" w:hAnsi="Arial Narrow"/>
                <w:b/>
                <w:sz w:val="22"/>
                <w:szCs w:val="22"/>
              </w:rPr>
              <w:t>§ 20</w:t>
            </w:r>
          </w:p>
          <w:p w:rsidR="004F4517" w:rsidRPr="004F4517" w:rsidP="004577E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F4517">
              <w:rPr>
                <w:rFonts w:ascii="Arial Narrow" w:hAnsi="Arial Narrow"/>
                <w:b/>
                <w:sz w:val="22"/>
                <w:szCs w:val="22"/>
              </w:rPr>
              <w:t>O: 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18CF" w:rsidRPr="00C018CF" w:rsidP="00C018C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</w:rPr>
            </w:pPr>
            <w:r w:rsidRPr="00C018CF">
              <w:rPr>
                <w:rFonts w:ascii="Arial Narrow" w:hAnsi="Arial Narrow"/>
                <w:b/>
              </w:rPr>
              <w:t>(14) Účtovná jednotka, ktorá neuvádza vo výročnej správe opis politiky rozmanitosti podľa odseku 13, uvádza vo výročnej správe dôvody, na základe ktorých sa rozhodla neuplatňovať politiku rozmanitosti.</w:t>
            </w:r>
          </w:p>
          <w:p w:rsidR="004F4517" w:rsidRPr="003D3CF6" w:rsidP="003D3CF6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082F02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F4517" w:rsidRPr="00CB64E4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vMerge/>
            <w:tcBorders>
              <w:top w:val="none" w:sz="0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P="00ED0BD7">
            <w:pPr>
              <w:pStyle w:val="Normlny"/>
              <w:numPr>
                <w:numId w:val="1"/>
              </w:numPr>
              <w:bidi w:val="0"/>
              <w:spacing w:after="0" w:line="240" w:lineRule="auto"/>
              <w:ind w:left="382" w:hanging="283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Odsek 3 sa nahrádza takto: </w:t>
            </w:r>
          </w:p>
          <w:p w:rsidR="004F4517" w:rsidRPr="009C3481" w:rsidP="004F4517">
            <w:pPr>
              <w:pStyle w:val="Normlny"/>
              <w:bidi w:val="0"/>
              <w:spacing w:after="0" w:line="240" w:lineRule="auto"/>
              <w:ind w:left="720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„3.Štatutárny audítor alebo audítorská firma vyjadria stanovisko v súlade s článkom 34 ods. 1 druhým pododsekom v súvislosti s informáciami vypracovanými podľa odseku 1 písm. c) a d) tohto článku a skontrolujú, či sa poskytli informácie uvedené v odseku 1 písm. a), b), e), f) a g) tohto článku.“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F4517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5F5C4E" w:rsidP="005F5C4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4F4517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F4517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§ 20</w:t>
            </w:r>
          </w:p>
          <w:p w:rsidR="004F4517" w:rsidRPr="004F4517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O: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018CF" w:rsidRPr="001C6E4D" w:rsidP="00C018CF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C6E4D">
              <w:rPr>
                <w:rFonts w:ascii="Arial Narrow" w:hAnsi="Arial Narrow"/>
                <w:b/>
                <w:sz w:val="22"/>
                <w:szCs w:val="22"/>
              </w:rPr>
              <w:t>(3) Výročná správa účtovnej jednotky podľa odseku 1 musí poskytovať verný a pravdivý obraz a musí byť overená audítorom do jedného roka od skončenia účtovného obdobia. Audítor musí</w:t>
            </w:r>
          </w:p>
          <w:p w:rsidR="00C018CF" w:rsidRPr="001C6E4D" w:rsidP="00C018CF">
            <w:pPr>
              <w:numPr>
                <w:numId w:val="7"/>
              </w:numPr>
              <w:autoSpaceDE/>
              <w:autoSpaceDN/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C6E4D">
              <w:rPr>
                <w:rFonts w:ascii="Arial Narrow" w:hAnsi="Arial Narrow"/>
                <w:b/>
                <w:sz w:val="22"/>
                <w:szCs w:val="22"/>
              </w:rPr>
              <w:t>vyjadriť názor, či je výročná správa v súlade s účtovnou závierkou, s výnimkou výročnej správy podľa osobitného predpisu,</w:t>
            </w:r>
            <w:r w:rsidRPr="001C6E4D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27</w:t>
            </w:r>
            <w:r w:rsidRPr="001C6E4D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:rsidR="00C018CF" w:rsidRPr="001C6E4D" w:rsidP="00C018CF">
            <w:pPr>
              <w:numPr>
                <w:numId w:val="7"/>
              </w:numPr>
              <w:autoSpaceDE/>
              <w:autoSpaceDN/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C6E4D">
              <w:rPr>
                <w:rFonts w:ascii="Arial Narrow" w:hAnsi="Arial Narrow"/>
                <w:b/>
                <w:sz w:val="22"/>
                <w:szCs w:val="22"/>
              </w:rPr>
              <w:t>vyjadriť názor na informácie uvedené v odseku 6 písm. d) a v odseku 7 písm. c) až e), g) a h),</w:t>
            </w:r>
          </w:p>
          <w:p w:rsidR="00C018CF" w:rsidRPr="001C6E4D" w:rsidP="00C018CF">
            <w:pPr>
              <w:numPr>
                <w:numId w:val="7"/>
              </w:numPr>
              <w:autoSpaceDE/>
              <w:autoSpaceDN/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C6E4D">
              <w:rPr>
                <w:rFonts w:ascii="Arial Narrow" w:hAnsi="Arial Narrow"/>
                <w:b/>
                <w:sz w:val="22"/>
                <w:szCs w:val="22"/>
              </w:rPr>
              <w:t>vyjadriť názor, či výročná správa obsahuje informácie podľa osobitného predpisu,</w:t>
            </w:r>
            <w:r w:rsidRPr="001C6E4D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28ab</w:t>
            </w:r>
            <w:r w:rsidRPr="001C6E4D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:rsidR="00C018CF" w:rsidRPr="001C6E4D" w:rsidP="00C018CF">
            <w:pPr>
              <w:numPr>
                <w:numId w:val="7"/>
              </w:numPr>
              <w:autoSpaceDE/>
              <w:autoSpaceDN/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C6E4D">
              <w:rPr>
                <w:rFonts w:ascii="Arial Narrow" w:hAnsi="Arial Narrow"/>
                <w:b/>
                <w:sz w:val="22"/>
                <w:szCs w:val="22"/>
              </w:rPr>
              <w:t>vyjadriť názor, či výročná správa obsahuje informácie podľa tohto zákona,</w:t>
            </w:r>
          </w:p>
          <w:p w:rsidR="00C018CF" w:rsidRPr="001C6E4D" w:rsidP="00C018CF">
            <w:pPr>
              <w:numPr>
                <w:numId w:val="7"/>
              </w:numPr>
              <w:autoSpaceDE/>
              <w:autoSpaceDN/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C6E4D">
              <w:rPr>
                <w:rFonts w:ascii="Arial Narrow" w:hAnsi="Arial Narrow"/>
                <w:b/>
                <w:sz w:val="22"/>
                <w:szCs w:val="22"/>
              </w:rPr>
              <w:t>uviesť, či na základe poznatkov o účtovnej jednotke a situácii v nej zistil významné nesprávnosti vo výročnej správe a uviesť charakter každej takejto významnej nesprávnosti.</w:t>
            </w:r>
          </w:p>
          <w:p w:rsidR="00C018CF" w:rsidRPr="001C6E4D" w:rsidP="00E136CF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C6E4D">
              <w:rPr>
                <w:rFonts w:ascii="Arial Narrow" w:hAnsi="Arial Narrow"/>
                <w:b/>
                <w:sz w:val="22"/>
                <w:szCs w:val="22"/>
              </w:rPr>
              <w:t>Poznámky pod čiarou k odkazom 27  a 28ab znejú:</w:t>
            </w:r>
          </w:p>
          <w:p w:rsidR="00C018CF" w:rsidRPr="001C6E4D" w:rsidP="00C018CF">
            <w:pPr>
              <w:bidi w:val="0"/>
              <w:spacing w:after="0" w:line="240" w:lineRule="auto"/>
              <w:ind w:left="3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C6E4D">
              <w:rPr>
                <w:rFonts w:ascii="Arial Narrow" w:hAnsi="Arial Narrow"/>
                <w:b/>
                <w:sz w:val="22"/>
                <w:szCs w:val="22"/>
              </w:rPr>
              <w:t>„27) Napríklad § 38 zákona Národnej rady Slovenskej republiky č. 566/1992 Zb. v znení neskorších predpisov, § 33 ods. 3 zákona č. 213/1997 Z. z. v znení zákona č. 445/2008 Z. z.,  § 34 ods. 3 zákona č. 34/2002 Z. z. v znení zákona č. 463/2013 Z. z.</w:t>
            </w:r>
          </w:p>
          <w:p w:rsidR="004F4517" w:rsidRPr="005F5C4E" w:rsidP="005F5C4E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1C6E4D" w:rsidR="00C018CF">
              <w:rPr>
                <w:rFonts w:ascii="Arial Narrow" w:hAnsi="Arial Narrow"/>
                <w:b/>
                <w:sz w:val="22"/>
                <w:szCs w:val="22"/>
              </w:rPr>
              <w:t>28ab) Napríklad § 15 zákona č. 429/2002 Z. z. v znení neskorších predpisov, § 76 zákona č. 566/2001 Z. z. v znení neskorších predpisov.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F4517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F4517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vMerge/>
            <w:tcBorders>
              <w:top w:val="none" w:sz="0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9C3481" w:rsidP="004F4517">
            <w:pPr>
              <w:pStyle w:val="Normlny"/>
              <w:bidi w:val="0"/>
              <w:spacing w:after="0" w:line="240" w:lineRule="auto"/>
              <w:ind w:left="720" w:hanging="621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>c) Odsek 4 sa nahrádza takto: „4.Členské štáty môžu oslobodiť od povinnosti uplatňovať odsek 1 písm. a), b), e), f) a g) tohto článku podniky uvedené v odseku 1, ktoré emitovali len iné cenné papiere než akcie prijaté na obchodovanie na regulovanom trhu v zmysle článku 4 ods. 1 bodu 14 smernice 2004/39/ES, ak tieto podniky neemitovali akcie, s ktorými sa obchoduje v multilaterálnom obchodnom systéme v zmysle článku 4 ods. 1 bodu 15 smernice 2004/39/ES.“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F4517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4F4517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F4517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zákona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4F4517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F4517">
              <w:rPr>
                <w:rFonts w:ascii="Arial Narrow" w:hAnsi="Arial Narrow"/>
                <w:b/>
                <w:sz w:val="22"/>
                <w:szCs w:val="22"/>
              </w:rPr>
              <w:t>§ 20</w:t>
            </w:r>
          </w:p>
          <w:p w:rsidR="004F4517" w:rsidRPr="004F4517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F4517">
              <w:rPr>
                <w:rFonts w:ascii="Arial Narrow" w:hAnsi="Arial Narrow"/>
                <w:b/>
                <w:sz w:val="22"/>
                <w:szCs w:val="22"/>
              </w:rPr>
              <w:t>O: 13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B62780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62780">
              <w:rPr>
                <w:rFonts w:ascii="Arial Narrow" w:hAnsi="Arial Narrow"/>
                <w:b/>
                <w:sz w:val="22"/>
                <w:szCs w:val="22"/>
              </w:rPr>
              <w:t xml:space="preserve">(13) Účtovná jednotka, ktorá emitovala cenné papiere a tieto boli prijaté na obchodovanie na regulovanom trhu ktoréhokoľvek členského štátu, uvedie vo výročnej správe aj opis politiky rozmanitosti, ktorú uplatňuje vo svojich správnych orgánoch, riadiacich orgánoch a dozorných orgánoch najmä vo vzťahu k veku, pohlaviu, vzdelaniu a profesijným skúsenostiam členov týchto orgánov, ciele takejto politiky, spôsob akým sa vykonáva a dosiahnuté výsledky vo vykazovanom období, ak ku dňu, ku ktorému sa zostavuje účtovná závierka, </w:t>
            </w:r>
            <w:r w:rsidR="00C15E38">
              <w:rPr>
                <w:rFonts w:ascii="Arial Narrow" w:hAnsi="Arial Narrow"/>
                <w:b/>
                <w:sz w:val="22"/>
                <w:szCs w:val="22"/>
              </w:rPr>
              <w:t>spln</w:t>
            </w:r>
            <w:r w:rsidRPr="00B62780">
              <w:rPr>
                <w:rFonts w:ascii="Arial Narrow" w:hAnsi="Arial Narrow"/>
                <w:b/>
                <w:sz w:val="22"/>
                <w:szCs w:val="22"/>
              </w:rPr>
              <w:t>ila aspoň dve z týchto podmienok:</w:t>
            </w:r>
          </w:p>
          <w:p w:rsidR="00B62780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62780">
              <w:rPr>
                <w:rFonts w:ascii="Arial Narrow" w:hAnsi="Arial Narrow"/>
                <w:b/>
                <w:sz w:val="22"/>
                <w:szCs w:val="22"/>
              </w:rPr>
              <w:t>a) celková suma majetku presiahla 20 000 000 eur, pričom sumou majetku na tento účel sa rozumie suma zistená zo súvahy v ocenení upravenom o položky podľa § 26 ods. 3,</w:t>
            </w:r>
          </w:p>
          <w:p w:rsidR="00B62780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62780">
              <w:rPr>
                <w:rFonts w:ascii="Arial Narrow" w:hAnsi="Arial Narrow"/>
                <w:b/>
                <w:sz w:val="22"/>
                <w:szCs w:val="22"/>
              </w:rPr>
              <w:t>b) čistý obrat presiahol 40 000 000 eur,</w:t>
            </w:r>
          </w:p>
          <w:p w:rsidR="004F4517" w:rsidRPr="00B62780" w:rsidP="00B62780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62780" w:rsidR="00B62780">
              <w:rPr>
                <w:rFonts w:ascii="Arial Narrow" w:hAnsi="Arial Narrow"/>
                <w:b/>
                <w:sz w:val="22"/>
                <w:szCs w:val="22"/>
              </w:rPr>
              <w:t>c) priemerný prepočítaný počet zamestnancov presiahol 250.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4F4517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vMerge/>
            <w:tcBorders>
              <w:top w:val="none" w:sz="0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>d) Dopĺňa sa tento odsek: „5.Bez toho, aby bol dotknutý článok 40, sa odsek 1 písm. g) nevzťahuje na malé a stredné podniky.“</w:t>
            </w:r>
          </w:p>
        </w:tc>
        <w:tc>
          <w:tcPr>
            <w:tcW w:w="567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F4517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CB64E4" w:rsidP="00451273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4517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F4517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9C3481">
              <w:rPr>
                <w:rFonts w:ascii="Arial Narrow" w:hAnsi="Arial Narrow"/>
                <w:sz w:val="22"/>
                <w:szCs w:val="22"/>
              </w:rPr>
              <w:t>Čl. 1</w:t>
            </w:r>
          </w:p>
          <w:p w:rsidR="009C3481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>Vkladá sa tento článok: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 „Článok 29a Konsolidovaný nefinančný výkaz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1.Subjekty verejného záujmu, ktoré sú materskými podnikmi veľkej skupiny a ktoré k súvahovému dňu na konsolidovanom základe vykazujú, že prekročili kritérium priemerného počtu 500 zamestnancov počas účtovného obdobia, zahrnú do konsolidovanej správy o hospodárení aj konsolidovaný nefinančný výkaz s informáciami v rozsahu potrebnom na pochopenie vývoja, správania, pozície a vplyvu činnosti skupiny týkajúcimi sa minimálne environmentálnych, sociálnych a zamestnaneckých záležitostí, dodržiavania ľudských práv a boja proti korupcii a úplatkárstvu vrátane: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>a) stručného opisu obchodného modelu skupiny;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 b) opisu politík, ktoré skupina uplatňuje vo vzťahu k uvedeným záležitostiam, a to vrátane postupov použitých v súlade so zásadou náležitej starostlivosti;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c) výsledkov uvedených politík;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d)hlavných rizík súvisiacich s uvedenými záležitosťami, ktoré sa týkajú činností skupiny, podľa potreby a primeranosti vrátane jej obchodných vzťahov, produktov alebo služieb, ktoré by mohli mať nepriaznivé dôsledky na dané oblasti, a spôsobu, akým skupina uvedené riziká riadi;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e) nefinančných hlavných ukazovateľov výkonnosti relevantných pre konkrétne podnikanie.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Ak skupina neuplatňuje politiky v súvislosti s jednou alebo viacerými z uvedených záležitostí, v konsolidovanom nefinančnom výkaze poskytne jasné a odôvodnené vysvetlenie, prečo ich neuplatňuje.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Nefinančný konsolidovaný výkaz uvedený v prvom pododseku obsahuje, ak je to vhodné, aj odkazy na sumy vykazované v konsolidovaných finančných výkazoch a ďalšie vysvetlenia k nim. </w:t>
            </w:r>
          </w:p>
          <w:p w:rsidR="00451273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 w:rsidR="009C3481">
              <w:rPr>
                <w:rFonts w:ascii="Arial Narrow" w:hAnsi="Arial Narrow"/>
                <w:bCs/>
                <w:sz w:val="22"/>
                <w:szCs w:val="22"/>
              </w:rPr>
              <w:t>Členské štáty môžu povoliť, aby sa vo výnimočných prípadoch vypustili informácie o neukončených veciach alebo veciach, o ktorých sa rokuje, keď – v riadne odôvodnenom stanovisku členov správnych, riadiacich a dozorných orgánov, ktorí konajú v rámci právomocí na základe vnútroštátnych právnych predpisov a ktorí majú za uvedené stanovisko kolektívnu zodpovednosť – by zverejnenie takýchto informácií mohlo vážne poškodiť obchodnú pozíciu skupiny, za predpokladu, že takéto vypustenie nebráni správnemu a vyváženému pochopeniu vývoja, správania, pozície a vplyvu činnosti skupiny.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Pri požadovaní zverejnenia informácií uvedených v prvom pododseku členské štáty zabezpečia, že materský podnik môže vychádzať z vnútroštátnych rámcov, rámcov Únie alebo medzinárodných rámcov, a v takom prípade materské podniky presne uvedú, z ktorých rámcov vychádzali. 2.Materský podnik, ktorý si splnil povinnosť uvedenú v odseku 1, má splnenú povinnosť týkajúcu sa analýzy nefinančných informácií, ako je stanovené v článku 19 ods. 1 treťom pododseku a v článku 29. 3.Materský podnik, ktorý je aj dcérskym podnikom, je oslobodený od povinností uvedených v odseku 1, ak uvedený oslobodený materský podnik a jeho dcérske podniky sú zahrnuté do konsolidovanej správy o hospodárení alebo samostatnej správy iného podniku, ktoré boli vypracované v súlade s článkom 29 a týmto článkom.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4.Ak materský podnik pripravuje samostatnú správu týkajúcu sa toho istého účtovného obdobia a odkazujúcu na celú skupinu – bez ohľadu na to, či vychádza z vnútroštátnych rámcov, rámcov Únie, alebo medzinárodných rámcov –, ktorá sa týka informácií požadovaných v konsolidovanom nefinančnom výkaze stanovenom v odseku 1, členské štáty môžu tento materský podnik oslobodiť od povinnosti pripraviť konsolidovaný nefinančný výkaz stanovený v odseku 1 za predpokladu, že táto samostatná správa: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a) je zverejnená spolu s konsolidovanou správou o hospodárení v súlade s článkom 30 alebo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b)je verejne sprístupnená v primeranej lehote, ktorá nie je dlhšia ako šesť mesiacov po súvahovom dni, na internetových stránkach materského podniku a odkazuje sa na ňu v konsolidovanej správe o hospodárení.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Odsek 2 sa uplatňuje mutatis mutandis na podniky, ktoré pripravujú samostatnú správu, ako sa uvádza v prvom pododseku tohto odseku.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 xml:space="preserve">5.Členské štáty zabezpečia, aby štatutárny audítor alebo audítorská firma skontrolovali, či bol poskytnutý konsolidovaný nefinančný výkaz uvedený v odseku 1 alebo samostatná správa uvedená v odseku 4. </w:t>
            </w:r>
          </w:p>
          <w:p w:rsid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9C3481" w:rsidRPr="00940EB9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9C3481">
              <w:rPr>
                <w:rFonts w:ascii="Arial Narrow" w:hAnsi="Arial Narrow"/>
                <w:bCs/>
                <w:sz w:val="22"/>
                <w:szCs w:val="22"/>
              </w:rPr>
              <w:t>6.Členské štáty môžu požadovať, aby vierohodnosť informácií z konsolidovaného nefinančného výkazu uvedeného v odseku 1 alebo zo samostatnej správy uvedenej v odseku 4 overil nezávislý poskytovateľ uisťovacích služieb.“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1273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B634C0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="00B634C0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23272F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B634C0">
              <w:rPr>
                <w:rFonts w:ascii="Arial Narrow" w:hAnsi="Arial Narrow"/>
                <w:sz w:val="22"/>
                <w:szCs w:val="22"/>
              </w:rPr>
              <w:t>§ 22</w:t>
            </w:r>
          </w:p>
          <w:p w:rsidR="00B634C0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23272F">
              <w:rPr>
                <w:rFonts w:ascii="Arial Narrow" w:hAnsi="Arial Narrow"/>
                <w:sz w:val="22"/>
                <w:szCs w:val="22"/>
              </w:rPr>
              <w:t>O:</w:t>
            </w:r>
            <w:r>
              <w:rPr>
                <w:rFonts w:ascii="Arial Narrow" w:hAnsi="Arial Narrow"/>
                <w:sz w:val="22"/>
                <w:szCs w:val="22"/>
              </w:rPr>
              <w:t xml:space="preserve"> 16</w:t>
            </w: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§ 20</w:t>
            </w:r>
          </w:p>
          <w:p w:rsidR="0023272F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9 až 15</w:t>
            </w:r>
          </w:p>
          <w:p w:rsidR="0023272F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34C0" w:rsidRPr="0023272F" w:rsidP="00B634C0">
            <w:pPr>
              <w:pStyle w:val="DefinitionTerm"/>
              <w:bidi w:val="0"/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3272F">
              <w:rPr>
                <w:rFonts w:ascii="Arial Narrow" w:hAnsi="Arial Narrow"/>
                <w:sz w:val="22"/>
                <w:szCs w:val="22"/>
              </w:rPr>
              <w:t xml:space="preserve"> Na konsolidovanú výročnú správu sa § 20 vzťahuje primerane. Ak má účtovná jednotka povinnosť zostaviť individuálnu výročnú správu a konsolidovanú výročnú správu, možno údaje z individuálnej výročnej správy a údaje z konsolidovanej výročnej správy spojiť do jednej výročnej správy.</w:t>
            </w:r>
          </w:p>
          <w:p w:rsidR="00451273" w:rsidRPr="0023272F" w:rsidP="00451273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3272F" w:rsidRPr="0023272F" w:rsidP="0023272F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>9) Subjekt verejného záujmu, okrem účtovnej jednotky podľa § 17b, ktorého priemerný prepočítaný počet zamestnancov za účtovné obdobie prekročil 500 zamestnancov, uvádza vo výročnej správe aj nefinančné informácie o vývoji, konaní, pozícii a o vplyve činnosti účtovnej jednotky na environmentálnu, sociálnu a zamestnaneckú oblasť, informáciu o dodržiavaní ľudských práv a informáciu o boji proti korupcii a úplatkárstvu (ďalej len „oblasť s</w:t>
            </w:r>
            <w:r w:rsidR="00B62780">
              <w:rPr>
                <w:rFonts w:ascii="Arial Narrow" w:hAnsi="Arial Narrow"/>
                <w:b/>
                <w:sz w:val="22"/>
                <w:szCs w:val="22"/>
              </w:rPr>
              <w:t>poločenske</w:t>
            </w:r>
            <w:r w:rsidRPr="0023272F">
              <w:rPr>
                <w:rFonts w:ascii="Arial Narrow" w:hAnsi="Arial Narrow"/>
                <w:b/>
                <w:sz w:val="22"/>
                <w:szCs w:val="22"/>
              </w:rPr>
              <w:t>j zodpovednosti“), pričom uvedie najmä</w:t>
            </w:r>
          </w:p>
          <w:p w:rsidR="0023272F" w:rsidRPr="0023272F" w:rsidP="0023272F">
            <w:pPr>
              <w:numPr>
                <w:numId w:val="2"/>
              </w:numPr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>stručný opis obchodného modelu,</w:t>
            </w:r>
          </w:p>
          <w:p w:rsidR="0023272F" w:rsidRPr="0023272F" w:rsidP="0023272F">
            <w:pPr>
              <w:numPr>
                <w:numId w:val="2"/>
              </w:numPr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>opis a výsledky používania politiky, ktorú účtovná jednotka uplatňuje v oblasti s</w:t>
            </w:r>
            <w:r w:rsidR="00B62780">
              <w:rPr>
                <w:rFonts w:ascii="Arial Narrow" w:hAnsi="Arial Narrow"/>
                <w:b/>
                <w:sz w:val="22"/>
                <w:szCs w:val="22"/>
              </w:rPr>
              <w:t>poločenske</w:t>
            </w:r>
            <w:r w:rsidRPr="0023272F">
              <w:rPr>
                <w:rFonts w:ascii="Arial Narrow" w:hAnsi="Arial Narrow"/>
                <w:b/>
                <w:sz w:val="22"/>
                <w:szCs w:val="22"/>
              </w:rPr>
              <w:t>j zodpovednosti,</w:t>
            </w:r>
          </w:p>
          <w:p w:rsidR="0023272F" w:rsidRPr="0023272F" w:rsidP="0023272F">
            <w:pPr>
              <w:numPr>
                <w:numId w:val="2"/>
              </w:numPr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 xml:space="preserve">opis hlavných rizík vplyvu účtovnej jednotky na oblasť </w:t>
            </w:r>
            <w:r w:rsidRPr="0023272F" w:rsidR="00B62780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="00B62780">
              <w:rPr>
                <w:rFonts w:ascii="Arial Narrow" w:hAnsi="Arial Narrow"/>
                <w:b/>
                <w:sz w:val="22"/>
                <w:szCs w:val="22"/>
              </w:rPr>
              <w:t>poločenske</w:t>
            </w:r>
            <w:r w:rsidRPr="0023272F" w:rsidR="00B62780"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Pr="0023272F">
              <w:rPr>
                <w:rFonts w:ascii="Arial Narrow" w:hAnsi="Arial Narrow"/>
                <w:b/>
                <w:sz w:val="22"/>
                <w:szCs w:val="22"/>
              </w:rPr>
              <w:t xml:space="preserve"> zodpovednosti vyplývajúceho z činnosti účtovnej jednotky, ktorý by mohol mať nepriaznivé dôsledky, a ak je to primerané aj  opis obchodných vzťahov, produktov alebo služieb, ktoré účtovná jednotka poskytuje, a opis spôsobu, akým účtovná jednotka tieto riziká riadi,</w:t>
            </w:r>
          </w:p>
          <w:p w:rsidR="0023272F" w:rsidRPr="0023272F" w:rsidP="0023272F">
            <w:pPr>
              <w:numPr>
                <w:numId w:val="2"/>
              </w:numPr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>významné nefinančné ukazovatele činnosti účtovnej jednotky podľa jednotlivých činností,</w:t>
            </w:r>
          </w:p>
          <w:p w:rsidR="0023272F" w:rsidRPr="0023272F" w:rsidP="0023272F">
            <w:pPr>
              <w:numPr>
                <w:numId w:val="2"/>
              </w:numPr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 xml:space="preserve">odkaz na informácie o sumách vykázaných v účtovnej závierke a vysvetlenie týchto súm z hľadiska vplyvov na oblasť </w:t>
            </w:r>
            <w:r w:rsidRPr="0023272F" w:rsidR="00B62780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="00B62780">
              <w:rPr>
                <w:rFonts w:ascii="Arial Narrow" w:hAnsi="Arial Narrow"/>
                <w:b/>
                <w:sz w:val="22"/>
                <w:szCs w:val="22"/>
              </w:rPr>
              <w:t>poločenske</w:t>
            </w:r>
            <w:r w:rsidRPr="0023272F" w:rsidR="00B62780"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Pr="0023272F">
              <w:rPr>
                <w:rFonts w:ascii="Arial Narrow" w:hAnsi="Arial Narrow"/>
                <w:b/>
                <w:sz w:val="22"/>
                <w:szCs w:val="22"/>
              </w:rPr>
              <w:t xml:space="preserve"> zodpovednosti, ak je to vhodné.</w:t>
            </w:r>
          </w:p>
          <w:p w:rsidR="0023272F" w:rsidRPr="0023272F" w:rsidP="0023272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3272F" w:rsidRPr="0023272F" w:rsidP="0023272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>(10) Subjekt verejného záujmu môže pri informáciách podľa odseku 9 vychádzať aj z rámca Európskej únie alebo iného medzinárodného rámca, ktorý upravuje nefinančné informácie, ak presne uvedie podľa akého rámca postupoval.</w:t>
            </w:r>
          </w:p>
          <w:p w:rsidR="0023272F" w:rsidRPr="0023272F" w:rsidP="0023272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3272F" w:rsidRPr="0023272F" w:rsidP="0023272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>(11) Povinnosť uviesť informácie podľa odseku 9 nemá subjekt verejného záujmu, ktorý je dcérskou účtovnou jednotkou, ak sú informácie o ňom a všetkých jeho dcérskych účtovných jednotkách zahrnuté vo výročnej správe alebo obdobnej správe materskej účtovnej jednotky.</w:t>
            </w:r>
          </w:p>
          <w:p w:rsidR="0023272F" w:rsidRPr="0023272F" w:rsidP="0023272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3272F" w:rsidRPr="0023272F" w:rsidP="0023272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>(12) Ak subjekt verejného záujmu nezverejňuje informácie podľa odseku 9, uvedie vo výročnej správe jasné a odôvodnené vysvetlenie prečo tak nekoná.</w:t>
            </w:r>
          </w:p>
          <w:p w:rsidR="0023272F" w:rsidRPr="0023272F" w:rsidP="0023272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3272F" w:rsidRPr="0023272F" w:rsidP="0023272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 xml:space="preserve">(13) Účtovná jednotka, ktorá emitovala cenné papiere a tie boli prijaté na obchodovanie na regulovanom trhu ktoréhokoľvek členského štátu, uvedie vo výročnej správe aj opis politiky rozmanitosti, ktorú uplatňuje vo svojich správnych orgánoch, riadiacich orgánoch a dozorných orgánoch najmä vo vzťahu k veku, pohlaviu, vzdelaniu a profesijným skúsenostiam členov týchto orgánov, ciele takejto politiky, spôsob akým sa vykonáva a dosiahnuté výsledky vo vykazovanom období, ak ku dňu, ku ktorému sa zostavuje účtovná závierka, </w:t>
            </w:r>
            <w:r w:rsidR="00C15E38">
              <w:rPr>
                <w:rFonts w:ascii="Arial Narrow" w:hAnsi="Arial Narrow"/>
                <w:b/>
                <w:sz w:val="22"/>
                <w:szCs w:val="22"/>
              </w:rPr>
              <w:t>splni</w:t>
            </w:r>
            <w:r w:rsidRPr="0023272F">
              <w:rPr>
                <w:rFonts w:ascii="Arial Narrow" w:hAnsi="Arial Narrow"/>
                <w:b/>
                <w:sz w:val="22"/>
                <w:szCs w:val="22"/>
              </w:rPr>
              <w:t>la aspoň dve z týchto podmienok:</w:t>
            </w:r>
          </w:p>
          <w:p w:rsidR="0023272F" w:rsidRPr="0023272F" w:rsidP="0023272F">
            <w:pPr>
              <w:numPr>
                <w:numId w:val="3"/>
              </w:numPr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>celková suma majetku presiahla 20 000 000 eur, pričom sumou majetku na tento účel sa rozumie suma zistená zo súvahy v ocenení upravenom o položky podľa § 26 ods. 3,</w:t>
            </w:r>
          </w:p>
          <w:p w:rsidR="0023272F" w:rsidRPr="0023272F" w:rsidP="0023272F">
            <w:pPr>
              <w:numPr>
                <w:numId w:val="3"/>
              </w:numPr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>čistý obrat presiahol 40 000 000 eur,</w:t>
            </w:r>
          </w:p>
          <w:p w:rsidR="0023272F" w:rsidRPr="0023272F" w:rsidP="0023272F">
            <w:pPr>
              <w:numPr>
                <w:numId w:val="3"/>
              </w:numPr>
              <w:bidi w:val="0"/>
              <w:spacing w:after="0" w:line="240" w:lineRule="auto"/>
              <w:ind w:left="525" w:hanging="284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>priemerný prepočítaný počet zamestnancov presiahol 250.</w:t>
            </w:r>
          </w:p>
          <w:p w:rsidR="0023272F" w:rsidRPr="0023272F" w:rsidP="0023272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3272F" w:rsidRPr="0023272F" w:rsidP="0023272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3272F">
              <w:rPr>
                <w:rFonts w:ascii="Arial Narrow" w:hAnsi="Arial Narrow"/>
                <w:b/>
                <w:sz w:val="22"/>
                <w:szCs w:val="22"/>
              </w:rPr>
              <w:t>(14) Účtovná jednotka, ktorá neuvádza vo výročnej správe opis politiky rozmanitosti podľa odseku 13, uvádza vo výročnej správe dôvody, na základe ktorých sa rozhodla neuplatňovať politiku rozmanitosti.</w:t>
            </w:r>
          </w:p>
          <w:p w:rsidR="0023272F" w:rsidRPr="0023272F" w:rsidP="0023272F">
            <w:pPr>
              <w:bidi w:val="0"/>
              <w:spacing w:after="0" w:line="240" w:lineRule="auto"/>
              <w:ind w:left="10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136CF" w:rsidRPr="0023272F" w:rsidP="0023272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3272F" w:rsidR="0023272F">
              <w:rPr>
                <w:rFonts w:ascii="Arial Narrow" w:hAnsi="Arial Narrow"/>
                <w:b/>
                <w:sz w:val="22"/>
                <w:szCs w:val="22"/>
              </w:rPr>
              <w:t>(15) Uvedením informácií podľa odseku 9 je splnená povinnosť účtovnej jednotky uvádzať nefinančné informácie o vplyve činnosti účtovnej jednotky na životné prostredie a na zamestnanosť podľa odseku 1 písm. a).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B634C0"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1273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none" w:sz="0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422EEE">
              <w:rPr>
                <w:rFonts w:ascii="Arial Narrow" w:hAnsi="Arial Narrow"/>
                <w:sz w:val="22"/>
                <w:szCs w:val="22"/>
              </w:rPr>
              <w:t>Čl. 1</w:t>
            </w:r>
          </w:p>
          <w:p w:rsidR="00422EEE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4</w:t>
            </w:r>
          </w:p>
        </w:tc>
        <w:tc>
          <w:tcPr>
            <w:tcW w:w="6804" w:type="dxa"/>
            <w:gridSpan w:val="2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2EEE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422EEE">
              <w:rPr>
                <w:rFonts w:ascii="Arial Narrow" w:hAnsi="Arial Narrow"/>
                <w:bCs/>
                <w:sz w:val="22"/>
                <w:szCs w:val="22"/>
              </w:rPr>
              <w:t xml:space="preserve">V článku 33 sa odsek 1 nahrádza takto: </w:t>
            </w:r>
          </w:p>
          <w:p w:rsidR="00422EEE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422EEE">
              <w:rPr>
                <w:rFonts w:ascii="Arial Narrow" w:hAnsi="Arial Narrow"/>
                <w:bCs/>
                <w:sz w:val="22"/>
                <w:szCs w:val="22"/>
              </w:rPr>
              <w:t xml:space="preserve">„1.Členské štáty zabezpečia, aby členovia správnych, riadiacich a dozorných orgánov podniku, ktorí konajú v rámci právomocí pridelených im podľa vnútroštátnych právnych predpisov, mali spoločnú zodpovednosť za zabezpečenie toho, že sa: </w:t>
            </w:r>
          </w:p>
          <w:p w:rsidR="00422EEE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422EEE">
              <w:rPr>
                <w:rFonts w:ascii="Arial Narrow" w:hAnsi="Arial Narrow"/>
                <w:bCs/>
                <w:sz w:val="22"/>
                <w:szCs w:val="22"/>
              </w:rPr>
              <w:t xml:space="preserve">a) ročná účtovná závierka, správa o hospodárení, vyhlásenie o správe a riadení podniku, ak sa poskytuje samostatne, a správa uvedená v článku 19a ods. 4 a </w:t>
            </w:r>
          </w:p>
          <w:p w:rsidR="00422EEE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451273" w:rsidRPr="00422EEE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422EEE" w:rsidR="00422EEE">
              <w:rPr>
                <w:rFonts w:ascii="Arial Narrow" w:hAnsi="Arial Narrow"/>
                <w:bCs/>
                <w:sz w:val="22"/>
                <w:szCs w:val="22"/>
              </w:rPr>
              <w:t>b) konsolidovaná účtovná závierka, konsolidovaná správa o hospodárení, konsolidované vyhlásenie o správe a riadení podniku, ak sa poskytuje samostatne, a správa uvedená v článku 29a ods. 4 vypracovali a zverejnili v súlade s požiadavkami tejto smernice a v relevantných prípadoch v súlade s medzinárodnými účtovnými štandardmi prijatými v súlade s nariadením (ES) č. 1606/2002.“</w:t>
            </w:r>
          </w:p>
        </w:tc>
        <w:tc>
          <w:tcPr>
            <w:tcW w:w="567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1273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97431E"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990461" w:rsidR="0097431E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="0097431E">
              <w:rPr>
                <w:rFonts w:ascii="Arial Narrow" w:hAnsi="Arial Narrow" w:cs="Arial"/>
                <w:color w:val="000000"/>
                <w:sz w:val="22"/>
                <w:szCs w:val="22"/>
              </w:rPr>
              <w:t>30</w:t>
            </w:r>
            <w:r w:rsidRPr="00990461" w:rsidR="0097431E">
              <w:rPr>
                <w:rFonts w:ascii="Arial Narrow" w:hAnsi="Arial Narrow" w:cs="Arial"/>
                <w:color w:val="000000"/>
                <w:sz w:val="22"/>
                <w:szCs w:val="22"/>
              </w:rPr>
              <w:t>/</w:t>
            </w:r>
            <w:r w:rsidR="0097431E">
              <w:rPr>
                <w:rFonts w:ascii="Arial Narrow" w:hAnsi="Arial Narrow" w:cs="Arial"/>
                <w:color w:val="000000"/>
                <w:sz w:val="22"/>
                <w:szCs w:val="22"/>
              </w:rPr>
              <w:t>2003</w:t>
            </w: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688">
              <w:rPr>
                <w:rFonts w:ascii="Arial Narrow" w:hAnsi="Arial Narrow" w:cs="Arial"/>
                <w:color w:val="000000"/>
                <w:sz w:val="22"/>
                <w:szCs w:val="22"/>
              </w:rPr>
              <w:t>513/1991</w:t>
            </w: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RPr="00D43AB0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431E" w:rsidRPr="0048425C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8425C">
              <w:rPr>
                <w:rFonts w:ascii="Arial Narrow" w:hAnsi="Arial Narrow" w:cs="Arial"/>
                <w:color w:val="000000"/>
                <w:sz w:val="22"/>
                <w:szCs w:val="22"/>
              </w:rPr>
              <w:t>§ 9</w:t>
            </w: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8425C">
              <w:rPr>
                <w:rFonts w:ascii="Arial Narrow" w:hAnsi="Arial Narrow" w:cs="Arial"/>
                <w:color w:val="000000"/>
                <w:sz w:val="22"/>
                <w:szCs w:val="22"/>
              </w:rPr>
              <w:t>O: 6</w:t>
            </w: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="0097431E">
              <w:rPr>
                <w:rFonts w:ascii="Arial Narrow" w:hAnsi="Arial Narrow" w:cs="Arial"/>
                <w:color w:val="000000"/>
                <w:sz w:val="22"/>
                <w:szCs w:val="22"/>
              </w:rPr>
              <w:t>§ 40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O:1 </w:t>
            </w: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="00F11250">
              <w:rPr>
                <w:rFonts w:ascii="Arial Narrow" w:hAnsi="Arial Narrow" w:cs="Arial"/>
                <w:color w:val="000000"/>
                <w:sz w:val="22"/>
                <w:szCs w:val="22"/>
              </w:rPr>
              <w:t>O:2</w:t>
            </w: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11250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§ 135 O:2</w:t>
            </w: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§ 252 O:2</w:t>
            </w: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431E" w:rsidP="0097431E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451273" w:rsidRPr="00D43AB0" w:rsidP="0045127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P="00451273">
            <w:pPr>
              <w:bidi w:val="0"/>
              <w:spacing w:after="0" w:line="240" w:lineRule="auto"/>
              <w:rPr>
                <w:rFonts w:ascii="Arial Narrow" w:hAnsi="Arial Narrow" w:cs="TimesNewRoman"/>
                <w:sz w:val="22"/>
                <w:szCs w:val="22"/>
              </w:rPr>
            </w:pPr>
            <w:r w:rsidRPr="0048425C" w:rsidR="0097431E">
              <w:rPr>
                <w:rFonts w:ascii="Arial Narrow" w:hAnsi="Arial Narrow" w:cs="TimesNewRoman"/>
                <w:sz w:val="22"/>
                <w:szCs w:val="22"/>
              </w:rPr>
              <w:t>Pri predkladaní listín uvedených v § 3 odsek 1 písmeno g) je</w:t>
            </w:r>
            <w:r w:rsidR="0097431E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48425C" w:rsidR="0097431E">
              <w:rPr>
                <w:rFonts w:ascii="Arial Narrow" w:hAnsi="Arial Narrow" w:cs="TimesNewRoman"/>
                <w:sz w:val="22"/>
                <w:szCs w:val="22"/>
              </w:rPr>
              <w:t>zapísaná fyzická osoba alebo fyzická osoba, ktorá je oprávnená</w:t>
            </w:r>
            <w:r w:rsidR="0097431E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48425C" w:rsidR="0097431E">
              <w:rPr>
                <w:rFonts w:ascii="Arial Narrow" w:hAnsi="Arial Narrow" w:cs="TimesNewRoman"/>
                <w:sz w:val="22"/>
                <w:szCs w:val="22"/>
              </w:rPr>
              <w:t>kona</w:t>
            </w:r>
            <w:r w:rsidRPr="0048425C" w:rsidR="0097431E">
              <w:rPr>
                <w:rFonts w:ascii="Arial Narrow" w:hAnsi="Arial Narrow" w:cs="TimesNewRoman+1"/>
                <w:sz w:val="22"/>
                <w:szCs w:val="22"/>
              </w:rPr>
              <w:t xml:space="preserve">ť </w:t>
            </w:r>
            <w:r w:rsidRPr="0048425C" w:rsidR="0097431E">
              <w:rPr>
                <w:rFonts w:ascii="Arial Narrow" w:hAnsi="Arial Narrow" w:cs="TimesNewRoman"/>
                <w:sz w:val="22"/>
                <w:szCs w:val="22"/>
              </w:rPr>
              <w:t>v mene zapísanej právnickej osoby povinná spolu s</w:t>
            </w:r>
            <w:r w:rsidR="0097431E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48425C" w:rsidR="0097431E">
              <w:rPr>
                <w:rFonts w:ascii="Arial Narrow" w:hAnsi="Arial Narrow" w:cs="TimesNewRoman"/>
                <w:sz w:val="22"/>
                <w:szCs w:val="22"/>
              </w:rPr>
              <w:t>listinami predlo</w:t>
            </w:r>
            <w:r w:rsidR="0097431E">
              <w:rPr>
                <w:rFonts w:ascii="Arial Narrow" w:hAnsi="Arial Narrow" w:cs="TimesNewRoman"/>
                <w:sz w:val="22"/>
                <w:szCs w:val="22"/>
              </w:rPr>
              <w:t>ž</w:t>
            </w:r>
            <w:r w:rsidRPr="0048425C" w:rsidR="0097431E">
              <w:rPr>
                <w:rFonts w:ascii="Arial Narrow" w:hAnsi="Arial Narrow" w:cs="TimesNewRoman"/>
                <w:sz w:val="22"/>
                <w:szCs w:val="22"/>
              </w:rPr>
              <w:t>i</w:t>
            </w:r>
            <w:r w:rsidRPr="0048425C" w:rsidR="0097431E">
              <w:rPr>
                <w:rFonts w:ascii="Arial Narrow" w:hAnsi="Arial Narrow" w:cs="TimesNewRoman+1"/>
                <w:sz w:val="22"/>
                <w:szCs w:val="22"/>
              </w:rPr>
              <w:t xml:space="preserve">ť </w:t>
            </w:r>
            <w:r w:rsidRPr="0048425C" w:rsidR="0097431E">
              <w:rPr>
                <w:rFonts w:ascii="Arial Narrow" w:hAnsi="Arial Narrow" w:cs="TimesNewRoman"/>
                <w:sz w:val="22"/>
                <w:szCs w:val="22"/>
              </w:rPr>
              <w:t xml:space="preserve">písomné vyhlásenie </w:t>
            </w:r>
            <w:r w:rsidRPr="0048425C" w:rsidR="0097431E">
              <w:rPr>
                <w:rFonts w:ascii="Arial Narrow" w:hAnsi="Arial Narrow" w:cs="TimesNewRoman+1"/>
                <w:sz w:val="22"/>
                <w:szCs w:val="22"/>
              </w:rPr>
              <w:t>č</w:t>
            </w:r>
            <w:r w:rsidRPr="0048425C" w:rsidR="0097431E">
              <w:rPr>
                <w:rFonts w:ascii="Arial Narrow" w:hAnsi="Arial Narrow" w:cs="TimesNewRoman"/>
                <w:sz w:val="22"/>
                <w:szCs w:val="22"/>
              </w:rPr>
              <w:t>i predkladané listiny</w:t>
            </w:r>
            <w:r w:rsidR="0097431E">
              <w:rPr>
                <w:rFonts w:ascii="Arial Narrow" w:hAnsi="Arial Narrow" w:cs="TimesNewRoman"/>
                <w:sz w:val="22"/>
                <w:szCs w:val="22"/>
              </w:rPr>
              <w:t xml:space="preserve"> </w:t>
            </w:r>
            <w:r w:rsidRPr="0048425C" w:rsidR="0097431E">
              <w:rPr>
                <w:rFonts w:ascii="Arial Narrow" w:hAnsi="Arial Narrow" w:cs="TimesNewRoman"/>
                <w:sz w:val="22"/>
                <w:szCs w:val="22"/>
              </w:rPr>
              <w:t>príslu</w:t>
            </w:r>
            <w:r w:rsidR="0097431E">
              <w:rPr>
                <w:rFonts w:ascii="Arial Narrow" w:hAnsi="Arial Narrow" w:cs="TimesNewRoman"/>
                <w:sz w:val="22"/>
                <w:szCs w:val="22"/>
              </w:rPr>
              <w:t>š</w:t>
            </w:r>
            <w:r w:rsidRPr="0048425C" w:rsidR="0097431E">
              <w:rPr>
                <w:rFonts w:ascii="Arial Narrow" w:hAnsi="Arial Narrow" w:cs="TimesNewRoman"/>
                <w:sz w:val="22"/>
                <w:szCs w:val="22"/>
              </w:rPr>
              <w:t>ný or</w:t>
            </w:r>
            <w:r w:rsidR="0097431E">
              <w:rPr>
                <w:rFonts w:ascii="Arial Narrow" w:hAnsi="Arial Narrow" w:cs="TimesNewRoman"/>
                <w:sz w:val="22"/>
                <w:szCs w:val="22"/>
              </w:rPr>
              <w:t>gán schválil alebo neschválil.</w:t>
            </w:r>
          </w:p>
          <w:p w:rsidR="0097431E" w:rsidP="00451273">
            <w:pPr>
              <w:bidi w:val="0"/>
              <w:spacing w:after="0" w:line="240" w:lineRule="auto"/>
              <w:rPr>
                <w:rFonts w:ascii="Arial Narrow" w:hAnsi="Arial Narrow" w:cs="TimesNewRoman"/>
                <w:sz w:val="22"/>
                <w:szCs w:val="22"/>
              </w:rPr>
            </w:pPr>
          </w:p>
          <w:p w:rsidR="0097431E" w:rsidP="00451273">
            <w:pPr>
              <w:bidi w:val="0"/>
              <w:spacing w:after="0" w:line="240" w:lineRule="auto"/>
              <w:rPr>
                <w:rFonts w:ascii="Arial Narrow" w:hAnsi="Arial Narrow" w:cs="TimesNewRoman"/>
                <w:sz w:val="22"/>
                <w:szCs w:val="22"/>
              </w:rPr>
            </w:pPr>
          </w:p>
          <w:p w:rsidR="00F11250" w:rsidRPr="00F11250" w:rsidP="00F11250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11250">
              <w:rPr>
                <w:rFonts w:ascii="Arial Narrow" w:hAnsi="Arial Narrow" w:cs="Arial"/>
                <w:sz w:val="22"/>
                <w:szCs w:val="22"/>
              </w:rPr>
              <w:t>Akciová spoločnosť, spoločnosť s ručením obmedzeným, družstvo a štátny podnik ukladajú riadnu individuálnu účtovnú závierku a mimoriadnu individuálnu účtovnú závierku do zbierky listín po jej schválení príslušným orgánom. Iná zapísaná osoba má túto povinnosť, len ak jej to ukladá osobitný zákon. Príslušný orgán akciovej spoločnosti, spoločnosti s ručením obmedzeným, družstva a štátneho podniku je povinný predložiť riadnu individuálnu účtovnú závierku a mimoriadnu individuálnu účtovnú závierku na schválenie do šiestich mesiacov po uplynutí účtovného obdobia.</w:t>
            </w:r>
          </w:p>
          <w:p w:rsidR="00F11250" w:rsidRPr="00F11250" w:rsidP="00F11250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112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97431E" w:rsidP="00F11250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11250" w:rsidR="00F11250">
              <w:rPr>
                <w:rFonts w:ascii="Arial Narrow" w:hAnsi="Arial Narrow" w:cs="Arial"/>
                <w:sz w:val="22"/>
                <w:szCs w:val="22"/>
              </w:rPr>
              <w:t>Ak príslušný orgán akciovej spoločnosti, spoločnosti s ručením obmedzeným, družstva a štátneho podniku neschváli účtovnú závierku predloženú podľa odseku 1 do troch mesiacov od predloženia, ukladá sa do zbierky listín obchodného registra neschválená účtovná závierka. V tomto prípade je akciová spoločnosť, spoločnosť s ručením obmedzeným, družstvo a štátny podnik povinný uložiť neschválenú účtovnú závierku do 30 dní od márneho uplynutia trojmesačnej lehoty.</w:t>
            </w:r>
          </w:p>
          <w:p w:rsidR="00F11250" w:rsidP="00F11250">
            <w:pPr>
              <w:bidi w:val="0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97431E" w:rsidP="00F11250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11250" w:rsidR="00F11250">
              <w:rPr>
                <w:rFonts w:ascii="Arial Narrow" w:hAnsi="Arial Narrow" w:cs="Arial"/>
                <w:sz w:val="22"/>
                <w:szCs w:val="22"/>
              </w:rPr>
              <w:t>Konatelia predkladajú valnému zhromaždeniu na schválenie riadnu individuálnu účtovnú závierku a mimoriadnu individuálnu účtovnú závierku a návrh na rozdelenie zisku alebo úhradu strát v súlade so spoločenskou zmluvou a stanovami. Ak osobitný zákon ukladá spoločnosti povinnosť vyhotoviť výročnú správu, konatelia predkladajú valnému zhromaždeniu na prerokovanie spolu s riadnou alebo mimoriadnou individuálnou účtovnou závierkou výročnú správu.</w:t>
            </w:r>
          </w:p>
          <w:p w:rsidR="00F11250" w:rsidP="0097431E">
            <w:pPr>
              <w:bidi w:val="0"/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97431E" w:rsidRPr="00D43AB0" w:rsidP="0097431E">
            <w:pPr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F11250" w:rsidR="00F11250">
              <w:rPr>
                <w:rFonts w:ascii="Arial Narrow" w:hAnsi="Arial Narrow" w:cs="Arial"/>
                <w:sz w:val="22"/>
                <w:szCs w:val="22"/>
              </w:rPr>
              <w:t>Predstavenstvo predkladá členskej schôdzi na schválenie riadnu individuálnu účtovnú závierku, mimoriadnu individuálnu účtovnú závierku a návrh na rozdelenie zisku alebo úhradu strát v súlade so stanovami.</w:t>
            </w:r>
          </w:p>
        </w:tc>
        <w:tc>
          <w:tcPr>
            <w:tcW w:w="709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97431E"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1273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1010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C6E4D" w:rsidP="00422EE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Čl. 1</w:t>
            </w:r>
          </w:p>
          <w:p w:rsidR="001C6E4D" w:rsidRPr="00CB64E4" w:rsidP="00422EE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3D3CF6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  <w:r w:rsidRPr="00E47985">
              <w:rPr>
                <w:rFonts w:ascii="Arial Narrow" w:hAnsi="Arial Narrow"/>
                <w:bCs/>
                <w:sz w:val="22"/>
                <w:szCs w:val="22"/>
              </w:rPr>
              <w:t>V článku 34 sa dopĺňa tento odsek: „3.Tento článok sa nevzťahuje na nefinančný výkaz uvedený v článku 19a ods. 1 ani na konsolidovaný nefinančný výkaz uvedený v článku 29a ods. 1, ani na samostatné správy uvedené v článku 19a ods. 4 a v článku 29a ods. 4.“</w:t>
            </w:r>
          </w:p>
        </w:tc>
        <w:tc>
          <w:tcPr>
            <w:tcW w:w="567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E47985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47985">
              <w:rPr>
                <w:rFonts w:ascii="Arial Narrow" w:hAnsi="Arial Narrow"/>
                <w:b/>
                <w:sz w:val="22"/>
                <w:szCs w:val="22"/>
              </w:rPr>
              <w:t>Návrh zákona</w:t>
            </w:r>
          </w:p>
        </w:tc>
        <w:tc>
          <w:tcPr>
            <w:tcW w:w="850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C6E4D" w:rsidP="0045127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§ 20</w:t>
            </w:r>
          </w:p>
          <w:p w:rsidR="001C6E4D" w:rsidRPr="00CB64E4" w:rsidP="001C6E4D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O: 3 </w:t>
            </w:r>
          </w:p>
        </w:tc>
        <w:tc>
          <w:tcPr>
            <w:tcW w:w="4678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B62780">
              <w:rPr>
                <w:rFonts w:ascii="Arial Narrow" w:hAnsi="Arial Narrow"/>
                <w:b/>
                <w:sz w:val="22"/>
                <w:szCs w:val="22"/>
              </w:rPr>
              <w:t>„(3) Výročná správa účtovnej jednotky podľa odseku 1 musí poskytovať verný a pravdivý obraz a musí byť overená audítorom do jedného roka od skončenia účtovného obdobia. Audítor musí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a) </w:t>
            </w:r>
            <w:r w:rsidRPr="00B62780">
              <w:rPr>
                <w:rFonts w:ascii="Arial Narrow" w:hAnsi="Arial Narrow"/>
                <w:b/>
                <w:sz w:val="22"/>
                <w:szCs w:val="22"/>
              </w:rPr>
              <w:t>vyjadriť názor, či je výročná správa v súlade s účtovnou závierkou, okrem výročnej správy podľa osobitného predpisu,</w:t>
            </w:r>
            <w:r w:rsidRPr="00C15E38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27</w:t>
            </w:r>
            <w:r w:rsidRPr="00B62780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b) </w:t>
            </w:r>
            <w:r w:rsidRPr="00B62780">
              <w:rPr>
                <w:rFonts w:ascii="Arial Narrow" w:hAnsi="Arial Narrow"/>
                <w:b/>
                <w:sz w:val="22"/>
                <w:szCs w:val="22"/>
              </w:rPr>
              <w:t>vyjadriť názor na informácie uvedené v odseku 6 písm. d) a  odseku 7 písm. c) až e), g) a h),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c) </w:t>
            </w:r>
            <w:r w:rsidRPr="00B62780">
              <w:rPr>
                <w:rFonts w:ascii="Arial Narrow" w:hAnsi="Arial Narrow"/>
                <w:b/>
                <w:sz w:val="22"/>
                <w:szCs w:val="22"/>
              </w:rPr>
              <w:t>vyjadriť názor, či výročná správa obsahuje informácie podľa osobitného predpisu,</w:t>
            </w:r>
            <w:r w:rsidRPr="00C15E38">
              <w:rPr>
                <w:rFonts w:ascii="Arial Narrow" w:hAnsi="Arial Narrow"/>
                <w:b/>
                <w:sz w:val="22"/>
                <w:szCs w:val="22"/>
                <w:vertAlign w:val="superscript"/>
              </w:rPr>
              <w:t>28ab</w:t>
            </w:r>
            <w:r w:rsidRPr="00B62780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:rsidR="00B62780" w:rsidRP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d) </w:t>
            </w:r>
            <w:r w:rsidRPr="00B62780">
              <w:rPr>
                <w:rFonts w:ascii="Arial Narrow" w:hAnsi="Arial Narrow"/>
                <w:b/>
                <w:sz w:val="22"/>
                <w:szCs w:val="22"/>
              </w:rPr>
              <w:t>vyjadriť názor, či výročná správa obsahuje informácie podľa tohto zákona,</w:t>
            </w:r>
          </w:p>
          <w:p w:rsidR="00B62780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e) </w:t>
            </w:r>
            <w:r w:rsidRPr="00B62780">
              <w:rPr>
                <w:rFonts w:ascii="Arial Narrow" w:hAnsi="Arial Narrow"/>
                <w:b/>
                <w:sz w:val="22"/>
                <w:szCs w:val="22"/>
              </w:rPr>
              <w:t>uviesť, či na základe poznatkov o účtovnej jednotke a situácii v nej zistil významné nesprávnosti vo výročnej správe a uviesť charakter každej takejto významnej nesprávnosti.</w:t>
            </w:r>
          </w:p>
          <w:p w:rsidR="001C6E4D" w:rsidRPr="001C6E4D" w:rsidP="00B62780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C6E4D">
              <w:rPr>
                <w:rFonts w:ascii="Arial Narrow" w:hAnsi="Arial Narrow"/>
                <w:b/>
                <w:sz w:val="22"/>
                <w:szCs w:val="22"/>
              </w:rPr>
              <w:t>Poznámky pod čiarou k odkazom 27  a 28ab znejú:</w:t>
            </w:r>
          </w:p>
          <w:p w:rsidR="001C6E4D" w:rsidRPr="001C6E4D" w:rsidP="007666A4">
            <w:pPr>
              <w:bidi w:val="0"/>
              <w:spacing w:after="0" w:line="240" w:lineRule="auto"/>
              <w:ind w:left="3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C6E4D">
              <w:rPr>
                <w:rFonts w:ascii="Arial Narrow" w:hAnsi="Arial Narrow"/>
                <w:b/>
                <w:sz w:val="22"/>
                <w:szCs w:val="22"/>
              </w:rPr>
              <w:t>„27) Napríklad § 38 zákona Národnej rady Slovenskej republiky č. 566/1992 Zb. v znení neskorších predpisov, § 33 ods. 3 zákona č. 213/1997 Z. z. v znení zákona č. 445/2008 Z. z.,  § 34 ods. 3 zákona č. 34/2002 Z. z. v znení zákona č. 463/2013 Z. z.</w:t>
            </w:r>
          </w:p>
          <w:p w:rsidR="001C6E4D" w:rsidRPr="001C6E4D" w:rsidP="007666A4">
            <w:pPr>
              <w:bidi w:val="0"/>
              <w:spacing w:after="0" w:line="240" w:lineRule="auto"/>
              <w:ind w:left="3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C6E4D">
              <w:rPr>
                <w:rFonts w:ascii="Arial Narrow" w:hAnsi="Arial Narrow"/>
                <w:b/>
                <w:sz w:val="22"/>
                <w:szCs w:val="22"/>
              </w:rPr>
              <w:t>28ab) Napríklad § 15 zákona č. 429/2002 Z. z. v znení neskorších predpisov, § 76 zákona č. 566/2001 Z. z. v znení neskorších predpisov.</w:t>
            </w:r>
          </w:p>
        </w:tc>
        <w:tc>
          <w:tcPr>
            <w:tcW w:w="709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P="00422EE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Čl. 1</w:t>
            </w:r>
          </w:p>
          <w:p w:rsidR="001C6E4D" w:rsidRPr="009979F6" w:rsidP="00422EE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422EEE">
              <w:rPr>
                <w:rFonts w:ascii="Arial Narrow" w:hAnsi="Arial Narrow"/>
                <w:bCs/>
                <w:sz w:val="22"/>
                <w:szCs w:val="22"/>
              </w:rPr>
              <w:t xml:space="preserve">V článku 48 sa pred posledný odsek vkladá tento odsek: </w:t>
            </w:r>
          </w:p>
          <w:p w:rsidR="001C6E4D" w:rsidRPr="009979F6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422EEE">
              <w:rPr>
                <w:rFonts w:ascii="Arial Narrow" w:hAnsi="Arial Narrow"/>
                <w:bCs/>
                <w:sz w:val="22"/>
                <w:szCs w:val="22"/>
              </w:rPr>
              <w:t>„V správe sa zváži tiež možnosť zaviesť s prihliadnutím na vývoj v krajinách OECD a na výsledky súvisiace s európskymi iniciatívami povinnosť pre veľké podniky, aby každoročne zverejňovali správu podľa jednotlivých krajín pre každý členský štát a tretie krajiny, v ktorých pôsobia, obsahujúcu informácie minimálne o dosiahnutých ziskoch, dani zaplatenej zo ziskov a prijatých verejných dotáciách.“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n. 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E47985" w:rsidP="00451273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8F583F" w:rsidP="00540F5A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Čl. 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540F5A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F583F">
              <w:rPr>
                <w:rFonts w:ascii="Arial Narrow" w:hAnsi="Arial Narrow"/>
                <w:color w:val="000000"/>
                <w:sz w:val="22"/>
                <w:szCs w:val="22"/>
              </w:rPr>
              <w:t>Usmernenie o podávaní správ Komisia vypracuje nezáväzné usmernenia týkajúce sa metodiky vykazovania nefinančných informácií vrátane nefinančných kľúčových ukazovateľov správania, všeobecných i odvetvových, s cieľom uľahčiť podnikom relevantné, užitočné a porovnateľné zverejňovanie nefinančných informácií. Komisia pritom konzultuje s príslušnými dotknutými stranami. Komisia zverejní usmernenia do 6. decembra 2016.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540F5A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P="00540F5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540F5A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540F5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540F5A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540F5A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004AF1" w:rsidP="00540F5A">
            <w:pPr>
              <w:bidi w:val="0"/>
              <w:spacing w:after="200"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Čl. 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P="00540F5A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58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Preskúmanie </w:t>
            </w:r>
          </w:p>
          <w:p w:rsidR="001C6E4D" w:rsidRPr="00CB64E4" w:rsidP="00540F5A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Komisia predloží Európskemu parlamentu a Rade správu o vykonávaní tejto smernice, okrem iných aspektov vrátane jej pôsobnosti, najmä pokiaľ ide o veľké nekótované podniky, jej účinnosti, úrovne usmernení a metód, ktoré určujú. Táto správa sa zverejní do 6. decembra 2018 a v prípade potreby sa doplní legislatívnymi návrhmi.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540F5A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P="00B537FC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540F5A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540F5A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540F5A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540F5A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B537FC">
            <w:pPr>
              <w:bidi w:val="0"/>
              <w:spacing w:after="0" w:line="240" w:lineRule="auto"/>
              <w:ind w:right="-43" w:hanging="7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Čl. 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1C6E4D" w:rsidP="00B537FC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58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Transpozícia </w:t>
            </w:r>
          </w:p>
          <w:p w:rsidR="001C6E4D" w:rsidP="00B537FC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1.Členské štáty uvedú do účinnosti zákony, iné predpisy a správne opatrenia potrebné na dosiahnutie súladu s touto smernicou najneskôr 6. decembra 2016. Bezodkladne Komisii oznámia znenie týchto ustanovení. </w:t>
            </w:r>
          </w:p>
          <w:p w:rsidR="001C6E4D" w:rsidP="00B537FC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Členské štáty zabezpečia, aby sa ustanovenia uvedené v prvom pododseku uplatňovali na všetky podniky v zmysle článku 1 pre účtovné obdobie začínajúce sa 1. januára 2017 alebo počas kalendárneho roka 2017. </w:t>
            </w:r>
          </w:p>
          <w:p w:rsidR="001C6E4D" w:rsidP="00B537FC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Členské štáty uvedú priamo v prijatých ustanoveniach alebo pri ich úradnom zverejnení odkaz na túto smernicu. Podrobnosti o odkaze upravia členské štáty. </w:t>
            </w:r>
          </w:p>
          <w:p w:rsidR="001C6E4D" w:rsidRPr="00CB64E4" w:rsidP="00B537FC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2.Členské štáty oznámia Komisii znenie hlavných ustanovení vnútroštátnych právnych predpisov, ktoré prijmú v oblasti pôsobnosti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B537F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zákona</w:t>
            </w:r>
          </w:p>
          <w:p w:rsidR="001C6E4D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1C6E4D" w:rsidRPr="003D3CF6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D3CF6">
              <w:rPr>
                <w:rFonts w:ascii="Arial Narrow" w:hAnsi="Arial Narrow" w:cs="Arial"/>
                <w:bCs/>
                <w:sz w:val="22"/>
                <w:szCs w:val="22"/>
              </w:rPr>
              <w:t>431/2002</w:t>
            </w:r>
          </w:p>
          <w:p w:rsidR="001C6E4D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1C6E4D" w:rsidRPr="004B3552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P="00D11577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D01223">
              <w:rPr>
                <w:rFonts w:ascii="Arial Narrow" w:hAnsi="Arial Narrow"/>
                <w:b/>
              </w:rPr>
              <w:t>Č</w:t>
            </w:r>
            <w:r>
              <w:rPr>
                <w:rFonts w:ascii="Arial Narrow" w:hAnsi="Arial Narrow"/>
                <w:b/>
              </w:rPr>
              <w:t>l. II</w:t>
            </w:r>
          </w:p>
          <w:p w:rsidR="001C6E4D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C6E4D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C6E4D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§ 39c</w:t>
            </w:r>
          </w:p>
          <w:p w:rsidR="001C6E4D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C6E4D" w:rsidRPr="000C15CD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Príloha bod 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5807" w:rsidP="003D3CF6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15807">
              <w:rPr>
                <w:rFonts w:ascii="Arial Narrow" w:hAnsi="Arial Narrow" w:cs="Arial"/>
                <w:b/>
                <w:sz w:val="22"/>
                <w:szCs w:val="22"/>
              </w:rPr>
              <w:t>Tento zákon nadobúda účinnosť 1. júla 2015 okrem čl. I bodov 1, 3 až 5, 9 až 13, 15 až 37 a § 39m v bode 41, ktoré nadobúdajú účinnosť 1. januára 2016 a čl. I bodu 14, ktorý nadobúda účinnosť 1. januára 2017.</w:t>
            </w:r>
          </w:p>
          <w:p w:rsidR="00A15807" w:rsidP="003D3CF6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C6E4D" w:rsidP="003D3CF6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C14E9">
              <w:rPr>
                <w:rFonts w:ascii="Arial Narrow" w:hAnsi="Arial Narrow" w:cs="Arial"/>
                <w:sz w:val="22"/>
                <w:szCs w:val="22"/>
              </w:rPr>
              <w:t>Týmto zákonom sa preberajú právne záväzné akty Európskej únie uvedené v prílohe.</w:t>
            </w:r>
          </w:p>
          <w:p w:rsidR="001C6E4D" w:rsidRPr="004B3552" w:rsidP="00B537FC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B3552">
              <w:rPr>
                <w:rFonts w:ascii="Arial Narrow" w:hAnsi="Arial Narrow" w:cs="Arial"/>
                <w:b/>
                <w:sz w:val="22"/>
                <w:szCs w:val="22"/>
              </w:rPr>
              <w:t>12. Smernica Európskeho parlamentu a Rady 2014/95/EÚ z 22. októbra 2014, ktorou sa mení smernica 2013/34/EÚ pokiaľ ide o zverejňovanie nefinančných informácií a informácií týkajúcich sa rozmanitosti niektorými veľkými podnikmi a skupinami (Ú. v. EÚ L 330, 15.11.2014).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B537F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B537FC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spacing w:after="0" w:line="240" w:lineRule="auto"/>
              <w:ind w:right="-43" w:hanging="7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C:54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B64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Nadobudnutie účinnosti </w:t>
            </w:r>
          </w:p>
          <w:p w:rsidR="001C6E4D" w:rsidRPr="00CB64E4" w:rsidP="008F583F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B64E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Táto smernica nadobúda účinnosť dvadsiatym dňom po jej uverejnení v </w:t>
            </w:r>
            <w:r w:rsidRPr="00CB64E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Úradnom vestníku Európskej únie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 (uverejnené 15</w:t>
            </w:r>
            <w:r w:rsidRPr="00CB64E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11.2014 –účinné 5. 12.2014</w:t>
            </w:r>
            <w:r w:rsidRPr="00CB64E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D81E54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2B295F" w:rsidP="00451273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spacing w:after="0" w:line="240" w:lineRule="auto"/>
              <w:ind w:right="-43" w:hanging="7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C:55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B64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Adresáti</w:t>
            </w:r>
          </w:p>
          <w:p w:rsidR="001C6E4D" w:rsidRPr="00CB64E4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B64E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Táto smernica je určená členským štátom. </w:t>
            </w:r>
          </w:p>
          <w:p w:rsidR="001C6E4D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 Štrasburgu 22. októbra 2014</w:t>
            </w:r>
          </w:p>
          <w:p w:rsidR="001C6E4D" w:rsidRPr="00CB64E4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B64E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 xml:space="preserve">Za Európsky parlament predseda </w:t>
            </w:r>
            <w:r w:rsidRPr="00CB64E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M. SCHULZ</w:t>
            </w:r>
          </w:p>
          <w:p w:rsidR="001C6E4D" w:rsidRPr="00CB64E4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B64E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 xml:space="preserve">Za Radu predseda </w:t>
            </w: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B. DELLA VEDOVA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D81E54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2B295F" w:rsidP="00451273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6E4D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C6E4D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</w:tbl>
    <w:p w:rsidR="00BA7150">
      <w:pPr>
        <w:autoSpaceDE/>
        <w:autoSpaceDN/>
        <w:bidi w:val="0"/>
        <w:rPr>
          <w:rFonts w:ascii="Arial Narrow" w:hAnsi="Arial Narrow"/>
          <w:sz w:val="22"/>
          <w:szCs w:val="22"/>
        </w:rPr>
      </w:pPr>
    </w:p>
    <w:p w:rsidR="008C54C3" w:rsidRPr="00CB64E4">
      <w:pPr>
        <w:autoSpaceDE/>
        <w:autoSpaceDN/>
        <w:bidi w:val="0"/>
        <w:rPr>
          <w:rFonts w:ascii="Arial Narrow" w:hAnsi="Arial Narrow"/>
          <w:sz w:val="22"/>
          <w:szCs w:val="22"/>
        </w:rPr>
      </w:pPr>
    </w:p>
    <w:p w:rsidR="008C54C3" w:rsidRPr="00CB64E4">
      <w:pPr>
        <w:autoSpaceDE/>
        <w:autoSpaceDN/>
        <w:bidi w:val="0"/>
        <w:rPr>
          <w:rFonts w:ascii="Arial Narrow" w:hAnsi="Arial Narrow"/>
          <w:sz w:val="22"/>
          <w:szCs w:val="22"/>
        </w:rPr>
      </w:pPr>
      <w:r w:rsidRPr="00CB64E4">
        <w:rPr>
          <w:rFonts w:ascii="Arial Narrow" w:hAnsi="Arial Narrow"/>
          <w:sz w:val="22"/>
          <w:szCs w:val="22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CB64E4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B64E4">
              <w:rPr>
                <w:rFonts w:ascii="Arial Narrow" w:hAnsi="Arial Narrow"/>
                <w:sz w:val="22"/>
                <w:szCs w:val="22"/>
                <w:lang w:eastAsia="sk-SK"/>
              </w:rPr>
              <w:t>V stĺpci (1):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Č – článok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O – odsek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V – veta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 xml:space="preserve">P – </w:t>
            </w:r>
            <w:r w:rsidRPr="00CB64E4" w:rsidR="00DA0F6C">
              <w:rPr>
                <w:rFonts w:ascii="Arial Narrow" w:hAnsi="Arial Narrow"/>
                <w:sz w:val="22"/>
                <w:szCs w:val="22"/>
              </w:rPr>
              <w:t>číslo</w:t>
            </w:r>
            <w:r w:rsidRPr="00CB64E4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CB64E4" w:rsidR="00DA0F6C">
              <w:rPr>
                <w:rFonts w:ascii="Arial Narrow" w:hAnsi="Arial Narrow"/>
                <w:sz w:val="22"/>
                <w:szCs w:val="22"/>
              </w:rPr>
              <w:t>písmeno</w:t>
            </w:r>
            <w:r w:rsidRPr="00CB64E4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CB64E4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B64E4">
              <w:rPr>
                <w:rFonts w:ascii="Arial Narrow" w:hAnsi="Arial Narrow"/>
                <w:sz w:val="22"/>
                <w:szCs w:val="22"/>
                <w:lang w:eastAsia="sk-SK"/>
              </w:rPr>
              <w:t>V stĺpci (3):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 – bežná transpozícia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O – transpozícia s možnosťou voľby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D – transpozícia podľa úvahy (dobrovoľná)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CB64E4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B64E4">
              <w:rPr>
                <w:rFonts w:ascii="Arial Narrow" w:hAnsi="Arial Narrow"/>
                <w:sz w:val="22"/>
                <w:szCs w:val="22"/>
                <w:lang w:eastAsia="sk-SK"/>
              </w:rPr>
              <w:t>V stĺpci (5):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Č – článok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§ – paragraf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O – odsek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V – veta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C54C3" w:rsidRPr="00CB64E4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CB64E4">
              <w:rPr>
                <w:rFonts w:ascii="Arial Narrow" w:hAnsi="Arial Narrow"/>
                <w:sz w:val="22"/>
                <w:szCs w:val="22"/>
                <w:lang w:eastAsia="sk-SK"/>
              </w:rPr>
              <w:t>V stĺpci (7):</w:t>
            </w:r>
          </w:p>
          <w:p w:rsidR="008C54C3" w:rsidRPr="00CB64E4" w:rsidP="008C54C3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Ú – úplná zhoda (ak bolo ustanovenie smernice prebraté v celom rozsahu, správne, v príslušnej form</w:t>
            </w:r>
            <w:r w:rsidRPr="00CB64E4" w:rsidR="00391DC5">
              <w:rPr>
                <w:rFonts w:ascii="Arial Narrow" w:hAnsi="Arial Narrow"/>
                <w:sz w:val="22"/>
                <w:szCs w:val="22"/>
              </w:rPr>
              <w:t>e</w:t>
            </w:r>
            <w:r w:rsidRPr="00CB64E4">
              <w:rPr>
                <w:rFonts w:ascii="Arial Narrow" w:hAnsi="Arial Narrow"/>
                <w:sz w:val="22"/>
                <w:szCs w:val="22"/>
              </w:rPr>
              <w:t>, so zabezpečenou inštitucionálnou</w:t>
            </w:r>
            <w:r w:rsidRPr="00CB64E4" w:rsidR="000C2E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B64E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B64E4" w:rsidR="000C2E53">
              <w:rPr>
                <w:rFonts w:ascii="Arial Narrow" w:hAnsi="Arial Narrow"/>
                <w:sz w:val="22"/>
                <w:szCs w:val="22"/>
              </w:rPr>
              <w:t>i</w:t>
            </w:r>
            <w:r w:rsidRPr="00CB64E4">
              <w:rPr>
                <w:rFonts w:ascii="Arial Narrow" w:hAnsi="Arial Narrow"/>
                <w:sz w:val="22"/>
                <w:szCs w:val="22"/>
              </w:rPr>
              <w:t>nfraštruktúrou, s príslušnými sankciami a vo vzájomnej súvislosti)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CB64E4">
            <w:pPr>
              <w:pStyle w:val="BodyTextIndent2"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CB64E4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CB64E4">
      <w:pPr>
        <w:autoSpaceDE/>
        <w:autoSpaceDN/>
        <w:bidi w:val="0"/>
        <w:rPr>
          <w:rFonts w:ascii="Arial Narrow" w:hAnsi="Arial Narrow"/>
          <w:sz w:val="22"/>
          <w:szCs w:val="22"/>
        </w:rPr>
      </w:pPr>
    </w:p>
    <w:p w:rsidR="008C54C3" w:rsidRPr="00CB64E4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Arial Narrow" w:hAnsi="Arial Narrow"/>
          <w:sz w:val="22"/>
          <w:szCs w:val="22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">
    <w:altName w:val="Japanese Gothic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imesNewRoman+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78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0743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93978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C69"/>
    <w:multiLevelType w:val="hybridMultilevel"/>
    <w:tmpl w:val="4202CF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12BB47A1"/>
    <w:multiLevelType w:val="hybridMultilevel"/>
    <w:tmpl w:val="4202CF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CD42526"/>
    <w:multiLevelType w:val="hybridMultilevel"/>
    <w:tmpl w:val="D5C6971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30055C39"/>
    <w:multiLevelType w:val="hybridMultilevel"/>
    <w:tmpl w:val="4A62FA1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9101513"/>
    <w:multiLevelType w:val="hybridMultilevel"/>
    <w:tmpl w:val="F266C28C"/>
    <w:lvl w:ilvl="0">
      <w:start w:val="1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28F5066"/>
    <w:multiLevelType w:val="hybridMultilevel"/>
    <w:tmpl w:val="C360F38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66064A71"/>
    <w:multiLevelType w:val="hybridMultilevel"/>
    <w:tmpl w:val="4A62FA1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6EBA159C"/>
    <w:multiLevelType w:val="hybridMultilevel"/>
    <w:tmpl w:val="F266C28C"/>
    <w:lvl w:ilvl="0">
      <w:start w:val="1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DD23FF1"/>
    <w:multiLevelType w:val="hybridMultilevel"/>
    <w:tmpl w:val="93F21B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2DCC"/>
    <w:rsid w:val="00004AF1"/>
    <w:rsid w:val="00007E65"/>
    <w:rsid w:val="00012DAF"/>
    <w:rsid w:val="00017BB1"/>
    <w:rsid w:val="000226C0"/>
    <w:rsid w:val="00026819"/>
    <w:rsid w:val="00033549"/>
    <w:rsid w:val="000338F9"/>
    <w:rsid w:val="00036226"/>
    <w:rsid w:val="00044DEA"/>
    <w:rsid w:val="00047278"/>
    <w:rsid w:val="000473C5"/>
    <w:rsid w:val="00051858"/>
    <w:rsid w:val="0005374E"/>
    <w:rsid w:val="0005406D"/>
    <w:rsid w:val="0005756A"/>
    <w:rsid w:val="00062487"/>
    <w:rsid w:val="000637B1"/>
    <w:rsid w:val="00063F44"/>
    <w:rsid w:val="00064E2C"/>
    <w:rsid w:val="00074FDC"/>
    <w:rsid w:val="00075616"/>
    <w:rsid w:val="00082F02"/>
    <w:rsid w:val="000A4D19"/>
    <w:rsid w:val="000A5522"/>
    <w:rsid w:val="000A5688"/>
    <w:rsid w:val="000A584B"/>
    <w:rsid w:val="000B300E"/>
    <w:rsid w:val="000B4282"/>
    <w:rsid w:val="000C15CD"/>
    <w:rsid w:val="000C1CA0"/>
    <w:rsid w:val="000C2E53"/>
    <w:rsid w:val="000C32DD"/>
    <w:rsid w:val="000C3A76"/>
    <w:rsid w:val="000C6C5C"/>
    <w:rsid w:val="000D4785"/>
    <w:rsid w:val="000D5166"/>
    <w:rsid w:val="000D51C3"/>
    <w:rsid w:val="000D5426"/>
    <w:rsid w:val="000E045C"/>
    <w:rsid w:val="000E0A1F"/>
    <w:rsid w:val="001033C6"/>
    <w:rsid w:val="001054E2"/>
    <w:rsid w:val="00107C21"/>
    <w:rsid w:val="00121E12"/>
    <w:rsid w:val="001244DE"/>
    <w:rsid w:val="00124550"/>
    <w:rsid w:val="00126C24"/>
    <w:rsid w:val="00127033"/>
    <w:rsid w:val="00132C82"/>
    <w:rsid w:val="0013674C"/>
    <w:rsid w:val="001532F1"/>
    <w:rsid w:val="00153B33"/>
    <w:rsid w:val="00164066"/>
    <w:rsid w:val="00166316"/>
    <w:rsid w:val="00170229"/>
    <w:rsid w:val="00170553"/>
    <w:rsid w:val="001716FC"/>
    <w:rsid w:val="00174776"/>
    <w:rsid w:val="00176A11"/>
    <w:rsid w:val="00177A3E"/>
    <w:rsid w:val="0018041D"/>
    <w:rsid w:val="00181AC8"/>
    <w:rsid w:val="0018523B"/>
    <w:rsid w:val="00190270"/>
    <w:rsid w:val="00191C5A"/>
    <w:rsid w:val="00194884"/>
    <w:rsid w:val="00197999"/>
    <w:rsid w:val="00197AE3"/>
    <w:rsid w:val="001B1A55"/>
    <w:rsid w:val="001C6E4D"/>
    <w:rsid w:val="001D0863"/>
    <w:rsid w:val="001D0CB5"/>
    <w:rsid w:val="001D4E51"/>
    <w:rsid w:val="001E4ECB"/>
    <w:rsid w:val="001F1F18"/>
    <w:rsid w:val="001F3C1C"/>
    <w:rsid w:val="001F4296"/>
    <w:rsid w:val="001F58CC"/>
    <w:rsid w:val="001F6BE2"/>
    <w:rsid w:val="001F7C09"/>
    <w:rsid w:val="00200647"/>
    <w:rsid w:val="00204A82"/>
    <w:rsid w:val="00213310"/>
    <w:rsid w:val="0021410D"/>
    <w:rsid w:val="00216FB7"/>
    <w:rsid w:val="00217BF4"/>
    <w:rsid w:val="00221382"/>
    <w:rsid w:val="00222BC3"/>
    <w:rsid w:val="002250B4"/>
    <w:rsid w:val="00230B68"/>
    <w:rsid w:val="0023272F"/>
    <w:rsid w:val="002333BE"/>
    <w:rsid w:val="00240A57"/>
    <w:rsid w:val="002410FB"/>
    <w:rsid w:val="00242075"/>
    <w:rsid w:val="00242D1A"/>
    <w:rsid w:val="00244360"/>
    <w:rsid w:val="0024491A"/>
    <w:rsid w:val="0025445A"/>
    <w:rsid w:val="002601C8"/>
    <w:rsid w:val="00262653"/>
    <w:rsid w:val="002645F3"/>
    <w:rsid w:val="002664D6"/>
    <w:rsid w:val="00266B5F"/>
    <w:rsid w:val="00267547"/>
    <w:rsid w:val="00267A7E"/>
    <w:rsid w:val="00270E65"/>
    <w:rsid w:val="0027110E"/>
    <w:rsid w:val="00271940"/>
    <w:rsid w:val="002757D9"/>
    <w:rsid w:val="00275FCA"/>
    <w:rsid w:val="00281402"/>
    <w:rsid w:val="002818B7"/>
    <w:rsid w:val="00281BCD"/>
    <w:rsid w:val="00282EBD"/>
    <w:rsid w:val="00283E7F"/>
    <w:rsid w:val="002945A1"/>
    <w:rsid w:val="002A1966"/>
    <w:rsid w:val="002A5E21"/>
    <w:rsid w:val="002A674C"/>
    <w:rsid w:val="002A6B6C"/>
    <w:rsid w:val="002B033F"/>
    <w:rsid w:val="002B295F"/>
    <w:rsid w:val="002C00F4"/>
    <w:rsid w:val="002C62AA"/>
    <w:rsid w:val="002D03D0"/>
    <w:rsid w:val="002D1879"/>
    <w:rsid w:val="002E1D16"/>
    <w:rsid w:val="002E54A3"/>
    <w:rsid w:val="002F060B"/>
    <w:rsid w:val="002F07C1"/>
    <w:rsid w:val="002F0AF0"/>
    <w:rsid w:val="003139F3"/>
    <w:rsid w:val="003249DD"/>
    <w:rsid w:val="00327791"/>
    <w:rsid w:val="003309EE"/>
    <w:rsid w:val="00330D77"/>
    <w:rsid w:val="003413B6"/>
    <w:rsid w:val="00344EDC"/>
    <w:rsid w:val="00351489"/>
    <w:rsid w:val="0035331E"/>
    <w:rsid w:val="0035715E"/>
    <w:rsid w:val="003577FA"/>
    <w:rsid w:val="00361032"/>
    <w:rsid w:val="00363C2E"/>
    <w:rsid w:val="00363EED"/>
    <w:rsid w:val="00365B3D"/>
    <w:rsid w:val="00367B28"/>
    <w:rsid w:val="00370656"/>
    <w:rsid w:val="003712C5"/>
    <w:rsid w:val="00371769"/>
    <w:rsid w:val="00371F66"/>
    <w:rsid w:val="003720DC"/>
    <w:rsid w:val="00372431"/>
    <w:rsid w:val="003759B4"/>
    <w:rsid w:val="00382238"/>
    <w:rsid w:val="00382B42"/>
    <w:rsid w:val="00391DC5"/>
    <w:rsid w:val="00391EB5"/>
    <w:rsid w:val="00393C8E"/>
    <w:rsid w:val="003A50DE"/>
    <w:rsid w:val="003B1E3F"/>
    <w:rsid w:val="003B41F9"/>
    <w:rsid w:val="003B4998"/>
    <w:rsid w:val="003B4B10"/>
    <w:rsid w:val="003C4001"/>
    <w:rsid w:val="003C5044"/>
    <w:rsid w:val="003C53C6"/>
    <w:rsid w:val="003C5E9B"/>
    <w:rsid w:val="003D3B96"/>
    <w:rsid w:val="003D3CF6"/>
    <w:rsid w:val="003D582B"/>
    <w:rsid w:val="003E29B4"/>
    <w:rsid w:val="003E3795"/>
    <w:rsid w:val="003E7B78"/>
    <w:rsid w:val="003F125D"/>
    <w:rsid w:val="003F484C"/>
    <w:rsid w:val="003F4A6C"/>
    <w:rsid w:val="00402E59"/>
    <w:rsid w:val="00405125"/>
    <w:rsid w:val="0040707A"/>
    <w:rsid w:val="00411433"/>
    <w:rsid w:val="00412519"/>
    <w:rsid w:val="00422EEE"/>
    <w:rsid w:val="00424270"/>
    <w:rsid w:val="00424AAF"/>
    <w:rsid w:val="00430991"/>
    <w:rsid w:val="00431A83"/>
    <w:rsid w:val="00433BBB"/>
    <w:rsid w:val="004343C1"/>
    <w:rsid w:val="004353BF"/>
    <w:rsid w:val="0043657B"/>
    <w:rsid w:val="0043764E"/>
    <w:rsid w:val="0044069C"/>
    <w:rsid w:val="00440A2A"/>
    <w:rsid w:val="004439F2"/>
    <w:rsid w:val="00451273"/>
    <w:rsid w:val="00453654"/>
    <w:rsid w:val="0045536B"/>
    <w:rsid w:val="0045607F"/>
    <w:rsid w:val="004575E7"/>
    <w:rsid w:val="004577EC"/>
    <w:rsid w:val="00464943"/>
    <w:rsid w:val="00464D55"/>
    <w:rsid w:val="00466388"/>
    <w:rsid w:val="00467C67"/>
    <w:rsid w:val="0047103E"/>
    <w:rsid w:val="00472C5C"/>
    <w:rsid w:val="004826F0"/>
    <w:rsid w:val="0048408B"/>
    <w:rsid w:val="0048425C"/>
    <w:rsid w:val="00484895"/>
    <w:rsid w:val="00485C87"/>
    <w:rsid w:val="004867EA"/>
    <w:rsid w:val="00497FA7"/>
    <w:rsid w:val="004A48A5"/>
    <w:rsid w:val="004B014D"/>
    <w:rsid w:val="004B1716"/>
    <w:rsid w:val="004B3552"/>
    <w:rsid w:val="004B38CE"/>
    <w:rsid w:val="004B53D7"/>
    <w:rsid w:val="004C0239"/>
    <w:rsid w:val="004C04B5"/>
    <w:rsid w:val="004C2304"/>
    <w:rsid w:val="004C7FA8"/>
    <w:rsid w:val="004D0FA1"/>
    <w:rsid w:val="004D54FC"/>
    <w:rsid w:val="004D726F"/>
    <w:rsid w:val="004D79AC"/>
    <w:rsid w:val="004E021C"/>
    <w:rsid w:val="004E30E1"/>
    <w:rsid w:val="004E3237"/>
    <w:rsid w:val="004E4B9B"/>
    <w:rsid w:val="004E5A8E"/>
    <w:rsid w:val="004F4517"/>
    <w:rsid w:val="00501D97"/>
    <w:rsid w:val="00502A81"/>
    <w:rsid w:val="00503888"/>
    <w:rsid w:val="00504C3C"/>
    <w:rsid w:val="005125E1"/>
    <w:rsid w:val="00516609"/>
    <w:rsid w:val="005170A9"/>
    <w:rsid w:val="00531D65"/>
    <w:rsid w:val="00533BAA"/>
    <w:rsid w:val="005346D0"/>
    <w:rsid w:val="00540F5A"/>
    <w:rsid w:val="005458DF"/>
    <w:rsid w:val="00545D47"/>
    <w:rsid w:val="00551B53"/>
    <w:rsid w:val="00551FAE"/>
    <w:rsid w:val="00567225"/>
    <w:rsid w:val="005732BC"/>
    <w:rsid w:val="00577988"/>
    <w:rsid w:val="005779B8"/>
    <w:rsid w:val="005802E4"/>
    <w:rsid w:val="00582D4C"/>
    <w:rsid w:val="00583AE6"/>
    <w:rsid w:val="00587AD8"/>
    <w:rsid w:val="00590158"/>
    <w:rsid w:val="005909E8"/>
    <w:rsid w:val="005935C6"/>
    <w:rsid w:val="005936E3"/>
    <w:rsid w:val="00593FB9"/>
    <w:rsid w:val="005947B8"/>
    <w:rsid w:val="00594AEE"/>
    <w:rsid w:val="005A1C49"/>
    <w:rsid w:val="005A6227"/>
    <w:rsid w:val="005B1165"/>
    <w:rsid w:val="005B5394"/>
    <w:rsid w:val="005B627C"/>
    <w:rsid w:val="005C11ED"/>
    <w:rsid w:val="005C3B01"/>
    <w:rsid w:val="005C6934"/>
    <w:rsid w:val="005D06A1"/>
    <w:rsid w:val="005D12C7"/>
    <w:rsid w:val="005E147F"/>
    <w:rsid w:val="005E3216"/>
    <w:rsid w:val="005E4EB6"/>
    <w:rsid w:val="005E59EA"/>
    <w:rsid w:val="005F5C4E"/>
    <w:rsid w:val="00600B4C"/>
    <w:rsid w:val="00600DDD"/>
    <w:rsid w:val="00602F6C"/>
    <w:rsid w:val="00605774"/>
    <w:rsid w:val="00605CD6"/>
    <w:rsid w:val="0060743D"/>
    <w:rsid w:val="00614B3E"/>
    <w:rsid w:val="00615481"/>
    <w:rsid w:val="00615FA9"/>
    <w:rsid w:val="00616381"/>
    <w:rsid w:val="00626BBE"/>
    <w:rsid w:val="0063163F"/>
    <w:rsid w:val="00634B2E"/>
    <w:rsid w:val="00643432"/>
    <w:rsid w:val="0064397E"/>
    <w:rsid w:val="00644811"/>
    <w:rsid w:val="00645C2A"/>
    <w:rsid w:val="006461C3"/>
    <w:rsid w:val="006525EE"/>
    <w:rsid w:val="00653AE1"/>
    <w:rsid w:val="00654207"/>
    <w:rsid w:val="0065524E"/>
    <w:rsid w:val="00662756"/>
    <w:rsid w:val="00662FBC"/>
    <w:rsid w:val="006658EE"/>
    <w:rsid w:val="006701B4"/>
    <w:rsid w:val="006705EE"/>
    <w:rsid w:val="006707B2"/>
    <w:rsid w:val="006738D0"/>
    <w:rsid w:val="00674ACE"/>
    <w:rsid w:val="00675E51"/>
    <w:rsid w:val="00683A6B"/>
    <w:rsid w:val="006871DA"/>
    <w:rsid w:val="00697D85"/>
    <w:rsid w:val="006A30B6"/>
    <w:rsid w:val="006A3C60"/>
    <w:rsid w:val="006A4DF4"/>
    <w:rsid w:val="006A62BC"/>
    <w:rsid w:val="006A643A"/>
    <w:rsid w:val="006B3752"/>
    <w:rsid w:val="006B3E66"/>
    <w:rsid w:val="006C1618"/>
    <w:rsid w:val="006C2E8C"/>
    <w:rsid w:val="006C4F3A"/>
    <w:rsid w:val="006D019D"/>
    <w:rsid w:val="006D15F4"/>
    <w:rsid w:val="006D17D6"/>
    <w:rsid w:val="006D2496"/>
    <w:rsid w:val="006D5282"/>
    <w:rsid w:val="006E12AD"/>
    <w:rsid w:val="006E2B26"/>
    <w:rsid w:val="006E689D"/>
    <w:rsid w:val="006F0264"/>
    <w:rsid w:val="006F12B6"/>
    <w:rsid w:val="007048BE"/>
    <w:rsid w:val="00710CAA"/>
    <w:rsid w:val="00710FB0"/>
    <w:rsid w:val="007114A4"/>
    <w:rsid w:val="00714776"/>
    <w:rsid w:val="00715E59"/>
    <w:rsid w:val="00716C11"/>
    <w:rsid w:val="0071766B"/>
    <w:rsid w:val="0071793A"/>
    <w:rsid w:val="007223FD"/>
    <w:rsid w:val="00724622"/>
    <w:rsid w:val="007254EE"/>
    <w:rsid w:val="00737D73"/>
    <w:rsid w:val="00741394"/>
    <w:rsid w:val="007457CE"/>
    <w:rsid w:val="00752008"/>
    <w:rsid w:val="00752F41"/>
    <w:rsid w:val="007638FB"/>
    <w:rsid w:val="007666A4"/>
    <w:rsid w:val="00772D1D"/>
    <w:rsid w:val="00774F2A"/>
    <w:rsid w:val="00775347"/>
    <w:rsid w:val="0078287E"/>
    <w:rsid w:val="00787A5F"/>
    <w:rsid w:val="00790C23"/>
    <w:rsid w:val="00791277"/>
    <w:rsid w:val="00793978"/>
    <w:rsid w:val="00797416"/>
    <w:rsid w:val="007A729F"/>
    <w:rsid w:val="007A7589"/>
    <w:rsid w:val="007B2E6D"/>
    <w:rsid w:val="007B4F52"/>
    <w:rsid w:val="007B6B0E"/>
    <w:rsid w:val="007C3023"/>
    <w:rsid w:val="007C3A31"/>
    <w:rsid w:val="007C44FB"/>
    <w:rsid w:val="007D63ED"/>
    <w:rsid w:val="007D66F4"/>
    <w:rsid w:val="00800C77"/>
    <w:rsid w:val="0080321D"/>
    <w:rsid w:val="00805DB2"/>
    <w:rsid w:val="00806DE6"/>
    <w:rsid w:val="008100E2"/>
    <w:rsid w:val="00814632"/>
    <w:rsid w:val="00814E7B"/>
    <w:rsid w:val="00821A87"/>
    <w:rsid w:val="00837A97"/>
    <w:rsid w:val="008414ED"/>
    <w:rsid w:val="00841641"/>
    <w:rsid w:val="008443BD"/>
    <w:rsid w:val="00845953"/>
    <w:rsid w:val="00853220"/>
    <w:rsid w:val="008602F0"/>
    <w:rsid w:val="00866723"/>
    <w:rsid w:val="008711AC"/>
    <w:rsid w:val="00872A0A"/>
    <w:rsid w:val="008809EE"/>
    <w:rsid w:val="008830BD"/>
    <w:rsid w:val="00887E02"/>
    <w:rsid w:val="008959BB"/>
    <w:rsid w:val="008A010F"/>
    <w:rsid w:val="008A1349"/>
    <w:rsid w:val="008A5161"/>
    <w:rsid w:val="008A6FB5"/>
    <w:rsid w:val="008B13F5"/>
    <w:rsid w:val="008B76FC"/>
    <w:rsid w:val="008C54C3"/>
    <w:rsid w:val="008C740C"/>
    <w:rsid w:val="008C7D45"/>
    <w:rsid w:val="008D0350"/>
    <w:rsid w:val="008D0F6D"/>
    <w:rsid w:val="008D1F42"/>
    <w:rsid w:val="008D2586"/>
    <w:rsid w:val="008D3174"/>
    <w:rsid w:val="008D35F7"/>
    <w:rsid w:val="008D4C65"/>
    <w:rsid w:val="008D5DF3"/>
    <w:rsid w:val="008D6C50"/>
    <w:rsid w:val="008E07A5"/>
    <w:rsid w:val="008E3A4F"/>
    <w:rsid w:val="008E65F8"/>
    <w:rsid w:val="008F0238"/>
    <w:rsid w:val="008F583F"/>
    <w:rsid w:val="008F633C"/>
    <w:rsid w:val="008F698B"/>
    <w:rsid w:val="00902AA5"/>
    <w:rsid w:val="00902EB7"/>
    <w:rsid w:val="00903663"/>
    <w:rsid w:val="00904D6C"/>
    <w:rsid w:val="00911511"/>
    <w:rsid w:val="0091636B"/>
    <w:rsid w:val="00921612"/>
    <w:rsid w:val="00922BF3"/>
    <w:rsid w:val="00924021"/>
    <w:rsid w:val="0092492B"/>
    <w:rsid w:val="00926F27"/>
    <w:rsid w:val="00930F9F"/>
    <w:rsid w:val="00931774"/>
    <w:rsid w:val="009371EE"/>
    <w:rsid w:val="00940768"/>
    <w:rsid w:val="00940EB9"/>
    <w:rsid w:val="00947B23"/>
    <w:rsid w:val="009557B2"/>
    <w:rsid w:val="009605E7"/>
    <w:rsid w:val="009612CE"/>
    <w:rsid w:val="009622CA"/>
    <w:rsid w:val="0097005C"/>
    <w:rsid w:val="00970305"/>
    <w:rsid w:val="00973769"/>
    <w:rsid w:val="0097431E"/>
    <w:rsid w:val="00980F5C"/>
    <w:rsid w:val="00981CC1"/>
    <w:rsid w:val="009823B3"/>
    <w:rsid w:val="009826E3"/>
    <w:rsid w:val="00985AD8"/>
    <w:rsid w:val="00990461"/>
    <w:rsid w:val="00991494"/>
    <w:rsid w:val="00991EA4"/>
    <w:rsid w:val="0099469A"/>
    <w:rsid w:val="00997724"/>
    <w:rsid w:val="009979F6"/>
    <w:rsid w:val="009A4300"/>
    <w:rsid w:val="009A591F"/>
    <w:rsid w:val="009A59E4"/>
    <w:rsid w:val="009A6697"/>
    <w:rsid w:val="009B690D"/>
    <w:rsid w:val="009B7A68"/>
    <w:rsid w:val="009C3481"/>
    <w:rsid w:val="009C6AFF"/>
    <w:rsid w:val="009C74CF"/>
    <w:rsid w:val="009C787A"/>
    <w:rsid w:val="009D40B0"/>
    <w:rsid w:val="009D41A9"/>
    <w:rsid w:val="009D76C5"/>
    <w:rsid w:val="009E4783"/>
    <w:rsid w:val="009E62DB"/>
    <w:rsid w:val="009E6679"/>
    <w:rsid w:val="009E7641"/>
    <w:rsid w:val="009F2FE2"/>
    <w:rsid w:val="00A021D3"/>
    <w:rsid w:val="00A03C72"/>
    <w:rsid w:val="00A12CF5"/>
    <w:rsid w:val="00A15807"/>
    <w:rsid w:val="00A16573"/>
    <w:rsid w:val="00A20970"/>
    <w:rsid w:val="00A215A4"/>
    <w:rsid w:val="00A2496C"/>
    <w:rsid w:val="00A25631"/>
    <w:rsid w:val="00A270AE"/>
    <w:rsid w:val="00A30A09"/>
    <w:rsid w:val="00A34769"/>
    <w:rsid w:val="00A360CB"/>
    <w:rsid w:val="00A36A9B"/>
    <w:rsid w:val="00A44741"/>
    <w:rsid w:val="00A45D99"/>
    <w:rsid w:val="00A46A0E"/>
    <w:rsid w:val="00A47F5C"/>
    <w:rsid w:val="00A5359E"/>
    <w:rsid w:val="00A635BD"/>
    <w:rsid w:val="00A65154"/>
    <w:rsid w:val="00A730AE"/>
    <w:rsid w:val="00A75B91"/>
    <w:rsid w:val="00A779AD"/>
    <w:rsid w:val="00A8346A"/>
    <w:rsid w:val="00A847B4"/>
    <w:rsid w:val="00A86FD5"/>
    <w:rsid w:val="00A9063F"/>
    <w:rsid w:val="00A91B17"/>
    <w:rsid w:val="00AA0251"/>
    <w:rsid w:val="00AA6B8F"/>
    <w:rsid w:val="00AA7850"/>
    <w:rsid w:val="00AB2C0E"/>
    <w:rsid w:val="00AB4B83"/>
    <w:rsid w:val="00AB4BFA"/>
    <w:rsid w:val="00AB5DCA"/>
    <w:rsid w:val="00AB74AB"/>
    <w:rsid w:val="00AC0CCE"/>
    <w:rsid w:val="00AC12E3"/>
    <w:rsid w:val="00AC21F8"/>
    <w:rsid w:val="00AC35BB"/>
    <w:rsid w:val="00AC467A"/>
    <w:rsid w:val="00AC4C9E"/>
    <w:rsid w:val="00AD24EE"/>
    <w:rsid w:val="00AD37E6"/>
    <w:rsid w:val="00AD4C28"/>
    <w:rsid w:val="00AE0716"/>
    <w:rsid w:val="00AE39AF"/>
    <w:rsid w:val="00AF2CD7"/>
    <w:rsid w:val="00AF47A1"/>
    <w:rsid w:val="00AF5E04"/>
    <w:rsid w:val="00AF6CE0"/>
    <w:rsid w:val="00B02E47"/>
    <w:rsid w:val="00B044C3"/>
    <w:rsid w:val="00B06089"/>
    <w:rsid w:val="00B1267F"/>
    <w:rsid w:val="00B13737"/>
    <w:rsid w:val="00B13FE4"/>
    <w:rsid w:val="00B16A89"/>
    <w:rsid w:val="00B2164F"/>
    <w:rsid w:val="00B22FE0"/>
    <w:rsid w:val="00B24D0F"/>
    <w:rsid w:val="00B25F65"/>
    <w:rsid w:val="00B31326"/>
    <w:rsid w:val="00B342EC"/>
    <w:rsid w:val="00B408CE"/>
    <w:rsid w:val="00B425D7"/>
    <w:rsid w:val="00B42C0D"/>
    <w:rsid w:val="00B4311D"/>
    <w:rsid w:val="00B45CA4"/>
    <w:rsid w:val="00B47C98"/>
    <w:rsid w:val="00B508F6"/>
    <w:rsid w:val="00B51A96"/>
    <w:rsid w:val="00B51B9C"/>
    <w:rsid w:val="00B53110"/>
    <w:rsid w:val="00B53236"/>
    <w:rsid w:val="00B53256"/>
    <w:rsid w:val="00B534EF"/>
    <w:rsid w:val="00B537FC"/>
    <w:rsid w:val="00B54DCE"/>
    <w:rsid w:val="00B62780"/>
    <w:rsid w:val="00B6321A"/>
    <w:rsid w:val="00B634C0"/>
    <w:rsid w:val="00B64B09"/>
    <w:rsid w:val="00B65C58"/>
    <w:rsid w:val="00B66E45"/>
    <w:rsid w:val="00B85C72"/>
    <w:rsid w:val="00B92473"/>
    <w:rsid w:val="00B93A01"/>
    <w:rsid w:val="00B95DB2"/>
    <w:rsid w:val="00BA3F13"/>
    <w:rsid w:val="00BA5A3A"/>
    <w:rsid w:val="00BA6983"/>
    <w:rsid w:val="00BA7150"/>
    <w:rsid w:val="00BB018F"/>
    <w:rsid w:val="00BC303A"/>
    <w:rsid w:val="00BC58BB"/>
    <w:rsid w:val="00BD0651"/>
    <w:rsid w:val="00BD1500"/>
    <w:rsid w:val="00BD413B"/>
    <w:rsid w:val="00BD5D7B"/>
    <w:rsid w:val="00BE42E1"/>
    <w:rsid w:val="00BE6D3F"/>
    <w:rsid w:val="00BE6F9F"/>
    <w:rsid w:val="00BF276A"/>
    <w:rsid w:val="00BF7B25"/>
    <w:rsid w:val="00BF7BEA"/>
    <w:rsid w:val="00C00C90"/>
    <w:rsid w:val="00C018CF"/>
    <w:rsid w:val="00C02845"/>
    <w:rsid w:val="00C02937"/>
    <w:rsid w:val="00C050B7"/>
    <w:rsid w:val="00C05BAE"/>
    <w:rsid w:val="00C06C10"/>
    <w:rsid w:val="00C129C4"/>
    <w:rsid w:val="00C139A5"/>
    <w:rsid w:val="00C1545D"/>
    <w:rsid w:val="00C15E38"/>
    <w:rsid w:val="00C174A3"/>
    <w:rsid w:val="00C21CEF"/>
    <w:rsid w:val="00C34EF5"/>
    <w:rsid w:val="00C3589D"/>
    <w:rsid w:val="00C372E4"/>
    <w:rsid w:val="00C3773B"/>
    <w:rsid w:val="00C40DF6"/>
    <w:rsid w:val="00C40EDB"/>
    <w:rsid w:val="00C4794C"/>
    <w:rsid w:val="00C53885"/>
    <w:rsid w:val="00C5476E"/>
    <w:rsid w:val="00C63D16"/>
    <w:rsid w:val="00C6473A"/>
    <w:rsid w:val="00C64C50"/>
    <w:rsid w:val="00C64F67"/>
    <w:rsid w:val="00C674A7"/>
    <w:rsid w:val="00C70AA0"/>
    <w:rsid w:val="00C70F1F"/>
    <w:rsid w:val="00C71317"/>
    <w:rsid w:val="00C7358B"/>
    <w:rsid w:val="00C859D0"/>
    <w:rsid w:val="00C87AD9"/>
    <w:rsid w:val="00C922ED"/>
    <w:rsid w:val="00C94D39"/>
    <w:rsid w:val="00C95843"/>
    <w:rsid w:val="00C960B1"/>
    <w:rsid w:val="00CA28FD"/>
    <w:rsid w:val="00CA3571"/>
    <w:rsid w:val="00CA70F1"/>
    <w:rsid w:val="00CB2E5D"/>
    <w:rsid w:val="00CB3421"/>
    <w:rsid w:val="00CB3EB6"/>
    <w:rsid w:val="00CB64E4"/>
    <w:rsid w:val="00CC2139"/>
    <w:rsid w:val="00CC3DA4"/>
    <w:rsid w:val="00CC6676"/>
    <w:rsid w:val="00CC72CF"/>
    <w:rsid w:val="00CD0593"/>
    <w:rsid w:val="00CD70BC"/>
    <w:rsid w:val="00CD70EA"/>
    <w:rsid w:val="00CE1975"/>
    <w:rsid w:val="00CE1BB7"/>
    <w:rsid w:val="00CE68FE"/>
    <w:rsid w:val="00CE6DC2"/>
    <w:rsid w:val="00CE70FF"/>
    <w:rsid w:val="00CF06D2"/>
    <w:rsid w:val="00D001A7"/>
    <w:rsid w:val="00D00516"/>
    <w:rsid w:val="00D01223"/>
    <w:rsid w:val="00D04302"/>
    <w:rsid w:val="00D06DC9"/>
    <w:rsid w:val="00D079E3"/>
    <w:rsid w:val="00D100F5"/>
    <w:rsid w:val="00D1084B"/>
    <w:rsid w:val="00D11577"/>
    <w:rsid w:val="00D15991"/>
    <w:rsid w:val="00D22A7B"/>
    <w:rsid w:val="00D27CC1"/>
    <w:rsid w:val="00D27F79"/>
    <w:rsid w:val="00D311B0"/>
    <w:rsid w:val="00D37E9E"/>
    <w:rsid w:val="00D43AB0"/>
    <w:rsid w:val="00D447B6"/>
    <w:rsid w:val="00D52EA0"/>
    <w:rsid w:val="00D53916"/>
    <w:rsid w:val="00D64EEF"/>
    <w:rsid w:val="00D70B8F"/>
    <w:rsid w:val="00D72D1E"/>
    <w:rsid w:val="00D74E1A"/>
    <w:rsid w:val="00D773AA"/>
    <w:rsid w:val="00D809DE"/>
    <w:rsid w:val="00D81E54"/>
    <w:rsid w:val="00D82B91"/>
    <w:rsid w:val="00D900AE"/>
    <w:rsid w:val="00D9138E"/>
    <w:rsid w:val="00D932E9"/>
    <w:rsid w:val="00D93494"/>
    <w:rsid w:val="00D94C51"/>
    <w:rsid w:val="00D96CFF"/>
    <w:rsid w:val="00D96E1F"/>
    <w:rsid w:val="00DA0F6C"/>
    <w:rsid w:val="00DA791A"/>
    <w:rsid w:val="00DB2206"/>
    <w:rsid w:val="00DB2AAC"/>
    <w:rsid w:val="00DB3D62"/>
    <w:rsid w:val="00DB43FF"/>
    <w:rsid w:val="00DB6205"/>
    <w:rsid w:val="00DD11AE"/>
    <w:rsid w:val="00DD2164"/>
    <w:rsid w:val="00DD3A21"/>
    <w:rsid w:val="00DD3BAB"/>
    <w:rsid w:val="00DD6696"/>
    <w:rsid w:val="00DE0167"/>
    <w:rsid w:val="00DE0820"/>
    <w:rsid w:val="00DE0F85"/>
    <w:rsid w:val="00DE3459"/>
    <w:rsid w:val="00DE5F79"/>
    <w:rsid w:val="00DF065E"/>
    <w:rsid w:val="00E00373"/>
    <w:rsid w:val="00E02346"/>
    <w:rsid w:val="00E03007"/>
    <w:rsid w:val="00E044EB"/>
    <w:rsid w:val="00E0779B"/>
    <w:rsid w:val="00E136CF"/>
    <w:rsid w:val="00E16E98"/>
    <w:rsid w:val="00E212B3"/>
    <w:rsid w:val="00E22835"/>
    <w:rsid w:val="00E2468C"/>
    <w:rsid w:val="00E256FA"/>
    <w:rsid w:val="00E47985"/>
    <w:rsid w:val="00E47B6E"/>
    <w:rsid w:val="00E517D2"/>
    <w:rsid w:val="00E53443"/>
    <w:rsid w:val="00E55640"/>
    <w:rsid w:val="00E62217"/>
    <w:rsid w:val="00E64B85"/>
    <w:rsid w:val="00E70293"/>
    <w:rsid w:val="00E72C43"/>
    <w:rsid w:val="00E72DF3"/>
    <w:rsid w:val="00E745B5"/>
    <w:rsid w:val="00E80CD4"/>
    <w:rsid w:val="00E82BB3"/>
    <w:rsid w:val="00E92860"/>
    <w:rsid w:val="00E96FC8"/>
    <w:rsid w:val="00EA3B80"/>
    <w:rsid w:val="00EB2DB9"/>
    <w:rsid w:val="00EB7BC0"/>
    <w:rsid w:val="00EB7C61"/>
    <w:rsid w:val="00EC14E9"/>
    <w:rsid w:val="00EC4DBB"/>
    <w:rsid w:val="00EC51FB"/>
    <w:rsid w:val="00ED0BD7"/>
    <w:rsid w:val="00ED17C1"/>
    <w:rsid w:val="00ED6143"/>
    <w:rsid w:val="00EE02BE"/>
    <w:rsid w:val="00EE2636"/>
    <w:rsid w:val="00EE2D81"/>
    <w:rsid w:val="00EE2F39"/>
    <w:rsid w:val="00EE2F52"/>
    <w:rsid w:val="00EE61CB"/>
    <w:rsid w:val="00EE7DD6"/>
    <w:rsid w:val="00EF0B2F"/>
    <w:rsid w:val="00EF23CF"/>
    <w:rsid w:val="00EF2A14"/>
    <w:rsid w:val="00EF6471"/>
    <w:rsid w:val="00F047A8"/>
    <w:rsid w:val="00F11250"/>
    <w:rsid w:val="00F1185F"/>
    <w:rsid w:val="00F1328C"/>
    <w:rsid w:val="00F14129"/>
    <w:rsid w:val="00F17A46"/>
    <w:rsid w:val="00F2420B"/>
    <w:rsid w:val="00F27DD3"/>
    <w:rsid w:val="00F30F95"/>
    <w:rsid w:val="00F31A6B"/>
    <w:rsid w:val="00F332B1"/>
    <w:rsid w:val="00F33A95"/>
    <w:rsid w:val="00F37E43"/>
    <w:rsid w:val="00F4072E"/>
    <w:rsid w:val="00F4080C"/>
    <w:rsid w:val="00F42616"/>
    <w:rsid w:val="00F529B3"/>
    <w:rsid w:val="00F53DFC"/>
    <w:rsid w:val="00F648F4"/>
    <w:rsid w:val="00F70C95"/>
    <w:rsid w:val="00F72FAC"/>
    <w:rsid w:val="00F736B8"/>
    <w:rsid w:val="00F76672"/>
    <w:rsid w:val="00F82BF8"/>
    <w:rsid w:val="00F86965"/>
    <w:rsid w:val="00F94C74"/>
    <w:rsid w:val="00F964D4"/>
    <w:rsid w:val="00F97FEB"/>
    <w:rsid w:val="00FA3E1C"/>
    <w:rsid w:val="00FA3F25"/>
    <w:rsid w:val="00FA4E72"/>
    <w:rsid w:val="00FA66BD"/>
    <w:rsid w:val="00FB0C4E"/>
    <w:rsid w:val="00FB0F6A"/>
    <w:rsid w:val="00FB11A8"/>
    <w:rsid w:val="00FB1721"/>
    <w:rsid w:val="00FB27F2"/>
    <w:rsid w:val="00FB4CEF"/>
    <w:rsid w:val="00FB5058"/>
    <w:rsid w:val="00FB5D33"/>
    <w:rsid w:val="00FB6A53"/>
    <w:rsid w:val="00FC4A3A"/>
    <w:rsid w:val="00FC59D8"/>
    <w:rsid w:val="00FC7B8E"/>
    <w:rsid w:val="00FD7D34"/>
    <w:rsid w:val="00FE2BDE"/>
    <w:rsid w:val="00FE490E"/>
    <w:rsid w:val="00FE587E"/>
    <w:rsid w:val="00FF0A46"/>
    <w:rsid w:val="00FF1924"/>
    <w:rsid w:val="00FF7AB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header" w:semiHidden="1"/>
    <w:lsdException w:name="footer" w:semiHidden="1" w:uiPriority="0"/>
    <w:lsdException w:name="caption" w:semiHidden="1" w:uiPriority="35" w:unhideWhenUsed="1" w:qFormat="1"/>
    <w:lsdException w:name="footnote reference" w:semiHidden="1" w:uiPriority="0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styleId="Title">
    <w:name w:val="Title"/>
    <w:basedOn w:val="Normal"/>
    <w:link w:val="NzovChar"/>
    <w:uiPriority w:val="99"/>
    <w:qFormat/>
    <w:rsid w:val="009557B2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9557B2"/>
    <w:rPr>
      <w:rFonts w:cs="Times New Roman"/>
      <w:b/>
      <w:bCs/>
      <w:sz w:val="28"/>
      <w:szCs w:val="28"/>
      <w:rtl w:val="0"/>
      <w:cs w:val="0"/>
      <w:lang w:val="x-none" w:eastAsia="cs-CZ"/>
    </w:rPr>
  </w:style>
  <w:style w:type="paragraph" w:styleId="ListParagraph">
    <w:name w:val="List Paragraph"/>
    <w:basedOn w:val="Normal"/>
    <w:link w:val="OdsekzoznamuChar"/>
    <w:uiPriority w:val="99"/>
    <w:qFormat/>
    <w:rsid w:val="0097005C"/>
    <w:pPr>
      <w:autoSpaceDE/>
      <w:autoSpaceDN/>
      <w:ind w:left="708"/>
      <w:jc w:val="left"/>
    </w:pPr>
    <w:rPr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0226C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226C0"/>
    <w:pPr>
      <w:autoSpaceDE/>
      <w:autoSpaceDN/>
      <w:jc w:val="left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226C0"/>
    <w:rPr>
      <w:rFonts w:cs="Times New Roman"/>
      <w:sz w:val="20"/>
      <w:szCs w:val="20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226C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226C0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AB5DC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B5DCA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007E65"/>
    <w:rPr>
      <w:rFonts w:cs="Times New Roman"/>
      <w:color w:val="0000FF" w:themeColor="hlink" w:themeShade="FF"/>
      <w:u w:val="single"/>
      <w:rtl w:val="0"/>
      <w:cs w:val="0"/>
    </w:rPr>
  </w:style>
  <w:style w:type="character" w:customStyle="1" w:styleId="OdsekzoznamuChar">
    <w:name w:val="Odsek zoznamu Char"/>
    <w:link w:val="ListParagraph"/>
    <w:uiPriority w:val="99"/>
    <w:locked/>
    <w:rsid w:val="006525EE"/>
    <w:rPr>
      <w:sz w:val="20"/>
      <w:lang w:val="x-none" w:eastAsia="cs-CZ"/>
    </w:rPr>
  </w:style>
  <w:style w:type="paragraph" w:customStyle="1" w:styleId="DefinitionTerm">
    <w:name w:val="Definition Term"/>
    <w:basedOn w:val="Normal"/>
    <w:next w:val="Normal"/>
    <w:uiPriority w:val="99"/>
    <w:rsid w:val="00B634C0"/>
    <w:pPr>
      <w:adjustRightInd w:val="0"/>
      <w:jc w:val="left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2EF1-1F2F-4D66-A07F-25C016A4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4105</Words>
  <Characters>24038</Characters>
  <Application>Microsoft Office Word</Application>
  <DocSecurity>0</DocSecurity>
  <Lines>0</Lines>
  <Paragraphs>0</Paragraphs>
  <ScaleCrop>false</ScaleCrop>
  <Company>ÚV SR</Company>
  <LinksUpToDate>false</LinksUpToDate>
  <CharactersWithSpaces>28087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mhorvathova</cp:lastModifiedBy>
  <cp:revision>2</cp:revision>
  <cp:lastPrinted>2014-07-22T12:33:00Z</cp:lastPrinted>
  <dcterms:created xsi:type="dcterms:W3CDTF">2015-02-20T08:45:00Z</dcterms:created>
  <dcterms:modified xsi:type="dcterms:W3CDTF">2015-02-20T08:45:00Z</dcterms:modified>
</cp:coreProperties>
</file>