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114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>Doložka vybraných vplyvov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A4753D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283CF3">
        <w:rPr>
          <w:rFonts w:ascii="TimesNewRomanPSMT" w:hAnsi="TimesNewRomanPSMT" w:cs="TimesNewRomanPSMT"/>
          <w:b/>
          <w:bCs/>
          <w:sz w:val="24"/>
          <w:szCs w:val="24"/>
        </w:rPr>
        <w:t>A.1. Názov materiálu:</w:t>
      </w:r>
      <w:r w:rsidR="00283CF3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5927B0" w:rsidRPr="00CF1EFC" w:rsidP="005927B0">
      <w:pPr>
        <w:shd w:val="clear" w:color="auto" w:fill="FFFFFF"/>
        <w:bidi w:val="0"/>
        <w:rPr>
          <w:rFonts w:ascii="Times New Roman" w:hAnsi="Times New Roman"/>
          <w:bCs/>
          <w:strike/>
          <w:sz w:val="24"/>
          <w:szCs w:val="24"/>
        </w:rPr>
      </w:pPr>
      <w:r w:rsidRPr="00CF1EFC" w:rsidR="00283CF3">
        <w:rPr>
          <w:rFonts w:ascii="Times New Roman" w:hAnsi="Times New Roman"/>
          <w:sz w:val="24"/>
          <w:szCs w:val="24"/>
        </w:rPr>
        <w:t>Návrh zákona,</w:t>
      </w:r>
      <w:r w:rsidRPr="00CF1EFC" w:rsidR="00283CF3">
        <w:rPr>
          <w:rFonts w:ascii="Times New Roman" w:hAnsi="Times New Roman"/>
          <w:bCs/>
          <w:sz w:val="24"/>
          <w:szCs w:val="24"/>
        </w:rPr>
        <w:t xml:space="preserve"> </w:t>
      </w:r>
      <w:r w:rsidRPr="00CF1EFC" w:rsidR="000C7A22">
        <w:rPr>
          <w:rFonts w:ascii="Times New Roman" w:hAnsi="Times New Roman"/>
          <w:bCs/>
          <w:sz w:val="24"/>
          <w:szCs w:val="24"/>
        </w:rPr>
        <w:t xml:space="preserve">ktorým sa mení a dopĺňa </w:t>
      </w:r>
      <w:r w:rsidRPr="00CF1EFC" w:rsidR="000C7A22">
        <w:rPr>
          <w:rFonts w:ascii="Times New Roman" w:hAnsi="Times New Roman"/>
          <w:sz w:val="24"/>
          <w:szCs w:val="24"/>
        </w:rPr>
        <w:t xml:space="preserve">zákon č. 461/2003 Z. z. o sociálnom poistení v znení neskorších predpisov </w:t>
      </w:r>
      <w:r w:rsidRPr="00CF1EFC">
        <w:rPr>
          <w:rFonts w:ascii="Times New Roman" w:hAnsi="Times New Roman"/>
          <w:bCs/>
          <w:sz w:val="24"/>
          <w:szCs w:val="24"/>
        </w:rPr>
        <w:t xml:space="preserve">a ktorým sa menia a dopĺňajú niektoré zákony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 w:rsidRPr="00C175FD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A.2. Vplyvy:</w:t>
      </w:r>
    </w:p>
    <w:tbl>
      <w:tblPr>
        <w:tblStyle w:val="TableNormal"/>
        <w:tblW w:w="8411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CellMar>
          <w:top w:w="0" w:type="dxa"/>
          <w:bottom w:w="0" w:type="dxa"/>
        </w:tblCellMar>
      </w:tblPr>
      <w:tblGrid>
        <w:gridCol w:w="4608"/>
        <w:gridCol w:w="1260"/>
        <w:gridCol w:w="1260"/>
        <w:gridCol w:w="1283"/>
      </w:tblGrid>
      <w:tr>
        <w:tblPrEx>
          <w:tblW w:w="8411" w:type="dxa"/>
          <w:tblBorders>
            <w:top w:val="single" w:sz="4" w:space="0" w:color="BFBFBF"/>
            <w:left w:val="single" w:sz="4" w:space="0" w:color="BFBFBF"/>
            <w:right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0C7A2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 xml:space="preserve">Pozitívne 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Žiadne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center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Negatívne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EFC" w:rsidR="005927B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EFC" w:rsidR="005927B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 xml:space="preserve">3. Sociálne vplyvy </w:t>
            </w:r>
          </w:p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– vplyvy  na hospodárenie obyvateľstva,</w:t>
            </w:r>
          </w:p>
          <w:p w:rsidR="00283CF3" w:rsidRPr="00CF1EFC">
            <w:pPr>
              <w:widowControl w:val="0"/>
              <w:tabs>
                <w:tab w:val="left" w:pos="1042"/>
              </w:tabs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- sociálnu exklúziu,</w:t>
            </w:r>
          </w:p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-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EFC" w:rsidR="00D236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8411" w:type="dxa"/>
          <w:tblBorders>
            <w:top w:val="none" w:sz="0" w:space="0" w:color="auto"/>
            <w:bottom w:val="single" w:sz="4" w:space="0" w:color="BFBFBF"/>
          </w:tblBorders>
          <w:tblLayout w:type="fixed"/>
          <w:tblCellMar>
            <w:top w:w="0" w:type="dxa"/>
            <w:bottom w:w="0" w:type="dxa"/>
          </w:tblCellMar>
        </w:tblPrEx>
        <w:tc>
          <w:tcPr>
            <w:tcW w:w="46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EFC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283CF3" w:rsidRPr="00CF1EFC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283CF3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A.3. Poznámky  </w:t>
      </w:r>
    </w:p>
    <w:p w:rsidR="00D9033C" w:rsidRPr="00D9033C" w:rsidP="00D236DA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120" w:line="240" w:lineRule="auto"/>
        <w:ind w:left="425" w:right="-6" w:hanging="425"/>
        <w:jc w:val="both"/>
        <w:rPr>
          <w:rFonts w:ascii="TimesNewRomanPSMT" w:hAnsi="TimesNewRomanPSMT" w:cs="TimesNewRomanPSMT"/>
          <w:sz w:val="24"/>
          <w:szCs w:val="24"/>
          <w:u w:val="single"/>
        </w:rPr>
      </w:pPr>
      <w:r w:rsidRPr="00D9033C">
        <w:rPr>
          <w:rFonts w:ascii="TimesNewRomanPSMT" w:hAnsi="TimesNewRomanPSMT" w:cs="TimesNewRomanPSMT"/>
          <w:sz w:val="24"/>
          <w:szCs w:val="24"/>
          <w:u w:val="single"/>
        </w:rPr>
        <w:t>Vplyv na rozpočet verejnej správy</w:t>
      </w:r>
    </w:p>
    <w:p w:rsidR="005927B0" w:rsidRPr="00D236DA" w:rsidP="00CF1EFC">
      <w:pPr>
        <w:widowControl w:val="0"/>
        <w:autoSpaceDE w:val="0"/>
        <w:autoSpaceDN w:val="0"/>
        <w:bidi w:val="0"/>
        <w:adjustRightInd w:val="0"/>
        <w:spacing w:after="120" w:line="240" w:lineRule="auto"/>
        <w:ind w:left="425" w:right="-6"/>
        <w:jc w:val="both"/>
        <w:rPr>
          <w:rFonts w:ascii="Times New Roman" w:hAnsi="Times New Roman"/>
          <w:sz w:val="24"/>
          <w:szCs w:val="24"/>
        </w:rPr>
      </w:pPr>
      <w:r w:rsidRPr="00D236DA">
        <w:rPr>
          <w:rFonts w:ascii="Times New Roman" w:hAnsi="Times New Roman"/>
          <w:sz w:val="24"/>
          <w:szCs w:val="24"/>
        </w:rPr>
        <w:t>N</w:t>
      </w:r>
      <w:r w:rsidRPr="00D236DA" w:rsidR="00283CF3">
        <w:rPr>
          <w:rFonts w:ascii="Times New Roman" w:hAnsi="Times New Roman"/>
          <w:sz w:val="24"/>
          <w:szCs w:val="24"/>
        </w:rPr>
        <w:t xml:space="preserve">avrhovaná </w:t>
      </w:r>
      <w:r w:rsidRPr="00D236DA" w:rsidR="00243EDB">
        <w:rPr>
          <w:rFonts w:ascii="Times New Roman" w:hAnsi="Times New Roman"/>
          <w:sz w:val="24"/>
          <w:szCs w:val="24"/>
        </w:rPr>
        <w:t>novela</w:t>
      </w:r>
      <w:r w:rsidRPr="00D236DA" w:rsidR="00283CF3">
        <w:rPr>
          <w:rFonts w:ascii="Times New Roman" w:hAnsi="Times New Roman"/>
          <w:sz w:val="24"/>
          <w:szCs w:val="24"/>
        </w:rPr>
        <w:t xml:space="preserve"> bude mať </w:t>
      </w:r>
      <w:r w:rsidRPr="00D236DA" w:rsidR="00243EDB">
        <w:rPr>
          <w:rFonts w:ascii="Times New Roman" w:hAnsi="Times New Roman"/>
          <w:sz w:val="24"/>
          <w:szCs w:val="24"/>
        </w:rPr>
        <w:t xml:space="preserve">negatívny </w:t>
      </w:r>
      <w:r w:rsidRPr="00D236DA" w:rsidR="00283CF3">
        <w:rPr>
          <w:rFonts w:ascii="Times New Roman" w:hAnsi="Times New Roman"/>
          <w:sz w:val="24"/>
          <w:szCs w:val="24"/>
        </w:rPr>
        <w:t>vplyv  na rozpočet verejnej správy.</w:t>
      </w:r>
      <w:r w:rsidRPr="00D236DA" w:rsidR="000C7A22">
        <w:rPr>
          <w:rFonts w:ascii="Times New Roman" w:hAnsi="Times New Roman"/>
          <w:sz w:val="24"/>
          <w:szCs w:val="24"/>
        </w:rPr>
        <w:t xml:space="preserve"> </w:t>
      </w:r>
    </w:p>
    <w:p w:rsidR="00D236DA" w:rsidP="00475D2A">
      <w:pPr>
        <w:bidi w:val="0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43EDB">
        <w:rPr>
          <w:rFonts w:ascii="Times New Roman" w:hAnsi="Times New Roman"/>
          <w:sz w:val="24"/>
          <w:szCs w:val="24"/>
        </w:rPr>
        <w:t xml:space="preserve">rávna úprava </w:t>
      </w:r>
      <w:r w:rsidRPr="00D236DA">
        <w:rPr>
          <w:rFonts w:ascii="Times New Roman" w:hAnsi="Times New Roman"/>
          <w:sz w:val="24"/>
          <w:szCs w:val="24"/>
        </w:rPr>
        <w:t>mení splnenie podmienok, na základe ktorých nárok na výplatu vdovského dôchodku nezaniká vdove po roku od smrti manžela, a to tak</w:t>
      </w:r>
      <w:r w:rsidR="00CF1EFC">
        <w:rPr>
          <w:rFonts w:ascii="Times New Roman" w:hAnsi="Times New Roman"/>
          <w:sz w:val="24"/>
          <w:szCs w:val="24"/>
        </w:rPr>
        <w:t>,</w:t>
      </w:r>
      <w:r w:rsidRPr="00D236DA">
        <w:rPr>
          <w:rFonts w:ascii="Times New Roman" w:hAnsi="Times New Roman"/>
          <w:sz w:val="24"/>
          <w:szCs w:val="24"/>
        </w:rPr>
        <w:t xml:space="preserve"> že pri invalidite vdovy z dôvodu poklesu schopnosti vykonávať z</w:t>
      </w:r>
      <w:r w:rsidR="00CF1EFC">
        <w:rPr>
          <w:rFonts w:ascii="Times New Roman" w:hAnsi="Times New Roman"/>
          <w:sz w:val="24"/>
          <w:szCs w:val="24"/>
        </w:rPr>
        <w:t>árobkovú činnosť o viac ako 70%</w:t>
      </w:r>
      <w:r w:rsidRPr="00D236DA">
        <w:rPr>
          <w:rFonts w:ascii="Times New Roman" w:hAnsi="Times New Roman"/>
          <w:sz w:val="24"/>
          <w:szCs w:val="24"/>
        </w:rPr>
        <w:t xml:space="preserve"> sa znižuje na dôvod poklesu schopnosti vykonávať zárobkovú činnosť o viac ako 50%.</w:t>
      </w:r>
      <w:r>
        <w:rPr>
          <w:rFonts w:ascii="Times New Roman" w:hAnsi="Times New Roman"/>
          <w:sz w:val="24"/>
          <w:szCs w:val="24"/>
        </w:rPr>
        <w:t xml:space="preserve"> </w:t>
      </w:r>
      <w:r w:rsidR="00475D2A">
        <w:rPr>
          <w:rFonts w:ascii="Times New Roman" w:hAnsi="Times New Roman"/>
          <w:sz w:val="24"/>
          <w:szCs w:val="24"/>
        </w:rPr>
        <w:t xml:space="preserve">Dopad na verejné financie vyplývajúce z tejto </w:t>
      </w:r>
      <w:r w:rsidR="00CF1EFC">
        <w:rPr>
          <w:rFonts w:ascii="Times New Roman" w:hAnsi="Times New Roman"/>
          <w:sz w:val="24"/>
          <w:szCs w:val="24"/>
        </w:rPr>
        <w:t xml:space="preserve">zmeny </w:t>
      </w:r>
      <w:r w:rsidR="00475D2A">
        <w:rPr>
          <w:rFonts w:ascii="Times New Roman" w:hAnsi="Times New Roman"/>
          <w:sz w:val="24"/>
          <w:szCs w:val="24"/>
        </w:rPr>
        <w:t>sa predpokladajú minimálne. Štatistické údaje na základe ktorých by bolo možné kvantifikovať tento dopad nie sú k dispozícii.</w:t>
      </w:r>
    </w:p>
    <w:p w:rsidR="00CF1EFC" w:rsidP="00475D2A">
      <w:pPr>
        <w:bidi w:val="0"/>
        <w:spacing w:before="120" w:after="0"/>
        <w:ind w:left="425"/>
        <w:jc w:val="both"/>
        <w:rPr>
          <w:rFonts w:ascii="Times New Roman" w:hAnsi="Times New Roman"/>
          <w:sz w:val="24"/>
          <w:szCs w:val="24"/>
        </w:rPr>
      </w:pPr>
      <w:r w:rsidR="00475D2A">
        <w:rPr>
          <w:rFonts w:ascii="Times New Roman" w:hAnsi="Times New Roman"/>
          <w:sz w:val="24"/>
          <w:szCs w:val="24"/>
        </w:rPr>
        <w:t>Obsahom bodu dva návrhu je vypustenie podmienky</w:t>
      </w:r>
      <w:r w:rsidRPr="00243EDB" w:rsidR="00243EDB">
        <w:rPr>
          <w:rFonts w:ascii="Times New Roman" w:hAnsi="Times New Roman"/>
          <w:sz w:val="24"/>
          <w:szCs w:val="24"/>
        </w:rPr>
        <w:t>, po splnení ktorej má vdova nárok na výplatu vdovského dôchodku aj po uplynutí jedného roka od smrti manžela, a</w:t>
      </w:r>
      <w:r w:rsidR="00243EDB">
        <w:rPr>
          <w:rFonts w:ascii="Times New Roman" w:hAnsi="Times New Roman"/>
          <w:sz w:val="24"/>
          <w:szCs w:val="24"/>
        </w:rPr>
        <w:t xml:space="preserve">k vychovala aspoň tri deti. </w:t>
      </w:r>
      <w:r w:rsidRPr="00243EDB" w:rsidR="00243EDB">
        <w:rPr>
          <w:rFonts w:ascii="Times New Roman" w:hAnsi="Times New Roman"/>
          <w:sz w:val="24"/>
          <w:szCs w:val="24"/>
        </w:rPr>
        <w:t xml:space="preserve">Toto </w:t>
      </w:r>
      <w:r w:rsidR="00243EDB">
        <w:rPr>
          <w:rFonts w:ascii="Times New Roman" w:hAnsi="Times New Roman"/>
          <w:sz w:val="24"/>
          <w:szCs w:val="24"/>
        </w:rPr>
        <w:t>ustanovenie</w:t>
      </w:r>
      <w:r w:rsidRPr="00243EDB" w:rsidR="00243EDB">
        <w:rPr>
          <w:rFonts w:ascii="Times New Roman" w:hAnsi="Times New Roman"/>
          <w:sz w:val="24"/>
          <w:szCs w:val="24"/>
        </w:rPr>
        <w:t xml:space="preserve"> nahrádza upraveným</w:t>
      </w:r>
      <w:r w:rsidR="00243EDB">
        <w:rPr>
          <w:rFonts w:ascii="Times New Roman" w:hAnsi="Times New Roman"/>
          <w:sz w:val="24"/>
          <w:szCs w:val="24"/>
        </w:rPr>
        <w:t xml:space="preserve"> ustanovením, ktoré</w:t>
      </w:r>
      <w:r w:rsidRPr="00243EDB" w:rsidR="00243EDB">
        <w:rPr>
          <w:rFonts w:ascii="Times New Roman" w:hAnsi="Times New Roman"/>
          <w:sz w:val="24"/>
          <w:szCs w:val="24"/>
        </w:rPr>
        <w:t xml:space="preserve"> </w:t>
      </w:r>
      <w:r w:rsidR="00243EDB">
        <w:rPr>
          <w:rFonts w:ascii="Times New Roman" w:hAnsi="Times New Roman"/>
          <w:sz w:val="24"/>
          <w:szCs w:val="24"/>
        </w:rPr>
        <w:t xml:space="preserve">rozširuje podmienky nároku na výplatu vdovského dôchodku. </w:t>
      </w:r>
    </w:p>
    <w:p w:rsidR="00243EDB" w:rsidP="00475D2A">
      <w:pPr>
        <w:bidi w:val="0"/>
        <w:spacing w:before="120" w:after="0"/>
        <w:ind w:left="425"/>
        <w:jc w:val="both"/>
        <w:rPr>
          <w:rFonts w:ascii="Times New Roman" w:hAnsi="Times New Roman"/>
          <w:sz w:val="24"/>
          <w:szCs w:val="24"/>
        </w:rPr>
      </w:pPr>
      <w:r w:rsidR="00475D2A">
        <w:rPr>
          <w:rFonts w:ascii="Times New Roman" w:hAnsi="Times New Roman"/>
          <w:sz w:val="24"/>
          <w:szCs w:val="24"/>
        </w:rPr>
        <w:t>Úprava rozširuje trvanie</w:t>
      </w:r>
      <w:r w:rsidRPr="00243EDB">
        <w:rPr>
          <w:rFonts w:ascii="Times New Roman" w:hAnsi="Times New Roman"/>
          <w:sz w:val="24"/>
          <w:szCs w:val="24"/>
        </w:rPr>
        <w:t xml:space="preserve"> nároku na výplatu vdovského dôchodku aj po jednom roku od smrti manžela pre všetky vdovy, ktoré vychovali aspoň jedno dieťa a dovŕšili vek 52 rokov. </w:t>
      </w:r>
    </w:p>
    <w:p w:rsidR="00243EDB" w:rsidP="00EB0361">
      <w:pPr>
        <w:bidi w:val="0"/>
        <w:spacing w:after="0"/>
        <w:ind w:left="426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rámci d</w:t>
      </w:r>
      <w:r w:rsidR="00CF1EFC">
        <w:rPr>
          <w:rFonts w:ascii="Times New Roman" w:hAnsi="Times New Roman"/>
          <w:sz w:val="24"/>
          <w:szCs w:val="24"/>
        </w:rPr>
        <w:t>ostupných štatistických údajov s</w:t>
      </w:r>
      <w:r>
        <w:rPr>
          <w:rFonts w:ascii="Times New Roman" w:hAnsi="Times New Roman"/>
          <w:sz w:val="24"/>
          <w:szCs w:val="24"/>
        </w:rPr>
        <w:t xml:space="preserve">ociálnej poisťovne a </w:t>
      </w:r>
      <w:r w:rsidR="00CF1EFC"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 xml:space="preserve">tatistického úradu </w:t>
      </w:r>
      <w:r w:rsidR="00475D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 je možné jednoznačne stanoviť </w:t>
      </w:r>
      <w:r w:rsidR="00530D79">
        <w:rPr>
          <w:rFonts w:ascii="Times New Roman" w:hAnsi="Times New Roman"/>
          <w:sz w:val="24"/>
          <w:szCs w:val="24"/>
        </w:rPr>
        <w:t>o koľko sa</w:t>
      </w:r>
      <w:r>
        <w:rPr>
          <w:rFonts w:ascii="Times New Roman" w:hAnsi="Times New Roman"/>
          <w:sz w:val="24"/>
          <w:szCs w:val="24"/>
        </w:rPr>
        <w:t xml:space="preserve"> zvýši počet poberateľov vdovského dôchodku po schválení úpravy</w:t>
      </w:r>
      <w:r w:rsidR="00CF1EFC">
        <w:rPr>
          <w:rFonts w:ascii="Times New Roman" w:hAnsi="Times New Roman"/>
          <w:sz w:val="24"/>
          <w:szCs w:val="24"/>
        </w:rPr>
        <w:t xml:space="preserve"> v bode dva</w:t>
      </w:r>
      <w:r>
        <w:rPr>
          <w:rFonts w:ascii="Times New Roman" w:hAnsi="Times New Roman"/>
          <w:sz w:val="24"/>
          <w:szCs w:val="24"/>
        </w:rPr>
        <w:t>. Z dostupných údajov o počte vdovských dôchodkov, sirotských</w:t>
      </w:r>
      <w:r w:rsidR="00540FFA">
        <w:rPr>
          <w:rFonts w:ascii="Times New Roman" w:hAnsi="Times New Roman"/>
          <w:sz w:val="24"/>
          <w:szCs w:val="24"/>
        </w:rPr>
        <w:t xml:space="preserve"> dôchodkov </w:t>
      </w:r>
      <w:r>
        <w:rPr>
          <w:rFonts w:ascii="Times New Roman" w:hAnsi="Times New Roman"/>
          <w:sz w:val="24"/>
          <w:szCs w:val="24"/>
        </w:rPr>
        <w:t>a</w:t>
      </w:r>
      <w:r w:rsidR="00540FFA">
        <w:rPr>
          <w:rFonts w:ascii="Times New Roman" w:hAnsi="Times New Roman"/>
          <w:sz w:val="24"/>
          <w:szCs w:val="24"/>
        </w:rPr>
        <w:t> </w:t>
      </w:r>
      <w:r w:rsidR="006F3A42">
        <w:rPr>
          <w:rFonts w:ascii="Times New Roman" w:hAnsi="Times New Roman"/>
          <w:sz w:val="24"/>
          <w:szCs w:val="24"/>
        </w:rPr>
        <w:t>poč</w:t>
      </w:r>
      <w:r w:rsidRPr="00243EDB">
        <w:rPr>
          <w:rFonts w:ascii="Times New Roman" w:hAnsi="Times New Roman"/>
          <w:sz w:val="24"/>
          <w:szCs w:val="24"/>
        </w:rPr>
        <w:t>t</w:t>
      </w:r>
      <w:r w:rsidR="00CF1EFC">
        <w:rPr>
          <w:rFonts w:ascii="Times New Roman" w:hAnsi="Times New Roman"/>
          <w:sz w:val="24"/>
          <w:szCs w:val="24"/>
        </w:rPr>
        <w:t>u</w:t>
      </w:r>
      <w:r w:rsidR="00540FFA">
        <w:rPr>
          <w:rFonts w:ascii="Times New Roman" w:hAnsi="Times New Roman"/>
          <w:sz w:val="24"/>
          <w:szCs w:val="24"/>
        </w:rPr>
        <w:t xml:space="preserve"> osôb žijúcich </w:t>
      </w:r>
      <w:r w:rsidRPr="00243EDB">
        <w:rPr>
          <w:rFonts w:ascii="Times New Roman" w:hAnsi="Times New Roman"/>
          <w:sz w:val="24"/>
          <w:szCs w:val="24"/>
        </w:rPr>
        <w:t>v</w:t>
      </w:r>
      <w:r w:rsidR="00540FFA">
        <w:rPr>
          <w:rFonts w:ascii="Times New Roman" w:hAnsi="Times New Roman"/>
          <w:sz w:val="24"/>
          <w:szCs w:val="24"/>
        </w:rPr>
        <w:t> </w:t>
      </w:r>
      <w:r w:rsidRPr="00243EDB">
        <w:rPr>
          <w:rFonts w:ascii="Times New Roman" w:hAnsi="Times New Roman"/>
          <w:sz w:val="24"/>
          <w:szCs w:val="24"/>
        </w:rPr>
        <w:t>dvojčlennej</w:t>
      </w:r>
      <w:r w:rsidR="00540FFA">
        <w:rPr>
          <w:rFonts w:ascii="Times New Roman" w:hAnsi="Times New Roman"/>
          <w:sz w:val="24"/>
          <w:szCs w:val="24"/>
        </w:rPr>
        <w:t xml:space="preserve"> </w:t>
      </w:r>
      <w:r w:rsidRPr="00243EDB">
        <w:rPr>
          <w:rFonts w:ascii="Times New Roman" w:hAnsi="Times New Roman"/>
          <w:sz w:val="24"/>
          <w:szCs w:val="24"/>
        </w:rPr>
        <w:t>rodine</w:t>
      </w:r>
      <w:r w:rsidR="00540FFA">
        <w:rPr>
          <w:rFonts w:ascii="Times New Roman" w:hAnsi="Times New Roman"/>
          <w:sz w:val="24"/>
          <w:szCs w:val="24"/>
        </w:rPr>
        <w:t xml:space="preserve"> </w:t>
      </w:r>
      <w:r w:rsidR="00475D2A">
        <w:rPr>
          <w:rFonts w:ascii="Times New Roman" w:hAnsi="Times New Roman"/>
          <w:sz w:val="24"/>
          <w:szCs w:val="24"/>
        </w:rPr>
        <w:t>(</w:t>
      </w:r>
      <w:r w:rsidR="00CF1EFC">
        <w:rPr>
          <w:rFonts w:ascii="Times New Roman" w:hAnsi="Times New Roman"/>
          <w:sz w:val="24"/>
          <w:szCs w:val="24"/>
        </w:rPr>
        <w:t>osamelá</w:t>
      </w:r>
      <w:r w:rsidRPr="00243EDB">
        <w:rPr>
          <w:rFonts w:ascii="Times New Roman" w:hAnsi="Times New Roman"/>
          <w:sz w:val="24"/>
          <w:szCs w:val="24"/>
        </w:rPr>
        <w:t xml:space="preserve"> matka s dieťaťom mladším ako 25 rokov) </w:t>
      </w:r>
      <w:r>
        <w:rPr>
          <w:rFonts w:ascii="Times New Roman" w:hAnsi="Times New Roman"/>
          <w:sz w:val="24"/>
          <w:szCs w:val="24"/>
        </w:rPr>
        <w:t>môžeme urobiť predpoklad, že počet vdov, ktorým by vznikol nárok na výplatu vdovského dôchodku by sa zvýšil približne o 1750.</w:t>
      </w:r>
    </w:p>
    <w:p w:rsidR="00243EDB" w:rsidP="00EB0361">
      <w:pPr>
        <w:bidi w:val="0"/>
        <w:spacing w:after="0" w:line="240" w:lineRule="auto"/>
        <w:ind w:left="426" w:hanging="1"/>
        <w:jc w:val="both"/>
        <w:rPr>
          <w:rFonts w:ascii="Times New Roman" w:hAnsi="Times New Roman"/>
          <w:sz w:val="24"/>
          <w:szCs w:val="24"/>
        </w:rPr>
      </w:pPr>
      <w:r w:rsidR="00D9033C">
        <w:rPr>
          <w:rFonts w:ascii="Times New Roman" w:hAnsi="Times New Roman"/>
          <w:sz w:val="24"/>
          <w:szCs w:val="24"/>
        </w:rPr>
        <w:t>Podľa údajo</w:t>
      </w:r>
      <w:r w:rsidR="00CF1EFC">
        <w:rPr>
          <w:rFonts w:ascii="Times New Roman" w:hAnsi="Times New Roman"/>
          <w:sz w:val="24"/>
          <w:szCs w:val="24"/>
        </w:rPr>
        <w:t>v uvedených na webovom portáli s</w:t>
      </w:r>
      <w:r w:rsidR="00D9033C">
        <w:rPr>
          <w:rFonts w:ascii="Times New Roman" w:hAnsi="Times New Roman"/>
          <w:sz w:val="24"/>
          <w:szCs w:val="24"/>
        </w:rPr>
        <w:t xml:space="preserve">ociálnej poisťovne priemerná výška </w:t>
      </w:r>
      <w:r w:rsidRPr="00D9033C">
        <w:rPr>
          <w:rFonts w:ascii="Times New Roman" w:hAnsi="Times New Roman"/>
          <w:sz w:val="24"/>
          <w:szCs w:val="24"/>
        </w:rPr>
        <w:t>vdovského</w:t>
      </w:r>
      <w:r w:rsidR="00D9033C">
        <w:rPr>
          <w:rFonts w:ascii="Times New Roman" w:hAnsi="Times New Roman"/>
          <w:sz w:val="24"/>
          <w:szCs w:val="24"/>
        </w:rPr>
        <w:t xml:space="preserve"> </w:t>
      </w:r>
      <w:r w:rsidRPr="00D9033C">
        <w:rPr>
          <w:rFonts w:ascii="Times New Roman" w:hAnsi="Times New Roman"/>
          <w:sz w:val="24"/>
          <w:szCs w:val="24"/>
        </w:rPr>
        <w:t>/</w:t>
      </w:r>
      <w:r w:rsidR="00D9033C">
        <w:rPr>
          <w:rFonts w:ascii="Times New Roman" w:hAnsi="Times New Roman"/>
          <w:sz w:val="24"/>
          <w:szCs w:val="24"/>
        </w:rPr>
        <w:t xml:space="preserve"> </w:t>
      </w:r>
      <w:r w:rsidRPr="00D9033C">
        <w:rPr>
          <w:rFonts w:ascii="Times New Roman" w:hAnsi="Times New Roman"/>
          <w:sz w:val="24"/>
          <w:szCs w:val="24"/>
        </w:rPr>
        <w:t>vdove</w:t>
      </w:r>
      <w:r w:rsidR="00D9033C">
        <w:rPr>
          <w:rFonts w:ascii="Times New Roman" w:hAnsi="Times New Roman"/>
          <w:sz w:val="24"/>
          <w:szCs w:val="24"/>
        </w:rPr>
        <w:t>ckého dôchodku bola v roku 2014</w:t>
      </w:r>
      <w:r w:rsidRPr="00D9033C">
        <w:rPr>
          <w:rFonts w:ascii="Times New Roman" w:hAnsi="Times New Roman"/>
          <w:sz w:val="24"/>
          <w:szCs w:val="24"/>
        </w:rPr>
        <w:t xml:space="preserve">  253,80</w:t>
      </w:r>
      <w:r w:rsidR="00CF1EFC">
        <w:rPr>
          <w:rFonts w:ascii="Times New Roman" w:hAnsi="Times New Roman"/>
          <w:sz w:val="24"/>
          <w:szCs w:val="24"/>
        </w:rPr>
        <w:t xml:space="preserve"> Eur</w:t>
      </w:r>
      <w:r w:rsidRPr="00D9033C">
        <w:rPr>
          <w:rFonts w:ascii="Times New Roman" w:hAnsi="Times New Roman"/>
          <w:sz w:val="24"/>
          <w:szCs w:val="24"/>
        </w:rPr>
        <w:t>/mesiac</w:t>
      </w:r>
      <w:r w:rsidR="00D9033C">
        <w:rPr>
          <w:rFonts w:ascii="Times New Roman" w:hAnsi="Times New Roman"/>
          <w:sz w:val="24"/>
          <w:szCs w:val="24"/>
        </w:rPr>
        <w:t>.</w:t>
      </w:r>
    </w:p>
    <w:p w:rsidR="00D9033C" w:rsidP="00EB0361">
      <w:pPr>
        <w:bidi w:val="0"/>
        <w:spacing w:after="0" w:line="240" w:lineRule="auto"/>
        <w:ind w:left="426" w:hanging="709"/>
        <w:rPr>
          <w:rFonts w:cs="Segoe UI"/>
          <w:color w:val="000000"/>
        </w:rPr>
      </w:pPr>
    </w:p>
    <w:p w:rsidR="00D9033C" w:rsidRPr="00D9033C" w:rsidP="00EB0361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9033C">
        <w:rPr>
          <w:rFonts w:ascii="Times New Roman" w:hAnsi="Times New Roman"/>
          <w:sz w:val="24"/>
          <w:szCs w:val="24"/>
        </w:rPr>
        <w:t>Predpokladané ročné náklady štátneho rozpočtu teda sú:</w:t>
      </w:r>
    </w:p>
    <w:p w:rsidR="00D9033C" w:rsidRPr="00D9033C" w:rsidP="00EB0361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="00CF1EFC">
        <w:rPr>
          <w:rFonts w:ascii="Times New Roman" w:hAnsi="Times New Roman"/>
          <w:sz w:val="24"/>
          <w:szCs w:val="24"/>
        </w:rPr>
        <w:t>Počet osôb * 12 mesiacov *</w:t>
      </w:r>
      <w:r w:rsidRPr="00D9033C">
        <w:rPr>
          <w:rFonts w:ascii="Times New Roman" w:hAnsi="Times New Roman"/>
          <w:sz w:val="24"/>
          <w:szCs w:val="24"/>
        </w:rPr>
        <w:t xml:space="preserve"> priemerná výška vdovského dôchodku:</w:t>
      </w:r>
    </w:p>
    <w:p w:rsidR="00283CF3" w:rsidRPr="0089499C" w:rsidP="00EB0361">
      <w:pPr>
        <w:bidi w:val="0"/>
        <w:spacing w:after="0" w:line="240" w:lineRule="auto"/>
        <w:ind w:left="426"/>
        <w:rPr>
          <w:rFonts w:ascii="Times New Roman" w:hAnsi="Times New Roman"/>
          <w:sz w:val="24"/>
          <w:szCs w:val="24"/>
          <w:u w:val="single"/>
        </w:rPr>
      </w:pPr>
      <w:r w:rsidR="00CF1EFC">
        <w:rPr>
          <w:rFonts w:ascii="Times New Roman" w:hAnsi="Times New Roman"/>
          <w:sz w:val="24"/>
          <w:szCs w:val="24"/>
        </w:rPr>
        <w:t xml:space="preserve">1750 * </w:t>
      </w:r>
      <w:r w:rsidR="00D9033C">
        <w:rPr>
          <w:rFonts w:ascii="Times New Roman" w:hAnsi="Times New Roman"/>
          <w:sz w:val="24"/>
          <w:szCs w:val="24"/>
        </w:rPr>
        <w:t>12</w:t>
      </w:r>
      <w:r w:rsidR="00CF1EFC">
        <w:rPr>
          <w:rFonts w:ascii="Times New Roman" w:hAnsi="Times New Roman"/>
          <w:sz w:val="24"/>
          <w:szCs w:val="24"/>
        </w:rPr>
        <w:t xml:space="preserve"> * </w:t>
      </w:r>
      <w:r w:rsidRPr="00D9033C" w:rsidR="00D9033C">
        <w:rPr>
          <w:rFonts w:ascii="Times New Roman" w:hAnsi="Times New Roman"/>
          <w:sz w:val="24"/>
          <w:szCs w:val="24"/>
        </w:rPr>
        <w:t xml:space="preserve">253,80= </w:t>
      </w:r>
      <w:r w:rsidRPr="0089499C" w:rsidR="00D9033C">
        <w:rPr>
          <w:rFonts w:ascii="Times New Roman" w:hAnsi="Times New Roman"/>
          <w:sz w:val="24"/>
          <w:szCs w:val="24"/>
          <w:u w:val="single"/>
        </w:rPr>
        <w:t>5 329 800,00 Eur/rok</w:t>
      </w:r>
    </w:p>
    <w:p w:rsidR="00D9033C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9033C" w:rsidP="00D9033C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283CF3">
        <w:rPr>
          <w:rFonts w:ascii="TimesNewRomanPSMT" w:hAnsi="TimesNewRomanPSMT" w:cs="TimesNewRomanPSMT"/>
          <w:sz w:val="24"/>
          <w:szCs w:val="24"/>
        </w:rPr>
        <w:t xml:space="preserve">Navrhovaná novela </w:t>
      </w:r>
      <w:r w:rsidR="005927B0">
        <w:rPr>
          <w:rFonts w:ascii="TimesNewRomanPSMT" w:hAnsi="TimesNewRomanPSMT" w:cs="TimesNewRomanPSMT"/>
          <w:sz w:val="24"/>
          <w:szCs w:val="24"/>
        </w:rPr>
        <w:t>ne</w:t>
      </w:r>
      <w:r w:rsidR="00283CF3">
        <w:rPr>
          <w:rFonts w:ascii="TimesNewRomanPSMT" w:hAnsi="TimesNewRomanPSMT" w:cs="TimesNewRomanPSMT"/>
          <w:sz w:val="24"/>
          <w:szCs w:val="24"/>
        </w:rPr>
        <w:t>bude mať vplyv na podnikateľské prostredie</w:t>
      </w:r>
      <w:r w:rsidR="005927B0">
        <w:rPr>
          <w:rFonts w:ascii="TimesNewRomanPSMT" w:hAnsi="TimesNewRomanPSMT" w:cs="TimesNewRomanPSMT"/>
          <w:sz w:val="24"/>
          <w:szCs w:val="24"/>
        </w:rPr>
        <w:t>.</w:t>
      </w:r>
    </w:p>
    <w:p w:rsidR="00D9033C" w:rsidP="00D9033C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D9033C" w:rsidRPr="00D9033C" w:rsidP="00D9033C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Pr="00D9033C">
        <w:rPr>
          <w:rFonts w:ascii="TimesNewRomanPSMT" w:hAnsi="TimesNewRomanPSMT" w:cs="TimesNewRomanPSMT"/>
          <w:sz w:val="24"/>
          <w:szCs w:val="24"/>
          <w:u w:val="single"/>
        </w:rPr>
        <w:t>Sociálne vplyvy</w:t>
      </w:r>
    </w:p>
    <w:p w:rsidR="00283CF3" w:rsidP="00D9033C">
      <w:pPr>
        <w:widowControl w:val="0"/>
        <w:tabs>
          <w:tab w:val="left" w:pos="1042"/>
        </w:tabs>
        <w:autoSpaceDE w:val="0"/>
        <w:autoSpaceDN w:val="0"/>
        <w:bidi w:val="0"/>
        <w:adjustRightInd w:val="0"/>
        <w:spacing w:after="0" w:line="240" w:lineRule="auto"/>
        <w:ind w:left="720" w:right="-6"/>
        <w:rPr>
          <w:rFonts w:ascii="TimesNewRomanPSMT" w:hAnsi="TimesNewRomanPSMT" w:cs="TimesNewRomanPSMT"/>
          <w:sz w:val="24"/>
          <w:szCs w:val="24"/>
        </w:rPr>
      </w:pPr>
      <w:r w:rsidR="00D9033C">
        <w:rPr>
          <w:rFonts w:ascii="TimesNewRomanPSMT" w:hAnsi="TimesNewRomanPSMT" w:cs="TimesNewRomanPSMT"/>
          <w:sz w:val="24"/>
          <w:szCs w:val="24"/>
        </w:rPr>
        <w:t>Navrhovaná novela bude mať</w:t>
      </w:r>
      <w:r>
        <w:rPr>
          <w:rFonts w:ascii="TimesNewRomanPSMT" w:hAnsi="TimesNewRomanPSMT" w:cs="TimesNewRomanPSMT"/>
          <w:sz w:val="24"/>
          <w:szCs w:val="24"/>
        </w:rPr>
        <w:t xml:space="preserve"> pozitívny vplyv </w:t>
      </w:r>
      <w:r w:rsidR="00D9033C">
        <w:rPr>
          <w:rFonts w:ascii="TimesNewRomanPSMT" w:hAnsi="TimesNewRomanPSMT" w:cs="TimesNewRomanPSMT"/>
          <w:sz w:val="24"/>
          <w:szCs w:val="24"/>
        </w:rPr>
        <w:t xml:space="preserve">na </w:t>
      </w:r>
      <w:r w:rsidRPr="000C7A22" w:rsidR="00D9033C">
        <w:rPr>
          <w:rFonts w:ascii="TimesNewRomanPSMT" w:hAnsi="TimesNewRomanPSMT" w:cs="TimesNewRomanPSMT"/>
          <w:sz w:val="24"/>
          <w:szCs w:val="24"/>
        </w:rPr>
        <w:t>hospodárenie obyvateľstva</w:t>
      </w:r>
      <w:r w:rsidR="00EE0933">
        <w:rPr>
          <w:rFonts w:ascii="TimesNewRomanPSMT" w:hAnsi="TimesNewRomanPSMT" w:cs="TimesNewRomanPSMT"/>
          <w:sz w:val="24"/>
          <w:szCs w:val="24"/>
        </w:rPr>
        <w:t>,</w:t>
      </w:r>
      <w:r w:rsidRPr="000C7A22" w:rsidR="00D9033C">
        <w:rPr>
          <w:rFonts w:ascii="TimesNewRomanPSMT" w:hAnsi="TimesNewRomanPSMT" w:cs="TimesNewRomanPSMT"/>
          <w:sz w:val="24"/>
          <w:szCs w:val="24"/>
        </w:rPr>
        <w:t xml:space="preserve"> sociálnu exklúziu,</w:t>
      </w:r>
      <w:r w:rsidR="00D9033C">
        <w:rPr>
          <w:rFonts w:ascii="TimesNewRomanPSMT" w:hAnsi="TimesNewRomanPSMT" w:cs="TimesNewRomanPSMT"/>
          <w:sz w:val="24"/>
          <w:szCs w:val="24"/>
        </w:rPr>
        <w:t xml:space="preserve"> </w:t>
      </w:r>
      <w:r w:rsidRPr="000C7A22" w:rsidR="00D9033C">
        <w:rPr>
          <w:rFonts w:ascii="TimesNewRomanPSMT" w:hAnsi="TimesNewRomanPSMT" w:cs="TimesNewRomanPSMT"/>
          <w:sz w:val="24"/>
          <w:szCs w:val="24"/>
        </w:rPr>
        <w:t>rovnosť príležitostí a rodovú rovnosť</w:t>
      </w:r>
      <w:r w:rsidR="00D9033C">
        <w:rPr>
          <w:rFonts w:ascii="TimesNewRomanPSMT" w:hAnsi="TimesNewRomanPSMT" w:cs="TimesNewRomanPSMT"/>
          <w:sz w:val="24"/>
          <w:szCs w:val="24"/>
        </w:rPr>
        <w:t>.</w:t>
      </w:r>
    </w:p>
    <w:p w:rsidR="00D9033C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 w:rsidRPr="00CF1EFC" w:rsidP="00CF1EFC">
      <w:pPr>
        <w:widowControl w:val="0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  <w:r w:rsidR="00D9033C">
        <w:rPr>
          <w:rFonts w:ascii="TimesNewRomanPSMT" w:hAnsi="TimesNewRomanPSMT" w:cs="TimesNewRomanPSMT"/>
          <w:sz w:val="24"/>
          <w:szCs w:val="24"/>
        </w:rPr>
        <w:t xml:space="preserve">Navrhovaná novela nebude mať vplyv </w:t>
      </w:r>
      <w:r>
        <w:rPr>
          <w:rFonts w:ascii="TimesNewRomanPSMT" w:hAnsi="TimesNewRomanPSMT" w:cs="TimesNewRomanPSMT"/>
          <w:sz w:val="24"/>
          <w:szCs w:val="24"/>
        </w:rPr>
        <w:t xml:space="preserve">na životné prostredie a na informatizáciu spoločnosti.  </w:t>
      </w: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sz w:val="24"/>
          <w:szCs w:val="24"/>
        </w:rPr>
      </w:pPr>
    </w:p>
    <w:p w:rsidR="00283CF3" w:rsidP="00C175FD">
      <w:pPr>
        <w:widowControl w:val="0"/>
        <w:autoSpaceDE w:val="0"/>
        <w:autoSpaceDN w:val="0"/>
        <w:bidi w:val="0"/>
        <w:adjustRightInd w:val="0"/>
        <w:spacing w:after="12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A.4. Alternatívne riešenia</w:t>
      </w:r>
    </w:p>
    <w:p w:rsid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  <w:r>
        <w:rPr>
          <w:rFonts w:ascii="TimesNewRomanPSMT" w:hAnsi="TimesNewRomanPSMT" w:cs="TimesNewRomanPSMT"/>
          <w:bCs/>
          <w:sz w:val="24"/>
          <w:szCs w:val="24"/>
        </w:rPr>
        <w:t>Žiadne.</w:t>
      </w:r>
    </w:p>
    <w:p w:rsidR="00A4753D" w:rsidRPr="00A4753D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Cs/>
          <w:sz w:val="24"/>
          <w:szCs w:val="24"/>
        </w:rPr>
      </w:pPr>
    </w:p>
    <w:p w:rsidR="00283CF3">
      <w:pPr>
        <w:widowControl w:val="0"/>
        <w:autoSpaceDE w:val="0"/>
        <w:autoSpaceDN w:val="0"/>
        <w:bidi w:val="0"/>
        <w:adjustRightInd w:val="0"/>
        <w:spacing w:after="0" w:line="240" w:lineRule="auto"/>
        <w:ind w:right="-6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A.5. Stanovisko gestorov</w:t>
      </w: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A99"/>
    <w:multiLevelType w:val="hybridMultilevel"/>
    <w:tmpl w:val="D77417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724A8C"/>
    <w:multiLevelType w:val="hybridMultilevel"/>
    <w:tmpl w:val="896A52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2B262B2"/>
    <w:multiLevelType w:val="hybridMultilevel"/>
    <w:tmpl w:val="F27C1550"/>
    <w:lvl w:ilvl="0">
      <w:start w:val="1750"/>
      <w:numFmt w:val="decimal"/>
      <w:lvlText w:val="%1"/>
      <w:lvlJc w:val="left"/>
      <w:pPr>
        <w:ind w:left="1200" w:hanging="4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4753D"/>
    <w:rsid w:val="000C7A22"/>
    <w:rsid w:val="00133CC9"/>
    <w:rsid w:val="00203C40"/>
    <w:rsid w:val="00243EDB"/>
    <w:rsid w:val="00283CF3"/>
    <w:rsid w:val="00475D2A"/>
    <w:rsid w:val="00530D79"/>
    <w:rsid w:val="00540FFA"/>
    <w:rsid w:val="005927B0"/>
    <w:rsid w:val="00694670"/>
    <w:rsid w:val="006A5FCE"/>
    <w:rsid w:val="006F3A42"/>
    <w:rsid w:val="0089499C"/>
    <w:rsid w:val="00A4753D"/>
    <w:rsid w:val="00AE3980"/>
    <w:rsid w:val="00B3052D"/>
    <w:rsid w:val="00C175FD"/>
    <w:rsid w:val="00CF1EFC"/>
    <w:rsid w:val="00D236DA"/>
    <w:rsid w:val="00D9033C"/>
    <w:rsid w:val="00E30DCD"/>
    <w:rsid w:val="00E47960"/>
    <w:rsid w:val="00EB0361"/>
    <w:rsid w:val="00EE0933"/>
    <w:rsid w:val="00EF56E3"/>
    <w:rsid w:val="00EF5D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75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2</Pages>
  <Words>422</Words>
  <Characters>2461</Characters>
  <Application>Microsoft Office Word</Application>
  <DocSecurity>0</DocSecurity>
  <Lines>0</Lines>
  <Paragraphs>0</Paragraphs>
  <ScaleCrop>false</ScaleCrop>
  <Company>MPSVR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MOST-HID</dc:creator>
  <cp:lastModifiedBy>Monika_Gibalova@nrsr.sk</cp:lastModifiedBy>
  <cp:revision>12</cp:revision>
  <cp:lastPrinted>2015-02-19T09:55:00Z</cp:lastPrinted>
  <dcterms:created xsi:type="dcterms:W3CDTF">2014-09-26T09:54:00Z</dcterms:created>
  <dcterms:modified xsi:type="dcterms:W3CDTF">2015-02-19T09:56:00Z</dcterms:modified>
</cp:coreProperties>
</file>