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52C0" w:rsidRPr="00C77FC6" w:rsidP="003577B8">
      <w:pPr>
        <w:pStyle w:val="Heading1"/>
        <w:bidi w:val="0"/>
        <w:spacing w:before="0" w:after="0"/>
        <w:jc w:val="center"/>
        <w:rPr>
          <w:rFonts w:ascii="Times New Roman" w:hAnsi="Times New Roman" w:cs="Times New Roman"/>
          <w:b w:val="0"/>
          <w:bCs w:val="0"/>
          <w:sz w:val="24"/>
          <w:szCs w:val="24"/>
        </w:rPr>
      </w:pPr>
      <w:r w:rsidRPr="00C77FC6">
        <w:rPr>
          <w:rFonts w:ascii="Times New Roman" w:hAnsi="Times New Roman" w:cs="Times New Roman"/>
          <w:sz w:val="24"/>
          <w:szCs w:val="24"/>
        </w:rPr>
        <w:t>Dôvodová správa</w:t>
      </w:r>
    </w:p>
    <w:p w:rsidR="007052C0" w:rsidRPr="00C77FC6" w:rsidP="003577B8">
      <w:pPr>
        <w:pStyle w:val="List2"/>
        <w:bidi w:val="0"/>
        <w:jc w:val="center"/>
        <w:rPr>
          <w:rFonts w:ascii="Times New Roman" w:hAnsi="Times New Roman"/>
          <w:b/>
          <w:bCs/>
          <w:smallCaps/>
          <w:sz w:val="24"/>
          <w:szCs w:val="24"/>
        </w:rPr>
      </w:pPr>
    </w:p>
    <w:p w:rsidR="007052C0" w:rsidRPr="00C77FC6" w:rsidP="003577B8">
      <w:pPr>
        <w:pStyle w:val="List2"/>
        <w:bidi w:val="0"/>
        <w:jc w:val="center"/>
        <w:rPr>
          <w:rFonts w:ascii="Times New Roman" w:hAnsi="Times New Roman"/>
          <w:b/>
          <w:bCs/>
          <w:smallCaps/>
          <w:sz w:val="24"/>
          <w:szCs w:val="24"/>
        </w:rPr>
      </w:pPr>
    </w:p>
    <w:p w:rsidR="007052C0" w:rsidRPr="00C77FC6" w:rsidP="003577B8">
      <w:pPr>
        <w:pStyle w:val="List2"/>
        <w:bidi w:val="0"/>
        <w:ind w:left="0" w:firstLine="567"/>
        <w:rPr>
          <w:rFonts w:ascii="Times New Roman" w:hAnsi="Times New Roman"/>
          <w:b/>
          <w:bCs/>
          <w:sz w:val="24"/>
          <w:szCs w:val="24"/>
        </w:rPr>
      </w:pPr>
      <w:r w:rsidRPr="00C77FC6">
        <w:rPr>
          <w:rFonts w:ascii="Times New Roman" w:hAnsi="Times New Roman"/>
          <w:b/>
          <w:bCs/>
          <w:sz w:val="24"/>
          <w:szCs w:val="24"/>
        </w:rPr>
        <w:t>Všeobecná  časť</w:t>
      </w:r>
    </w:p>
    <w:p w:rsidR="007052C0" w:rsidRPr="00C77FC6" w:rsidP="003577B8">
      <w:pPr>
        <w:pStyle w:val="BodyText"/>
        <w:bidi w:val="0"/>
        <w:jc w:val="both"/>
        <w:rPr>
          <w:rFonts w:ascii="Times New Roman" w:hAnsi="Times New Roman"/>
        </w:rPr>
      </w:pPr>
      <w:r w:rsidRPr="00C77FC6">
        <w:rPr>
          <w:rFonts w:ascii="Times New Roman" w:hAnsi="Times New Roman"/>
        </w:rPr>
        <w:tab/>
      </w:r>
    </w:p>
    <w:p w:rsidR="007A774A" w:rsidRPr="00C77FC6" w:rsidP="007A774A">
      <w:pPr>
        <w:pStyle w:val="BodyText"/>
        <w:bidi w:val="0"/>
        <w:ind w:firstLine="567"/>
        <w:jc w:val="both"/>
        <w:rPr>
          <w:rFonts w:ascii="Times New Roman" w:hAnsi="Times New Roman"/>
        </w:rPr>
      </w:pPr>
      <w:r w:rsidRPr="00C77FC6">
        <w:rPr>
          <w:rFonts w:ascii="Times New Roman" w:hAnsi="Times New Roman"/>
        </w:rPr>
        <w:t>Návrh zákona, ktorým sa mení a dopĺňa zákon č. 566/2001 Z. z. o cenných papieroch a investičných službách a o zmene a doplnení niektorých zákonov (zákon o cenných papieroch) v znení neskorších predpisov a ktorým sa menia a dopĺňajú niektoré zákony vyplýva z úloh C.2. „pripraviť návrh novely zákona o cenných papieroch s cieľom zlepšiť právny rámec pre vydávanie investičných certifikátov a zjednodušiť prechod na úplný členský princíp poskytovania služieb centrálneho depozitára cenných papierov“ a C.13. „predložiť na rokovanie vlády návrh novelizácie Občianskeho zákonníka a súvisiacich predpisov s cieľom upraviť režim finančných zábezpek podľa medzinárodných štandardov“ uznesenia vlády Slovenskej republiky č. 191 z 23. apríla 2014 k návrhu Koncepcie rozvoja kapitálového trhu.</w:t>
      </w:r>
    </w:p>
    <w:p w:rsidR="007052C0" w:rsidRPr="00C77FC6" w:rsidP="003577B8">
      <w:pPr>
        <w:bidi w:val="0"/>
        <w:rPr>
          <w:rFonts w:ascii="Times New Roman" w:hAnsi="Times New Roman"/>
        </w:rPr>
      </w:pPr>
    </w:p>
    <w:p w:rsidR="006B1DEA" w:rsidRPr="00C77FC6" w:rsidP="003F2EFD">
      <w:pPr>
        <w:pStyle w:val="BodyText"/>
        <w:bidi w:val="0"/>
        <w:jc w:val="both"/>
        <w:rPr>
          <w:rFonts w:ascii="Times New Roman" w:hAnsi="Times New Roman"/>
        </w:rPr>
      </w:pPr>
      <w:r w:rsidRPr="00C77FC6" w:rsidR="003F2EFD">
        <w:rPr>
          <w:rFonts w:ascii="Times New Roman" w:hAnsi="Times New Roman"/>
        </w:rPr>
        <w:t xml:space="preserve">            </w:t>
      </w:r>
      <w:r w:rsidRPr="00C77FC6" w:rsidR="009C2140">
        <w:rPr>
          <w:rFonts w:ascii="Times New Roman" w:hAnsi="Times New Roman"/>
        </w:rPr>
        <w:t xml:space="preserve">Medzi hlavné ciele </w:t>
      </w:r>
      <w:r w:rsidRPr="00C77FC6" w:rsidR="007052C0">
        <w:rPr>
          <w:rFonts w:ascii="Times New Roman" w:hAnsi="Times New Roman"/>
        </w:rPr>
        <w:t xml:space="preserve">navrhovaného zákona </w:t>
      </w:r>
      <w:r w:rsidRPr="00C77FC6" w:rsidR="009C2140">
        <w:rPr>
          <w:rFonts w:ascii="Times New Roman" w:hAnsi="Times New Roman"/>
        </w:rPr>
        <w:t>patrí</w:t>
      </w:r>
      <w:r w:rsidRPr="00C77FC6">
        <w:rPr>
          <w:rFonts w:ascii="Times New Roman" w:hAnsi="Times New Roman"/>
        </w:rPr>
        <w:t>:</w:t>
      </w:r>
    </w:p>
    <w:p w:rsidR="006B1DEA" w:rsidRPr="00C77FC6" w:rsidP="00866CE0">
      <w:pPr>
        <w:pStyle w:val="BodyText"/>
        <w:numPr>
          <w:numId w:val="1"/>
        </w:numPr>
        <w:bidi w:val="0"/>
        <w:jc w:val="both"/>
        <w:rPr>
          <w:rFonts w:ascii="Times New Roman" w:hAnsi="Times New Roman"/>
        </w:rPr>
      </w:pPr>
      <w:r w:rsidRPr="00C77FC6" w:rsidR="005C62A3">
        <w:rPr>
          <w:rFonts w:ascii="Times New Roman" w:hAnsi="Times New Roman"/>
        </w:rPr>
        <w:t>odbúranie legislatívnych bariér brániacich uvádzaniu nových finančných produktov (investičné certifikáty) na trh, napr. obmedzenia pri vydávaní, kde doteraz platila právna úprava, že ich môžu vydávať len banky, a predmetným návrhom sa toto vydávanie rozširuje aj na obchodníkov s cennými papiermi</w:t>
      </w:r>
      <w:r w:rsidRPr="00C77FC6" w:rsidR="009C2140">
        <w:rPr>
          <w:rFonts w:ascii="Times New Roman" w:hAnsi="Times New Roman"/>
        </w:rPr>
        <w:t xml:space="preserve">, </w:t>
      </w:r>
    </w:p>
    <w:p w:rsidR="006B1DEA" w:rsidRPr="00C77FC6" w:rsidP="00866CE0">
      <w:pPr>
        <w:pStyle w:val="BodyText"/>
        <w:numPr>
          <w:numId w:val="1"/>
        </w:numPr>
        <w:bidi w:val="0"/>
        <w:jc w:val="both"/>
        <w:rPr>
          <w:rFonts w:ascii="Times New Roman" w:hAnsi="Times New Roman"/>
        </w:rPr>
      </w:pPr>
      <w:r w:rsidRPr="00C77FC6" w:rsidR="005C62A3">
        <w:rPr>
          <w:rFonts w:ascii="Times New Roman" w:hAnsi="Times New Roman"/>
        </w:rPr>
        <w:t xml:space="preserve">zavedenie úplného členského princípu poskytovania služieb centrálneho depozitára cenných papierov s cieľom znížiť náklady a zvýšiť </w:t>
      </w:r>
      <w:r w:rsidRPr="00C77FC6" w:rsidR="009C2140">
        <w:rPr>
          <w:rFonts w:ascii="Times New Roman" w:hAnsi="Times New Roman"/>
        </w:rPr>
        <w:t xml:space="preserve">efektívnosť služieb, </w:t>
      </w:r>
    </w:p>
    <w:p w:rsidR="006B1DEA" w:rsidRPr="00C77FC6" w:rsidP="00866CE0">
      <w:pPr>
        <w:pStyle w:val="BodyText"/>
        <w:numPr>
          <w:numId w:val="1"/>
        </w:numPr>
        <w:bidi w:val="0"/>
        <w:jc w:val="both"/>
        <w:rPr>
          <w:rFonts w:ascii="Times New Roman" w:hAnsi="Times New Roman"/>
        </w:rPr>
      </w:pPr>
      <w:r w:rsidRPr="00C77FC6" w:rsidR="009C2140">
        <w:rPr>
          <w:rFonts w:ascii="Times New Roman" w:hAnsi="Times New Roman"/>
        </w:rPr>
        <w:t>štandardizácia režimu finančných zábezpek, kde by sa zjednodušený režim vzniku záložných práv, použitia zálohu (re use), započítania a výkonu záložného práva podľa smernice Európskeho parlamentu a Rady č. 2002/47/ES zo 6. júna 2002 o dohodách o finančných zárukách mohol rozšíriť aj na ďalšie protistrany nakoľko v súčasnosti je Slovenská republika jediným členským štátom, ktorý neumožňuje uplatniť tento režim pre protistrany finančných inštitúcií z korporátnej sféry</w:t>
      </w:r>
      <w:r w:rsidR="00004383">
        <w:rPr>
          <w:rFonts w:ascii="Times New Roman" w:hAnsi="Times New Roman"/>
        </w:rPr>
        <w:t>.</w:t>
      </w:r>
    </w:p>
    <w:p w:rsidR="00F35E5F" w:rsidRPr="00C77FC6" w:rsidP="009B4050">
      <w:pPr>
        <w:pStyle w:val="BodyText"/>
        <w:bidi w:val="0"/>
        <w:jc w:val="both"/>
        <w:rPr>
          <w:rFonts w:ascii="Times New Roman" w:hAnsi="Times New Roman"/>
        </w:rPr>
      </w:pPr>
    </w:p>
    <w:p w:rsidR="007052C0" w:rsidRPr="00C77FC6" w:rsidP="003577B8">
      <w:pPr>
        <w:pStyle w:val="BodyText"/>
        <w:overflowPunct w:val="0"/>
        <w:autoSpaceDE w:val="0"/>
        <w:autoSpaceDN w:val="0"/>
        <w:bidi w:val="0"/>
        <w:adjustRightInd w:val="0"/>
        <w:ind w:firstLine="708"/>
        <w:jc w:val="both"/>
        <w:textAlignment w:val="baseline"/>
        <w:rPr>
          <w:rFonts w:ascii="Times New Roman" w:hAnsi="Times New Roman"/>
        </w:rPr>
      </w:pPr>
      <w:r w:rsidRPr="00C77FC6">
        <w:rPr>
          <w:rFonts w:ascii="Times New Roman" w:hAnsi="Times New Roman"/>
        </w:rPr>
        <w:t>Predkladaný zákon je v súlade s Ústavou Slovenskej republiky, zákonmi Slovenskej republiky, medzinárodnými zmluvami a inými medzinárodnými dokumentmi, ktorými je Slovenská republika viazaná.</w:t>
      </w:r>
    </w:p>
    <w:p w:rsidR="007052C0" w:rsidRPr="00C77FC6" w:rsidP="003577B8">
      <w:pPr>
        <w:pStyle w:val="BodyText"/>
        <w:overflowPunct w:val="0"/>
        <w:autoSpaceDE w:val="0"/>
        <w:autoSpaceDN w:val="0"/>
        <w:bidi w:val="0"/>
        <w:adjustRightInd w:val="0"/>
        <w:jc w:val="both"/>
        <w:textAlignment w:val="baseline"/>
        <w:rPr>
          <w:rFonts w:ascii="Times New Roman" w:hAnsi="Times New Roman"/>
        </w:rPr>
      </w:pPr>
    </w:p>
    <w:p w:rsidR="00057EBB" w:rsidRPr="00C77FC6" w:rsidP="003577B8">
      <w:pPr>
        <w:pStyle w:val="BodyText"/>
        <w:overflowPunct w:val="0"/>
        <w:autoSpaceDE w:val="0"/>
        <w:autoSpaceDN w:val="0"/>
        <w:bidi w:val="0"/>
        <w:adjustRightInd w:val="0"/>
        <w:jc w:val="both"/>
        <w:textAlignment w:val="baseline"/>
        <w:rPr>
          <w:rFonts w:ascii="Times New Roman" w:hAnsi="Times New Roman"/>
        </w:rPr>
      </w:pPr>
      <w:r w:rsidRPr="00C77FC6" w:rsidR="007052C0">
        <w:rPr>
          <w:rFonts w:ascii="Times New Roman" w:hAnsi="Times New Roman"/>
        </w:rPr>
        <w:tab/>
        <w:t xml:space="preserve">Prijatie zákona a jeho aplikácia nebude mať </w:t>
      </w:r>
      <w:r w:rsidRPr="00C77FC6">
        <w:rPr>
          <w:rFonts w:ascii="Times New Roman" w:hAnsi="Times New Roman"/>
        </w:rPr>
        <w:t>vplyv</w:t>
      </w:r>
      <w:r w:rsidRPr="00C77FC6" w:rsidR="003F2EFD">
        <w:rPr>
          <w:rFonts w:ascii="Times New Roman" w:hAnsi="Times New Roman"/>
        </w:rPr>
        <w:t>y</w:t>
      </w:r>
      <w:r w:rsidRPr="00C77FC6" w:rsidR="007052C0">
        <w:rPr>
          <w:rFonts w:ascii="Times New Roman" w:hAnsi="Times New Roman"/>
        </w:rPr>
        <w:t xml:space="preserve"> na </w:t>
      </w:r>
      <w:r w:rsidRPr="00C77FC6" w:rsidR="00005B04">
        <w:rPr>
          <w:rFonts w:ascii="Times New Roman" w:hAnsi="Times New Roman"/>
        </w:rPr>
        <w:t xml:space="preserve">rozpočet verejnej správy, </w:t>
      </w:r>
      <w:r w:rsidRPr="00C77FC6">
        <w:rPr>
          <w:rFonts w:ascii="Times New Roman" w:hAnsi="Times New Roman"/>
        </w:rPr>
        <w:t>hospodárenie obyvateľstva, sociálnu exklúziu, rovnosť príležitostí a rodovú rovnosť, zamestnanosť, životné prostredie</w:t>
      </w:r>
      <w:r w:rsidR="00762682">
        <w:rPr>
          <w:rFonts w:ascii="Times New Roman" w:hAnsi="Times New Roman"/>
        </w:rPr>
        <w:t>,</w:t>
      </w:r>
      <w:r w:rsidRPr="00C77FC6" w:rsidR="003F2EFD">
        <w:rPr>
          <w:rFonts w:ascii="Times New Roman" w:hAnsi="Times New Roman"/>
        </w:rPr>
        <w:t xml:space="preserve"> podnikateľské prostredie</w:t>
      </w:r>
      <w:r w:rsidR="00762682">
        <w:rPr>
          <w:rFonts w:ascii="Times New Roman" w:hAnsi="Times New Roman"/>
        </w:rPr>
        <w:t xml:space="preserve"> a </w:t>
      </w:r>
      <w:r w:rsidRPr="00C77FC6" w:rsidR="001E61A7">
        <w:rPr>
          <w:rFonts w:ascii="Times New Roman" w:hAnsi="Times New Roman"/>
        </w:rPr>
        <w:t>vplyvy</w:t>
      </w:r>
      <w:r w:rsidRPr="00C77FC6">
        <w:rPr>
          <w:rFonts w:ascii="Times New Roman" w:hAnsi="Times New Roman"/>
        </w:rPr>
        <w:t xml:space="preserve"> na informatizáciu spoločnosti. </w:t>
      </w:r>
    </w:p>
    <w:p w:rsidR="00057EBB" w:rsidRPr="00C77FC6" w:rsidP="00057EBB">
      <w:pPr>
        <w:tabs>
          <w:tab w:val="left" w:pos="720"/>
        </w:tabs>
        <w:bidi w:val="0"/>
        <w:jc w:val="both"/>
        <w:rPr>
          <w:rFonts w:ascii="Times New Roman" w:hAnsi="Times New Roman"/>
        </w:rPr>
      </w:pPr>
      <w:r w:rsidRPr="00C77FC6">
        <w:rPr>
          <w:rFonts w:ascii="Times New Roman" w:hAnsi="Times New Roman"/>
        </w:rPr>
        <w:t xml:space="preserve">            </w:t>
      </w:r>
    </w:p>
    <w:p w:rsidR="00057EBB" w:rsidRPr="00C77FC6" w:rsidP="003577B8">
      <w:pPr>
        <w:pStyle w:val="BodyText"/>
        <w:overflowPunct w:val="0"/>
        <w:autoSpaceDE w:val="0"/>
        <w:autoSpaceDN w:val="0"/>
        <w:bidi w:val="0"/>
        <w:adjustRightInd w:val="0"/>
        <w:jc w:val="both"/>
        <w:textAlignment w:val="baseline"/>
        <w:rPr>
          <w:rFonts w:ascii="Times New Roman" w:hAnsi="Times New Roman"/>
        </w:rPr>
      </w:pPr>
    </w:p>
    <w:p w:rsidR="007052C0" w:rsidRPr="00C77FC6" w:rsidP="003577B8">
      <w:pPr>
        <w:bidi w:val="0"/>
        <w:rPr>
          <w:rFonts w:ascii="Times New Roman" w:hAnsi="Times New Roman"/>
        </w:rPr>
      </w:pPr>
    </w:p>
    <w:p w:rsidR="0048328D" w:rsidRPr="00C77FC6" w:rsidP="003577B8">
      <w:pPr>
        <w:bidi w:val="0"/>
        <w:rPr>
          <w:rFonts w:ascii="Times New Roman" w:hAnsi="Times New Roman"/>
        </w:rPr>
      </w:pPr>
    </w:p>
    <w:p w:rsidR="0048328D" w:rsidRPr="00C77FC6" w:rsidP="003577B8">
      <w:pPr>
        <w:bidi w:val="0"/>
        <w:rPr>
          <w:rFonts w:ascii="Times New Roman" w:hAnsi="Times New Roman"/>
        </w:rPr>
      </w:pPr>
    </w:p>
    <w:p w:rsidR="0048328D" w:rsidRPr="00C77FC6" w:rsidP="003577B8">
      <w:pPr>
        <w:bidi w:val="0"/>
        <w:rPr>
          <w:rFonts w:ascii="Times New Roman" w:hAnsi="Times New Roman"/>
        </w:rPr>
      </w:pPr>
    </w:p>
    <w:p w:rsidR="0048328D" w:rsidRPr="00C77FC6" w:rsidP="003577B8">
      <w:pPr>
        <w:bidi w:val="0"/>
        <w:rPr>
          <w:rFonts w:ascii="Times New Roman" w:hAnsi="Times New Roman"/>
        </w:rPr>
      </w:pPr>
    </w:p>
    <w:p w:rsidR="0048328D" w:rsidRPr="00C77FC6" w:rsidP="003577B8">
      <w:pPr>
        <w:bidi w:val="0"/>
        <w:rPr>
          <w:rFonts w:ascii="Times New Roman" w:hAnsi="Times New Roman"/>
        </w:rPr>
      </w:pPr>
    </w:p>
    <w:p w:rsidR="007A774A" w:rsidRPr="00C77FC6" w:rsidP="003577B8">
      <w:pPr>
        <w:bidi w:val="0"/>
        <w:rPr>
          <w:rFonts w:ascii="Times New Roman" w:hAnsi="Times New Roman"/>
        </w:rPr>
      </w:pPr>
    </w:p>
    <w:p w:rsidR="007A774A" w:rsidRPr="00C77FC6" w:rsidP="003577B8">
      <w:pPr>
        <w:bidi w:val="0"/>
        <w:rPr>
          <w:rFonts w:ascii="Times New Roman" w:hAnsi="Times New Roman"/>
        </w:rPr>
      </w:pPr>
    </w:p>
    <w:p w:rsidR="002461F2" w:rsidP="003577B8">
      <w:pPr>
        <w:pStyle w:val="BodyText"/>
        <w:widowControl/>
        <w:bidi w:val="0"/>
        <w:jc w:val="both"/>
        <w:rPr>
          <w:rFonts w:ascii="Times New Roman" w:hAnsi="Times New Roman"/>
          <w:color w:val="auto"/>
        </w:rPr>
      </w:pPr>
    </w:p>
    <w:p w:rsidR="00004383" w:rsidP="003577B8">
      <w:pPr>
        <w:pStyle w:val="BodyText"/>
        <w:widowControl/>
        <w:bidi w:val="0"/>
        <w:jc w:val="both"/>
        <w:rPr>
          <w:rFonts w:ascii="Times New Roman" w:hAnsi="Times New Roman"/>
          <w:color w:val="auto"/>
        </w:rPr>
      </w:pPr>
    </w:p>
    <w:p w:rsidR="00004383" w:rsidRPr="00C77FC6" w:rsidP="003577B8">
      <w:pPr>
        <w:pStyle w:val="BodyText"/>
        <w:widowControl/>
        <w:bidi w:val="0"/>
        <w:jc w:val="both"/>
        <w:rPr>
          <w:rFonts w:ascii="Times New Roman" w:hAnsi="Times New Roman"/>
          <w:color w:val="auto"/>
        </w:rPr>
      </w:pPr>
    </w:p>
    <w:p w:rsidR="00ED2781" w:rsidRPr="009B14C5" w:rsidP="00ED2781">
      <w:pPr>
        <w:bidi w:val="0"/>
        <w:ind w:right="-108"/>
        <w:jc w:val="center"/>
        <w:rPr>
          <w:rFonts w:ascii="Times New Roman" w:hAnsi="Times New Roman"/>
        </w:rPr>
      </w:pPr>
      <w:r w:rsidRPr="009B14C5">
        <w:rPr>
          <w:rFonts w:ascii="Times New Roman" w:hAnsi="Times New Roman"/>
          <w:b/>
          <w:bCs/>
        </w:rPr>
        <w:t>Doložka vybraných vplyvov</w:t>
      </w:r>
    </w:p>
    <w:p w:rsidR="00ED2781" w:rsidRPr="009B14C5" w:rsidP="00ED2781">
      <w:pPr>
        <w:bidi w:val="0"/>
        <w:ind w:right="-108"/>
        <w:jc w:val="center"/>
        <w:rPr>
          <w:rFonts w:ascii="Times New Roman" w:hAnsi="Times New Roman"/>
        </w:rPr>
      </w:pPr>
      <w:r w:rsidRPr="009B14C5">
        <w:rPr>
          <w:rFonts w:ascii="Times New Roman" w:hAnsi="Times New Roman"/>
          <w:b/>
          <w:bCs/>
        </w:rPr>
        <w:t> </w:t>
      </w:r>
    </w:p>
    <w:p w:rsidR="00ED2781" w:rsidRPr="009B14C5" w:rsidP="00ED2781">
      <w:pPr>
        <w:bidi w:val="0"/>
        <w:jc w:val="both"/>
        <w:rPr>
          <w:rFonts w:ascii="Times New Roman" w:hAnsi="Times New Roman"/>
        </w:rPr>
      </w:pPr>
      <w:r w:rsidRPr="009B14C5">
        <w:rPr>
          <w:rFonts w:ascii="Times New Roman" w:hAnsi="Times New Roman"/>
          <w:b/>
          <w:bCs/>
        </w:rPr>
        <w:t xml:space="preserve">A.1. </w:t>
        <w:tab/>
        <w:t xml:space="preserve">Názov materiálu: </w:t>
      </w:r>
      <w:r w:rsidRPr="009B14C5">
        <w:rPr>
          <w:rFonts w:ascii="Times New Roman" w:hAnsi="Times New Roman"/>
          <w:bCs/>
        </w:rPr>
        <w:t>Návrh zákona, ktorým sa mení a dopĺňa zákon č. 566/2001 Z. z. o cenných papieroch a investičných službách a o zmene a doplnení niektorých zákonov (zákon o cenných papieroch) v znení neskorších predpisov a ktorým sa menia a dopĺňajú niektoré zákony</w:t>
      </w:r>
      <w:r w:rsidRPr="009B14C5">
        <w:rPr>
          <w:rFonts w:ascii="Times New Roman" w:hAnsi="Times New Roman"/>
        </w:rPr>
        <w:t>.</w:t>
      </w:r>
    </w:p>
    <w:p w:rsidR="00ED2781" w:rsidRPr="009B14C5" w:rsidP="00ED2781">
      <w:pPr>
        <w:bidi w:val="0"/>
        <w:rPr>
          <w:rFonts w:ascii="Times New Roman" w:hAnsi="Times New Roman"/>
        </w:rPr>
      </w:pPr>
    </w:p>
    <w:p w:rsidR="00ED2781" w:rsidRPr="009B14C5" w:rsidP="00ED2781">
      <w:pPr>
        <w:bidi w:val="0"/>
        <w:jc w:val="both"/>
        <w:rPr>
          <w:rFonts w:ascii="Times New Roman" w:hAnsi="Times New Roman"/>
        </w:rPr>
      </w:pPr>
      <w:r w:rsidRPr="009B14C5">
        <w:rPr>
          <w:rFonts w:ascii="Times New Roman" w:hAnsi="Times New Roman"/>
          <w:b/>
          <w:bCs/>
        </w:rPr>
        <w:t>       </w:t>
        <w:tab/>
        <w:t xml:space="preserve">Termín začatia a ukončenia PPK: </w:t>
      </w:r>
    </w:p>
    <w:p w:rsidR="00ED2781" w:rsidRPr="009B14C5" w:rsidP="00ED2781">
      <w:pPr>
        <w:bidi w:val="0"/>
        <w:rPr>
          <w:rFonts w:ascii="Times New Roman" w:hAnsi="Times New Roman"/>
        </w:rPr>
      </w:pPr>
    </w:p>
    <w:p w:rsidR="00ED2781" w:rsidRPr="009B14C5" w:rsidP="00ED2781">
      <w:pPr>
        <w:bidi w:val="0"/>
        <w:rPr>
          <w:rFonts w:ascii="Times New Roman" w:hAnsi="Times New Roman"/>
        </w:rPr>
      </w:pPr>
      <w:r w:rsidRPr="009B14C5">
        <w:rPr>
          <w:rFonts w:ascii="Times New Roman" w:hAnsi="Times New Roman"/>
          <w:b/>
          <w:bCs/>
        </w:rPr>
        <w:t>A.2. Vplyvy:</w:t>
      </w:r>
    </w:p>
    <w:p w:rsidR="00ED2781" w:rsidRPr="009B14C5" w:rsidP="00ED2781">
      <w:pPr>
        <w:bidi w:val="0"/>
        <w:rPr>
          <w:rFonts w:ascii="Times New Roman" w:hAnsi="Times New Roman"/>
        </w:rPr>
      </w:pPr>
      <w:r w:rsidRPr="009B14C5">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rPr>
                <w:rFonts w:ascii="Times New Roman" w:hAnsi="Times New Roman"/>
              </w:rPr>
            </w:pPr>
            <w:r w:rsidRPr="009B14C5">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ED2781" w:rsidRPr="009B14C5" w:rsidP="0066657C">
            <w:pPr>
              <w:bidi w:val="0"/>
              <w:jc w:val="center"/>
              <w:rPr>
                <w:rFonts w:ascii="Times New Roman" w:hAnsi="Times New Roman"/>
              </w:rPr>
            </w:pPr>
            <w:r w:rsidRPr="009B14C5">
              <w:rPr>
                <w:rFonts w:ascii="Times New Roman" w:hAnsi="Times New Roman"/>
              </w:rPr>
              <w:t>Pozitívne</w:t>
            </w:r>
            <w:r w:rsidRPr="009B14C5">
              <w:rPr>
                <w:rFonts w:ascii="Times New Roman" w:hAnsi="Times New Roman"/>
                <w:vertAlign w:val="superscript"/>
              </w:rPr>
              <w:t>*</w:t>
            </w:r>
            <w:r w:rsidRPr="009B14C5">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ED2781" w:rsidRPr="009B14C5" w:rsidP="0066657C">
            <w:pPr>
              <w:bidi w:val="0"/>
              <w:jc w:val="center"/>
              <w:rPr>
                <w:rFonts w:ascii="Times New Roman" w:hAnsi="Times New Roman"/>
              </w:rPr>
            </w:pPr>
            <w:r w:rsidRPr="009B14C5">
              <w:rPr>
                <w:rFonts w:ascii="Times New Roman" w:hAnsi="Times New Roman"/>
              </w:rPr>
              <w:t>Žiadne</w:t>
            </w:r>
            <w:r w:rsidRPr="009B14C5">
              <w:rPr>
                <w:rFonts w:ascii="Times New Roman" w:hAnsi="Times New Roman"/>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ED2781" w:rsidRPr="009B14C5" w:rsidP="0066657C">
            <w:pPr>
              <w:bidi w:val="0"/>
              <w:jc w:val="center"/>
              <w:rPr>
                <w:rFonts w:ascii="Times New Roman" w:hAnsi="Times New Roman"/>
              </w:rPr>
            </w:pPr>
            <w:r w:rsidRPr="009B14C5">
              <w:rPr>
                <w:rFonts w:ascii="Times New Roman" w:hAnsi="Times New Roman"/>
              </w:rPr>
              <w:t>Negatívne</w:t>
            </w:r>
            <w:r w:rsidRPr="009B14C5">
              <w:rPr>
                <w:rFonts w:ascii="Times New Roman" w:hAnsi="Times New Roman"/>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rPr>
                <w:rFonts w:ascii="Times New Roman" w:hAnsi="Times New Roman"/>
              </w:rPr>
            </w:pPr>
            <w:r w:rsidRPr="009B14C5">
              <w:rPr>
                <w:rFonts w:ascii="Times New Roman" w:hAnsi="Times New Roman"/>
              </w:rPr>
              <w:t>1. Vplyvy na rozpočet verejnej správy</w:t>
            </w:r>
          </w:p>
          <w:p w:rsidR="00ED2781" w:rsidRPr="009B14C5" w:rsidP="0066657C">
            <w:pPr>
              <w:bidi w:val="0"/>
              <w:rPr>
                <w:rFonts w:ascii="Times New Roman" w:hAnsi="Times New Roman"/>
              </w:rPr>
            </w:pPr>
            <w:r w:rsidRPr="009B14C5">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rPr>
                <w:rFonts w:ascii="Times New Roman" w:hAnsi="Times New Roman"/>
              </w:rPr>
            </w:pPr>
            <w:r w:rsidRPr="009B14C5">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rPr>
                <w:rFonts w:ascii="Times New Roman" w:hAnsi="Times New Roman"/>
              </w:rPr>
            </w:pPr>
            <w:r w:rsidRPr="009B14C5">
              <w:rPr>
                <w:rFonts w:ascii="Times New Roman" w:hAnsi="Times New Roman"/>
              </w:rPr>
              <w:t xml:space="preserve">3, Sociálne vplyvy </w:t>
            </w:r>
          </w:p>
          <w:p w:rsidR="00ED2781" w:rsidRPr="009B14C5" w:rsidP="0066657C">
            <w:pPr>
              <w:bidi w:val="0"/>
              <w:rPr>
                <w:rFonts w:ascii="Times New Roman" w:hAnsi="Times New Roman"/>
              </w:rPr>
            </w:pPr>
            <w:r w:rsidRPr="009B14C5">
              <w:rPr>
                <w:rFonts w:ascii="Times New Roman" w:hAnsi="Times New Roman"/>
              </w:rPr>
              <w:t>– vplyvy  na hospodárenie obyvateľstva,</w:t>
            </w:r>
          </w:p>
          <w:p w:rsidR="00ED2781" w:rsidRPr="009B14C5" w:rsidP="0066657C">
            <w:pPr>
              <w:bidi w:val="0"/>
              <w:rPr>
                <w:rFonts w:ascii="Times New Roman" w:hAnsi="Times New Roman"/>
              </w:rPr>
            </w:pPr>
            <w:r w:rsidRPr="009B14C5">
              <w:rPr>
                <w:rFonts w:ascii="Times New Roman" w:hAnsi="Times New Roman"/>
              </w:rPr>
              <w:t>-sociálnu exklúziu,</w:t>
            </w:r>
          </w:p>
          <w:p w:rsidR="00ED2781" w:rsidRPr="009B14C5" w:rsidP="0066657C">
            <w:pPr>
              <w:bidi w:val="0"/>
              <w:rPr>
                <w:rFonts w:ascii="Times New Roman" w:hAnsi="Times New Roman"/>
              </w:rPr>
            </w:pPr>
            <w:r w:rsidRPr="009B14C5">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x</w:t>
            </w:r>
          </w:p>
          <w:p w:rsidR="00ED2781" w:rsidRPr="009B14C5" w:rsidP="0066657C">
            <w:pPr>
              <w:bidi w:val="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rPr>
                <w:rFonts w:ascii="Times New Roman" w:hAnsi="Times New Roman"/>
              </w:rPr>
            </w:pPr>
            <w:r w:rsidRPr="009B14C5">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rPr>
                <w:rFonts w:ascii="Times New Roman" w:hAnsi="Times New Roman"/>
              </w:rPr>
            </w:pPr>
            <w:r w:rsidRPr="009B14C5">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w:t>
            </w:r>
            <w:r>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2781" w:rsidRPr="009B14C5" w:rsidP="0066657C">
            <w:pPr>
              <w:bidi w:val="0"/>
              <w:jc w:val="center"/>
              <w:rPr>
                <w:rFonts w:ascii="Times New Roman" w:hAnsi="Times New Roman"/>
              </w:rPr>
            </w:pPr>
            <w:r w:rsidRPr="009B14C5">
              <w:rPr>
                <w:rFonts w:ascii="Times New Roman" w:hAnsi="Times New Roman"/>
              </w:rPr>
              <w:t> </w:t>
            </w:r>
          </w:p>
        </w:tc>
      </w:tr>
    </w:tbl>
    <w:p w:rsidR="00ED2781" w:rsidRPr="009B14C5" w:rsidP="00ED2781">
      <w:pPr>
        <w:bidi w:val="0"/>
        <w:jc w:val="both"/>
        <w:rPr>
          <w:rFonts w:ascii="Times New Roman" w:hAnsi="Times New Roman"/>
          <w:b/>
          <w:bCs/>
        </w:rPr>
      </w:pPr>
    </w:p>
    <w:p w:rsidR="00ED2781" w:rsidRPr="009B14C5" w:rsidP="00ED2781">
      <w:pPr>
        <w:bidi w:val="0"/>
        <w:jc w:val="both"/>
        <w:rPr>
          <w:rFonts w:ascii="Times New Roman" w:hAnsi="Times New Roman"/>
        </w:rPr>
      </w:pPr>
      <w:r w:rsidRPr="009B14C5">
        <w:rPr>
          <w:rFonts w:ascii="Times New Roman" w:hAnsi="Times New Roman"/>
          <w:b/>
          <w:bCs/>
        </w:rPr>
        <w:t>*</w:t>
      </w:r>
      <w:r w:rsidRPr="009B14C5">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ED2781" w:rsidRPr="009B14C5" w:rsidP="00ED2781">
      <w:pPr>
        <w:bidi w:val="0"/>
        <w:jc w:val="both"/>
        <w:rPr>
          <w:rFonts w:ascii="Times New Roman" w:hAnsi="Times New Roman"/>
        </w:rPr>
      </w:pPr>
      <w:r w:rsidRPr="009B14C5">
        <w:rPr>
          <w:rFonts w:ascii="Times New Roman" w:hAnsi="Times New Roman"/>
        </w:rPr>
        <w:t> </w:t>
      </w:r>
      <w:r w:rsidRPr="009B14C5">
        <w:rPr>
          <w:rFonts w:ascii="Times New Roman" w:hAnsi="Times New Roman"/>
          <w:b/>
          <w:bCs/>
        </w:rPr>
        <w:t> </w:t>
      </w:r>
    </w:p>
    <w:p w:rsidR="00ED2781" w:rsidRPr="009B14C5" w:rsidP="00ED2781">
      <w:pPr>
        <w:bidi w:val="0"/>
        <w:jc w:val="both"/>
        <w:rPr>
          <w:rFonts w:ascii="Times New Roman" w:hAnsi="Times New Roman"/>
          <w:b/>
          <w:bCs/>
        </w:rPr>
      </w:pPr>
      <w:r w:rsidRPr="009B14C5">
        <w:rPr>
          <w:rFonts w:ascii="Times New Roman" w:hAnsi="Times New Roman"/>
          <w:b/>
          <w:bCs/>
        </w:rPr>
        <w:t>A.3. Poznámky</w:t>
      </w:r>
    </w:p>
    <w:p w:rsidR="00ED2781" w:rsidP="00ED2781">
      <w:pPr>
        <w:bidi w:val="0"/>
        <w:jc w:val="both"/>
        <w:rPr>
          <w:rFonts w:ascii="Times New Roman" w:hAnsi="Times New Roman"/>
        </w:rPr>
      </w:pPr>
    </w:p>
    <w:p w:rsidR="00ED2781" w:rsidRPr="009B14C5" w:rsidP="00ED2781">
      <w:pPr>
        <w:bidi w:val="0"/>
        <w:jc w:val="both"/>
        <w:rPr>
          <w:rFonts w:ascii="Times New Roman" w:hAnsi="Times New Roman"/>
        </w:rPr>
      </w:pPr>
      <w:r w:rsidRPr="009B14C5">
        <w:rPr>
          <w:rFonts w:ascii="Times New Roman" w:hAnsi="Times New Roman"/>
          <w:b/>
          <w:bCs/>
        </w:rPr>
        <w:t>A.4. Alternatívne riešenia</w:t>
      </w:r>
    </w:p>
    <w:p w:rsidR="00ED2781" w:rsidRPr="009B14C5" w:rsidP="00ED2781">
      <w:pPr>
        <w:bidi w:val="0"/>
        <w:ind w:left="1416"/>
        <w:jc w:val="both"/>
        <w:rPr>
          <w:rFonts w:ascii="Times New Roman" w:hAnsi="Times New Roman"/>
        </w:rPr>
      </w:pPr>
      <w:r w:rsidRPr="009B14C5">
        <w:rPr>
          <w:rFonts w:ascii="Times New Roman" w:hAnsi="Times New Roman"/>
        </w:rPr>
        <w:t> </w:t>
      </w:r>
    </w:p>
    <w:p w:rsidR="00ED2781" w:rsidRPr="009B14C5" w:rsidP="00ED2781">
      <w:pPr>
        <w:bidi w:val="0"/>
        <w:jc w:val="both"/>
        <w:rPr>
          <w:rFonts w:ascii="Times New Roman" w:hAnsi="Times New Roman"/>
          <w:bCs/>
        </w:rPr>
      </w:pPr>
      <w:r w:rsidRPr="009B14C5">
        <w:rPr>
          <w:rFonts w:ascii="Times New Roman" w:hAnsi="Times New Roman"/>
          <w:bCs/>
        </w:rPr>
        <w:t>Bezpredmetné.</w:t>
      </w:r>
    </w:p>
    <w:p w:rsidR="00ED2781" w:rsidRPr="009B14C5" w:rsidP="00ED2781">
      <w:pPr>
        <w:bidi w:val="0"/>
        <w:jc w:val="both"/>
        <w:rPr>
          <w:rFonts w:ascii="Times New Roman" w:hAnsi="Times New Roman"/>
        </w:rPr>
      </w:pPr>
      <w:r w:rsidRPr="009B14C5">
        <w:rPr>
          <w:rFonts w:ascii="Times New Roman" w:hAnsi="Times New Roman"/>
          <w:b/>
          <w:bCs/>
        </w:rPr>
        <w:t> </w:t>
      </w:r>
    </w:p>
    <w:p w:rsidR="00ED2781" w:rsidRPr="009B14C5" w:rsidP="00ED2781">
      <w:pPr>
        <w:bidi w:val="0"/>
        <w:rPr>
          <w:rFonts w:ascii="Times New Roman" w:hAnsi="Times New Roman"/>
        </w:rPr>
      </w:pPr>
      <w:r w:rsidRPr="009B14C5">
        <w:rPr>
          <w:rFonts w:ascii="Times New Roman" w:hAnsi="Times New Roman"/>
          <w:b/>
          <w:bCs/>
        </w:rPr>
        <w:t xml:space="preserve">A.5. Stanovisko gestorov </w:t>
      </w:r>
    </w:p>
    <w:p w:rsidR="00ED2781" w:rsidRPr="009B14C5" w:rsidP="00ED2781">
      <w:pPr>
        <w:bidi w:val="0"/>
        <w:jc w:val="both"/>
        <w:rPr>
          <w:rFonts w:ascii="Times New Roman" w:hAnsi="Times New Roman"/>
        </w:rPr>
      </w:pPr>
    </w:p>
    <w:p w:rsidR="00ED2781" w:rsidRPr="007B1E12" w:rsidP="00ED2781">
      <w:pPr>
        <w:bidi w:val="0"/>
        <w:jc w:val="both"/>
        <w:rPr>
          <w:rFonts w:ascii="Arial Narrow" w:hAnsi="Arial Narrow"/>
          <w:sz w:val="22"/>
          <w:szCs w:val="22"/>
        </w:rPr>
      </w:pPr>
    </w:p>
    <w:p w:rsidR="00ED2781" w:rsidP="00ED2781">
      <w:pPr>
        <w:bidi w:val="0"/>
        <w:jc w:val="both"/>
        <w:rPr>
          <w:rFonts w:ascii="Times New Roman" w:hAnsi="Times New Roman"/>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RPr="00ED2781" w:rsidP="00ED2781">
      <w:pPr>
        <w:bidi w:val="0"/>
        <w:jc w:val="center"/>
        <w:rPr>
          <w:rFonts w:ascii="Times New Roman" w:hAnsi="Times New Roman"/>
          <w:b/>
          <w:bCs/>
        </w:rPr>
      </w:pPr>
      <w:r w:rsidRPr="00ED2781">
        <w:rPr>
          <w:rFonts w:ascii="Times New Roman" w:hAnsi="Times New Roman"/>
          <w:b/>
          <w:bCs/>
        </w:rPr>
        <w:t>DOLOŽKA ZLUČITEĽNOSTI</w:t>
      </w:r>
    </w:p>
    <w:p w:rsidR="00ED2781" w:rsidRPr="00ED2781" w:rsidP="00ED2781">
      <w:pPr>
        <w:pBdr>
          <w:bottom w:val="single" w:sz="6" w:space="1" w:color="auto"/>
        </w:pBdr>
        <w:bidi w:val="0"/>
        <w:jc w:val="center"/>
        <w:rPr>
          <w:rFonts w:ascii="Times New Roman" w:hAnsi="Times New Roman"/>
          <w:b/>
          <w:bCs/>
        </w:rPr>
      </w:pPr>
      <w:r w:rsidRPr="00ED2781">
        <w:rPr>
          <w:rFonts w:ascii="Times New Roman" w:hAnsi="Times New Roman"/>
          <w:b/>
          <w:bCs/>
        </w:rPr>
        <w:t xml:space="preserve">návrhu zákona, </w:t>
      </w:r>
      <w:r w:rsidRPr="00ED2781">
        <w:rPr>
          <w:rFonts w:ascii="Times New Roman" w:hAnsi="Times New Roman"/>
          <w:b/>
        </w:rPr>
        <w:t>ktorým sa mení a dopĺňa zákon č. 566/2001 Z. z.</w:t>
      </w:r>
      <w:r w:rsidRPr="00ED2781">
        <w:rPr>
          <w:rStyle w:val="PlaceholderText"/>
          <w:b/>
          <w:color w:val="000000"/>
        </w:rPr>
        <w:t xml:space="preserve"> o cenných papieroch a investičných službách a o zmene a doplnení niektorých zákonov (zákon o cenných papieroch) v znení neskorších predpisov a ktorým sa menia a dopĺňajú niektoré zákony </w:t>
      </w:r>
      <w:r w:rsidRPr="00ED2781">
        <w:rPr>
          <w:rFonts w:ascii="Times New Roman" w:hAnsi="Times New Roman"/>
          <w:b/>
          <w:bCs/>
        </w:rPr>
        <w:t>s právom Európskej únie</w:t>
      </w:r>
    </w:p>
    <w:p w:rsidR="00ED2781" w:rsidRPr="00ED2781" w:rsidP="00ED2781">
      <w:pPr>
        <w:bidi w:val="0"/>
        <w:rPr>
          <w:rFonts w:ascii="Times New Roman" w:hAnsi="Times New Roman"/>
          <w:b/>
          <w:bCs/>
        </w:rPr>
      </w:pPr>
    </w:p>
    <w:p w:rsidR="00ED2781" w:rsidRPr="00ED2781" w:rsidP="00866CE0">
      <w:pPr>
        <w:numPr>
          <w:numId w:val="2"/>
        </w:numPr>
        <w:bidi w:val="0"/>
        <w:spacing w:after="120"/>
        <w:jc w:val="both"/>
        <w:rPr>
          <w:rFonts w:ascii="Times New Roman" w:hAnsi="Times New Roman"/>
        </w:rPr>
      </w:pPr>
      <w:r w:rsidRPr="00ED2781">
        <w:rPr>
          <w:rFonts w:ascii="Times New Roman" w:hAnsi="Times New Roman"/>
          <w:b/>
          <w:bCs/>
        </w:rPr>
        <w:t>Predkladateľ zákona:</w:t>
      </w:r>
    </w:p>
    <w:p w:rsidR="00ED2781" w:rsidRPr="00ED2781" w:rsidP="00ED2781">
      <w:pPr>
        <w:bidi w:val="0"/>
        <w:ind w:firstLine="425"/>
        <w:jc w:val="both"/>
        <w:rPr>
          <w:rFonts w:ascii="Times New Roman" w:hAnsi="Times New Roman"/>
        </w:rPr>
      </w:pPr>
      <w:r w:rsidRPr="00ED2781">
        <w:rPr>
          <w:rFonts w:ascii="Times New Roman" w:hAnsi="Times New Roman"/>
        </w:rPr>
        <w:t xml:space="preserve">Vláda Slovenskej republiky. </w:t>
      </w:r>
    </w:p>
    <w:p w:rsidR="00ED2781" w:rsidRPr="00ED2781" w:rsidP="00ED2781">
      <w:pPr>
        <w:bidi w:val="0"/>
        <w:jc w:val="both"/>
        <w:rPr>
          <w:rFonts w:ascii="Times New Roman" w:hAnsi="Times New Roman"/>
          <w:b/>
          <w:bCs/>
        </w:rPr>
      </w:pPr>
    </w:p>
    <w:p w:rsidR="00ED2781" w:rsidRPr="00ED2781" w:rsidP="00866CE0">
      <w:pPr>
        <w:numPr>
          <w:numId w:val="2"/>
        </w:numPr>
        <w:bidi w:val="0"/>
        <w:spacing w:after="120"/>
        <w:jc w:val="both"/>
        <w:rPr>
          <w:rFonts w:ascii="Times New Roman" w:hAnsi="Times New Roman"/>
          <w:b/>
          <w:bCs/>
        </w:rPr>
      </w:pPr>
      <w:r w:rsidRPr="00ED2781">
        <w:rPr>
          <w:rFonts w:ascii="Times New Roman" w:hAnsi="Times New Roman"/>
          <w:b/>
          <w:bCs/>
        </w:rPr>
        <w:t>Názov návrhu zákona:</w:t>
      </w:r>
    </w:p>
    <w:p w:rsidR="00ED2781" w:rsidRPr="00ED2781" w:rsidP="00ED2781">
      <w:pPr>
        <w:bidi w:val="0"/>
        <w:ind w:left="425"/>
        <w:jc w:val="both"/>
        <w:rPr>
          <w:rFonts w:ascii="Times New Roman" w:hAnsi="Times New Roman"/>
          <w:bCs/>
        </w:rPr>
      </w:pPr>
      <w:r w:rsidRPr="00ED2781">
        <w:rPr>
          <w:rFonts w:ascii="Times New Roman" w:hAnsi="Times New Roman"/>
        </w:rPr>
        <w:t xml:space="preserve">Návrh zákona, ktorým sa mení a dopĺňa zákon č. 566/2001 Z. z. </w:t>
      </w:r>
      <w:r w:rsidRPr="00ED2781">
        <w:rPr>
          <w:rStyle w:val="PlaceholderText"/>
          <w:color w:val="000000"/>
        </w:rPr>
        <w:t>o cenných papieroch a investičných službách a o zmene a doplnení niektorých zákonov (zákon o cenných papieroch) v znení neskorších predpisov a</w:t>
      </w:r>
      <w:r w:rsidRPr="00ED2781">
        <w:rPr>
          <w:rStyle w:val="PlaceholderText"/>
          <w:b/>
          <w:color w:val="000000"/>
        </w:rPr>
        <w:t> </w:t>
      </w:r>
      <w:r w:rsidRPr="00ED2781">
        <w:rPr>
          <w:rStyle w:val="PlaceholderText"/>
          <w:color w:val="000000"/>
        </w:rPr>
        <w:t>ktorým sa menia a dopĺňajú niektoré zákony</w:t>
      </w:r>
      <w:r w:rsidRPr="00ED2781">
        <w:rPr>
          <w:rFonts w:ascii="Times New Roman" w:hAnsi="Times New Roman"/>
        </w:rPr>
        <w:t>.</w:t>
      </w:r>
    </w:p>
    <w:p w:rsidR="00ED2781" w:rsidRPr="00ED2781" w:rsidP="00ED2781">
      <w:pPr>
        <w:bidi w:val="0"/>
        <w:jc w:val="both"/>
        <w:rPr>
          <w:rFonts w:ascii="Times New Roman" w:hAnsi="Times New Roman"/>
          <w:b/>
          <w:bCs/>
        </w:rPr>
      </w:pPr>
    </w:p>
    <w:p w:rsidR="00ED2781" w:rsidRPr="00ED2781" w:rsidP="00866CE0">
      <w:pPr>
        <w:numPr>
          <w:numId w:val="2"/>
        </w:numPr>
        <w:bidi w:val="0"/>
        <w:spacing w:after="120"/>
        <w:jc w:val="both"/>
        <w:rPr>
          <w:rFonts w:ascii="Times New Roman" w:hAnsi="Times New Roman"/>
          <w:b/>
          <w:bCs/>
        </w:rPr>
      </w:pPr>
      <w:r w:rsidRPr="00ED2781">
        <w:rPr>
          <w:rFonts w:ascii="Times New Roman" w:hAnsi="Times New Roman"/>
          <w:b/>
          <w:bCs/>
        </w:rPr>
        <w:t xml:space="preserve">Problematika návrhu zákona: </w:t>
      </w:r>
    </w:p>
    <w:p w:rsidR="00ED2781" w:rsidRPr="00ED2781" w:rsidP="00866CE0">
      <w:pPr>
        <w:pStyle w:val="BodyText"/>
        <w:widowControl/>
        <w:numPr>
          <w:ilvl w:val="1"/>
          <w:numId w:val="2"/>
        </w:numPr>
        <w:bidi w:val="0"/>
        <w:spacing w:after="120"/>
        <w:rPr>
          <w:rFonts w:ascii="Times New Roman" w:hAnsi="Times New Roman"/>
        </w:rPr>
      </w:pPr>
      <w:r w:rsidRPr="00ED2781">
        <w:rPr>
          <w:rFonts w:ascii="Times New Roman" w:hAnsi="Times New Roman"/>
        </w:rPr>
        <w:t>je upravená v práve Európskej únie:</w:t>
      </w:r>
    </w:p>
    <w:p w:rsidR="00ED2781" w:rsidRPr="00ED2781" w:rsidP="00ED2781">
      <w:pPr>
        <w:pStyle w:val="BodyText"/>
        <w:bidi w:val="0"/>
        <w:ind w:left="896" w:hanging="357"/>
        <w:rPr>
          <w:rFonts w:ascii="Times New Roman" w:hAnsi="Times New Roman"/>
          <w:b/>
          <w:bCs/>
          <w:iCs/>
        </w:rPr>
      </w:pPr>
      <w:r w:rsidRPr="00ED2781">
        <w:rPr>
          <w:rFonts w:ascii="Times New Roman" w:hAnsi="Times New Roman"/>
          <w:b/>
          <w:bCs/>
          <w:iCs/>
        </w:rPr>
        <w:t>Primárne právo:</w:t>
      </w:r>
    </w:p>
    <w:p w:rsidR="00ED2781" w:rsidRPr="00ED2781" w:rsidP="00866CE0">
      <w:pPr>
        <w:pStyle w:val="BodyText"/>
        <w:widowControl/>
        <w:numPr>
          <w:numId w:val="13"/>
        </w:numPr>
        <w:tabs>
          <w:tab w:val="clear" w:pos="900"/>
          <w:tab w:val="num" w:pos="993"/>
        </w:tabs>
        <w:bidi w:val="0"/>
        <w:spacing w:after="120"/>
        <w:ind w:left="964" w:hanging="454"/>
        <w:rPr>
          <w:rFonts w:ascii="Times New Roman" w:hAnsi="Times New Roman"/>
        </w:rPr>
      </w:pPr>
      <w:r w:rsidRPr="00ED2781">
        <w:rPr>
          <w:rFonts w:ascii="Times New Roman" w:hAnsi="Times New Roman"/>
        </w:rPr>
        <w:t xml:space="preserve">čl. 54, 56 až 66 Zmluvy o fungovaní Európskej únie, </w:t>
      </w:r>
    </w:p>
    <w:p w:rsidR="00ED2781" w:rsidRPr="00ED2781" w:rsidP="00866CE0">
      <w:pPr>
        <w:pStyle w:val="BodyText"/>
        <w:widowControl/>
        <w:numPr>
          <w:numId w:val="13"/>
        </w:numPr>
        <w:tabs>
          <w:tab w:val="clear" w:pos="900"/>
          <w:tab w:val="num" w:pos="993"/>
        </w:tabs>
        <w:bidi w:val="0"/>
        <w:spacing w:after="120"/>
        <w:ind w:left="964" w:hanging="454"/>
        <w:rPr>
          <w:rFonts w:ascii="Times New Roman" w:hAnsi="Times New Roman"/>
        </w:rPr>
      </w:pPr>
      <w:r w:rsidRPr="00ED2781">
        <w:rPr>
          <w:rFonts w:ascii="Times New Roman" w:hAnsi="Times New Roman"/>
        </w:rPr>
        <w:t>Protokol č. 4 o Štatúte Európskeho systému centrálnych bánk a Európskej centrálnej banky.</w:t>
      </w:r>
    </w:p>
    <w:p w:rsidR="00ED2781" w:rsidRPr="00ED2781" w:rsidP="00ED2781">
      <w:pPr>
        <w:pStyle w:val="BodyTextIndent"/>
        <w:bidi w:val="0"/>
        <w:spacing w:after="120"/>
        <w:ind w:left="567" w:hanging="28"/>
        <w:rPr>
          <w:rFonts w:ascii="Times New Roman" w:hAnsi="Times New Roman"/>
        </w:rPr>
      </w:pPr>
      <w:r w:rsidRPr="00ED2781">
        <w:rPr>
          <w:rFonts w:ascii="Times New Roman" w:hAnsi="Times New Roman"/>
          <w:b/>
          <w:bCs/>
          <w:iCs/>
        </w:rPr>
        <w:t>Sekundárne právo</w:t>
      </w:r>
      <w:r w:rsidRPr="00ED2781">
        <w:rPr>
          <w:rFonts w:ascii="Times New Roman" w:hAnsi="Times New Roman"/>
          <w:b/>
          <w:bCs/>
          <w:i/>
          <w:iCs/>
        </w:rPr>
        <w:t xml:space="preserve"> </w:t>
      </w:r>
      <w:r w:rsidRPr="00ED2781">
        <w:rPr>
          <w:rFonts w:ascii="Times New Roman" w:hAnsi="Times New Roman"/>
        </w:rPr>
        <w:t>(prijaté po nadobudnutí platnosti Lisabonskej zmluvy, ktorou sa mení a dopĺňa Zmluva o Európskej únii a Zmluva o založení Európskeho spoločenstva  - po 30. novembri 2009):</w:t>
      </w:r>
    </w:p>
    <w:p w:rsidR="00ED2781" w:rsidRPr="00ED2781" w:rsidP="00866CE0">
      <w:pPr>
        <w:numPr>
          <w:numId w:val="15"/>
        </w:numPr>
        <w:autoSpaceDE w:val="0"/>
        <w:autoSpaceDN w:val="0"/>
        <w:bidi w:val="0"/>
        <w:adjustRightInd w:val="0"/>
        <w:spacing w:before="120" w:after="120"/>
        <w:ind w:left="851" w:hanging="284"/>
        <w:jc w:val="both"/>
        <w:rPr>
          <w:rFonts w:ascii="Times New Roman" w:hAnsi="Times New Roman"/>
          <w:bCs/>
          <w:iCs/>
          <w:u w:val="single"/>
        </w:rPr>
      </w:pPr>
      <w:r w:rsidRPr="00ED2781">
        <w:rPr>
          <w:rFonts w:ascii="Times New Roman" w:hAnsi="Times New Roman"/>
          <w:bCs/>
          <w:iCs/>
        </w:rPr>
        <w:t xml:space="preserve"> </w:t>
      </w:r>
      <w:r w:rsidRPr="00ED2781">
        <w:rPr>
          <w:rFonts w:ascii="Times New Roman" w:hAnsi="Times New Roman"/>
          <w:bCs/>
          <w:iCs/>
          <w:u w:val="single"/>
        </w:rPr>
        <w:t>legislatívne akty:</w:t>
      </w:r>
    </w:p>
    <w:p w:rsidR="00ED2781" w:rsidRPr="00ED2781" w:rsidP="00866CE0">
      <w:pPr>
        <w:pStyle w:val="ListParagraph"/>
        <w:numPr>
          <w:numId w:val="14"/>
        </w:numPr>
        <w:autoSpaceDE w:val="0"/>
        <w:autoSpaceDN w:val="0"/>
        <w:bidi w:val="0"/>
        <w:spacing w:before="100" w:beforeAutospacing="1" w:after="120" w:line="240" w:lineRule="auto"/>
        <w:ind w:left="964" w:hanging="454"/>
        <w:contextualSpacing w:val="0"/>
        <w:jc w:val="both"/>
        <w:rPr>
          <w:rFonts w:ascii="Times New Roman" w:hAnsi="Times New Roman"/>
          <w:iCs/>
          <w:sz w:val="24"/>
          <w:szCs w:val="24"/>
        </w:rPr>
      </w:pPr>
      <w:r w:rsidRPr="00ED2781">
        <w:rPr>
          <w:rFonts w:ascii="Times New Roman" w:hAnsi="Times New Roman"/>
          <w:bCs/>
          <w:sz w:val="24"/>
          <w:szCs w:val="24"/>
        </w:rPr>
        <w:t xml:space="preserve">     smernica Európskeho parlamentu a Rady </w:t>
      </w:r>
      <w:r w:rsidRPr="00ED2781">
        <w:rPr>
          <w:rFonts w:ascii="Times New Roman" w:hAnsi="Times New Roman"/>
          <w:bCs/>
          <w:sz w:val="24"/>
          <w:szCs w:val="24"/>
          <w:u w:val="single"/>
        </w:rPr>
        <w:t>2014/65/EÚ</w:t>
      </w:r>
      <w:r w:rsidRPr="00ED2781">
        <w:rPr>
          <w:rFonts w:ascii="Times New Roman" w:hAnsi="Times New Roman"/>
          <w:bCs/>
          <w:sz w:val="24"/>
          <w:szCs w:val="24"/>
        </w:rPr>
        <w:t xml:space="preserve"> z  15. mája 2014 o trhoch s finančnými nástrojmi, ktorou sa mení smernica 2002/92/ES a smernica 2011/61/EÚ (</w:t>
      </w:r>
      <w:r w:rsidRPr="00ED2781">
        <w:rPr>
          <w:rFonts w:ascii="Times New Roman" w:hAnsi="Times New Roman"/>
          <w:bCs/>
          <w:iCs/>
          <w:sz w:val="24"/>
          <w:szCs w:val="24"/>
        </w:rPr>
        <w:t>Ú. v. EÚ L 173, 12.6.2014),</w:t>
      </w:r>
    </w:p>
    <w:p w:rsidR="00ED2781" w:rsidRPr="00ED2781" w:rsidP="00866CE0">
      <w:pPr>
        <w:pStyle w:val="ListParagraph"/>
        <w:numPr>
          <w:numId w:val="14"/>
        </w:numPr>
        <w:autoSpaceDE w:val="0"/>
        <w:autoSpaceDN w:val="0"/>
        <w:bidi w:val="0"/>
        <w:spacing w:before="100" w:beforeAutospacing="1" w:after="120" w:line="240" w:lineRule="auto"/>
        <w:ind w:left="964" w:hanging="454"/>
        <w:contextualSpacing w:val="0"/>
        <w:jc w:val="both"/>
        <w:rPr>
          <w:rFonts w:ascii="Times New Roman" w:hAnsi="Times New Roman"/>
          <w:iCs/>
          <w:sz w:val="24"/>
          <w:szCs w:val="24"/>
        </w:rPr>
      </w:pPr>
      <w:r w:rsidRPr="00ED2781">
        <w:rPr>
          <w:rFonts w:ascii="Times New Roman" w:hAnsi="Times New Roman"/>
          <w:bCs/>
          <w:sz w:val="24"/>
          <w:szCs w:val="24"/>
        </w:rPr>
        <w:t xml:space="preserve">     smernica </w:t>
      </w:r>
      <w:r w:rsidRPr="00ED2781">
        <w:rPr>
          <w:rFonts w:ascii="Times New Roman" w:hAnsi="Times New Roman"/>
          <w:sz w:val="24"/>
          <w:szCs w:val="24"/>
        </w:rPr>
        <w:t xml:space="preserve">Európskeho parlamentu a Rady </w:t>
      </w:r>
      <w:r w:rsidRPr="00ED2781">
        <w:rPr>
          <w:rFonts w:ascii="Times New Roman" w:hAnsi="Times New Roman"/>
          <w:sz w:val="24"/>
          <w:szCs w:val="24"/>
          <w:u w:val="single"/>
        </w:rPr>
        <w:t>2014/51/EÚ</w:t>
      </w:r>
      <w:r w:rsidRPr="00ED2781">
        <w:rPr>
          <w:rFonts w:ascii="Times New Roman" w:hAnsi="Times New Roman"/>
          <w:sz w:val="24"/>
          <w:szCs w:val="24"/>
        </w:rPr>
        <w:t xml:space="preserve"> </w:t>
      </w:r>
      <w:r w:rsidRPr="00ED2781">
        <w:rPr>
          <w:rFonts w:ascii="Times New Roman" w:hAnsi="Times New Roman"/>
          <w:bCs/>
          <w:sz w:val="24"/>
          <w:szCs w:val="24"/>
        </w:rPr>
        <w:t>zo 16. apríla 2014 , ktorou sa menia smernice 2003/71/ES a 2009/138/ES a nariadenia (ES) č. 1060/2009, (EÚ) č. 1094/2010 a (EÚ) č. 1095/2010 v súvislosti s právomocami európskeho orgánu dohľadu (Európsky orgán pre poisťovníctvo a dôchodkové poistenie zamestnancov) a európskeho orgánu dohľadu (Európsky orgán pre cenné papiere a trhy) (</w:t>
      </w:r>
      <w:r w:rsidRPr="00ED2781">
        <w:rPr>
          <w:rFonts w:ascii="Times New Roman" w:hAnsi="Times New Roman"/>
          <w:bCs/>
          <w:iCs/>
          <w:sz w:val="24"/>
          <w:szCs w:val="24"/>
        </w:rPr>
        <w:t>Ú. v. EÚ L 153, 22.05.2014),</w:t>
      </w:r>
    </w:p>
    <w:p w:rsidR="00ED2781" w:rsidRPr="00ED2781" w:rsidP="00866CE0">
      <w:pPr>
        <w:pStyle w:val="ListParagraph"/>
        <w:numPr>
          <w:numId w:val="14"/>
        </w:numPr>
        <w:tabs>
          <w:tab w:val="left" w:pos="964"/>
          <w:tab w:val="left" w:pos="993"/>
        </w:tabs>
        <w:autoSpaceDE w:val="0"/>
        <w:autoSpaceDN w:val="0"/>
        <w:bidi w:val="0"/>
        <w:spacing w:after="120" w:line="240" w:lineRule="auto"/>
        <w:ind w:left="964" w:hanging="454"/>
        <w:contextualSpacing w:val="0"/>
        <w:jc w:val="both"/>
        <w:rPr>
          <w:rFonts w:ascii="Times New Roman" w:hAnsi="Times New Roman"/>
          <w:iCs/>
          <w:sz w:val="24"/>
          <w:szCs w:val="24"/>
        </w:rPr>
      </w:pPr>
      <w:r w:rsidRPr="00ED2781">
        <w:rPr>
          <w:rFonts w:ascii="Times New Roman" w:hAnsi="Times New Roman"/>
          <w:bCs/>
          <w:iCs/>
          <w:sz w:val="24"/>
          <w:szCs w:val="24"/>
        </w:rPr>
        <w:t>nariadenie Európskeho parlamentu a Rady (EÚ) č. </w:t>
      </w:r>
      <w:r w:rsidRPr="00ED2781">
        <w:rPr>
          <w:rFonts w:ascii="Times New Roman" w:hAnsi="Times New Roman"/>
          <w:bCs/>
          <w:iCs/>
          <w:sz w:val="24"/>
          <w:szCs w:val="24"/>
          <w:u w:val="single"/>
        </w:rPr>
        <w:t>909/2014</w:t>
      </w:r>
      <w:r w:rsidRPr="00ED2781">
        <w:rPr>
          <w:rFonts w:ascii="Times New Roman" w:hAnsi="Times New Roman"/>
          <w:bCs/>
          <w:iCs/>
          <w:sz w:val="24"/>
          <w:szCs w:val="24"/>
        </w:rPr>
        <w:t xml:space="preserve"> z  23. júla 2014 o zlepšení vyrovnania transakcií s cennými papiermi v Európskej únii, centrálnych depozitároch cenných papierov a o zmene smerníc 98/26/ES a 2014/65/EÚ a nariadenia (EÚ) č. 236/2012 (Ú. v. EÚ L 257, 28.08.2014), </w:t>
      </w:r>
    </w:p>
    <w:p w:rsidR="00ED2781" w:rsidRPr="00ED2781" w:rsidP="00866CE0">
      <w:pPr>
        <w:pStyle w:val="ListParagraph"/>
        <w:numPr>
          <w:numId w:val="14"/>
        </w:numPr>
        <w:tabs>
          <w:tab w:val="left" w:pos="964"/>
          <w:tab w:val="left" w:pos="993"/>
        </w:tabs>
        <w:autoSpaceDE w:val="0"/>
        <w:autoSpaceDN w:val="0"/>
        <w:bidi w:val="0"/>
        <w:spacing w:after="120" w:line="240" w:lineRule="auto"/>
        <w:ind w:left="964" w:hanging="454"/>
        <w:contextualSpacing w:val="0"/>
        <w:jc w:val="both"/>
        <w:rPr>
          <w:rFonts w:ascii="Times New Roman" w:hAnsi="Times New Roman"/>
          <w:iCs/>
          <w:sz w:val="24"/>
          <w:szCs w:val="24"/>
        </w:rPr>
      </w:pPr>
      <w:r w:rsidRPr="00ED2781">
        <w:rPr>
          <w:rFonts w:ascii="Times New Roman" w:hAnsi="Times New Roman"/>
          <w:bCs/>
          <w:iCs/>
          <w:sz w:val="24"/>
          <w:szCs w:val="24"/>
        </w:rPr>
        <w:t xml:space="preserve">nariadenie Európskeho parlamentu a Rady (EÚ) č. </w:t>
      </w:r>
      <w:r w:rsidRPr="00ED2781">
        <w:rPr>
          <w:rFonts w:ascii="Times New Roman" w:hAnsi="Times New Roman"/>
          <w:bCs/>
          <w:iCs/>
          <w:sz w:val="24"/>
          <w:szCs w:val="24"/>
          <w:u w:val="single"/>
        </w:rPr>
        <w:t>806/2014</w:t>
      </w:r>
      <w:r w:rsidRPr="00ED2781">
        <w:rPr>
          <w:rFonts w:ascii="Times New Roman" w:hAnsi="Times New Roman"/>
          <w:bCs/>
          <w:iCs/>
          <w:sz w:val="24"/>
          <w:szCs w:val="24"/>
        </w:rPr>
        <w:t xml:space="preserve">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(Ú. v. EÚ L 225, 30.7.2014),</w:t>
      </w:r>
    </w:p>
    <w:p w:rsidR="00ED2781" w:rsidRPr="00ED2781" w:rsidP="00866CE0">
      <w:pPr>
        <w:pStyle w:val="ListParagraph"/>
        <w:numPr>
          <w:numId w:val="14"/>
        </w:numPr>
        <w:tabs>
          <w:tab w:val="left" w:pos="964"/>
          <w:tab w:val="left" w:pos="993"/>
        </w:tabs>
        <w:autoSpaceDE w:val="0"/>
        <w:autoSpaceDN w:val="0"/>
        <w:bidi w:val="0"/>
        <w:spacing w:after="120" w:line="240" w:lineRule="auto"/>
        <w:ind w:left="964" w:hanging="454"/>
        <w:contextualSpacing w:val="0"/>
        <w:jc w:val="both"/>
        <w:rPr>
          <w:rFonts w:ascii="Times New Roman" w:hAnsi="Times New Roman"/>
          <w:iCs/>
          <w:sz w:val="24"/>
          <w:szCs w:val="24"/>
        </w:rPr>
      </w:pPr>
      <w:r w:rsidRPr="00ED2781">
        <w:rPr>
          <w:rFonts w:ascii="Times New Roman" w:hAnsi="Times New Roman"/>
          <w:bCs/>
          <w:iCs/>
          <w:sz w:val="24"/>
          <w:szCs w:val="24"/>
        </w:rPr>
        <w:t>nariadenie Európskeho parlamentu a Rady (EÚ) č. </w:t>
      </w:r>
      <w:r w:rsidRPr="00ED2781">
        <w:rPr>
          <w:rFonts w:ascii="Times New Roman" w:hAnsi="Times New Roman"/>
          <w:bCs/>
          <w:iCs/>
          <w:sz w:val="24"/>
          <w:szCs w:val="24"/>
          <w:u w:val="single"/>
        </w:rPr>
        <w:t>600/2014</w:t>
      </w:r>
      <w:r w:rsidRPr="00ED2781">
        <w:rPr>
          <w:rFonts w:ascii="Times New Roman" w:hAnsi="Times New Roman"/>
          <w:bCs/>
          <w:iCs/>
          <w:sz w:val="24"/>
          <w:szCs w:val="24"/>
        </w:rPr>
        <w:t xml:space="preserve"> z  15. mája 2014 o trhoch s finančnými nástrojmi, ktorým sa mení nariadenie (EÚ) č. 648/2012 (Ú. v. EÚ L 173, 12.6.2014),</w:t>
      </w:r>
    </w:p>
    <w:p w:rsidR="00ED2781" w:rsidRPr="00ED2781" w:rsidP="00866CE0">
      <w:pPr>
        <w:pStyle w:val="ListParagraph"/>
        <w:numPr>
          <w:numId w:val="14"/>
        </w:numPr>
        <w:tabs>
          <w:tab w:val="left" w:pos="964"/>
          <w:tab w:val="left" w:pos="993"/>
        </w:tabs>
        <w:autoSpaceDE w:val="0"/>
        <w:autoSpaceDN w:val="0"/>
        <w:bidi w:val="0"/>
        <w:spacing w:after="120" w:line="240" w:lineRule="auto"/>
        <w:ind w:left="964" w:hanging="454"/>
        <w:contextualSpacing w:val="0"/>
        <w:jc w:val="both"/>
        <w:rPr>
          <w:rFonts w:ascii="Times New Roman" w:hAnsi="Times New Roman"/>
          <w:iCs/>
          <w:sz w:val="24"/>
          <w:szCs w:val="24"/>
        </w:rPr>
      </w:pPr>
      <w:r w:rsidRPr="00ED2781">
        <w:rPr>
          <w:rFonts w:ascii="Times New Roman" w:hAnsi="Times New Roman"/>
          <w:bCs/>
          <w:sz w:val="24"/>
          <w:szCs w:val="24"/>
        </w:rPr>
        <w:t>nariadenie Európskeho parlamentu a Rady (EÚ) č. </w:t>
      </w:r>
      <w:r w:rsidRPr="00ED2781">
        <w:rPr>
          <w:rFonts w:ascii="Times New Roman" w:hAnsi="Times New Roman"/>
          <w:bCs/>
          <w:sz w:val="24"/>
          <w:szCs w:val="24"/>
          <w:u w:val="single"/>
        </w:rPr>
        <w:t>596/2014</w:t>
      </w:r>
      <w:r w:rsidRPr="00ED2781">
        <w:rPr>
          <w:rFonts w:ascii="Times New Roman" w:hAnsi="Times New Roman"/>
          <w:bCs/>
          <w:sz w:val="24"/>
          <w:szCs w:val="24"/>
        </w:rPr>
        <w:t xml:space="preserve"> zo 16. apríla 2014 o zneužívaní trhu (nariadenie o zneužívaní trhu) a o zrušení smernice Európskeho parlamentu a Rady 2003/6/ES a smerníc Komisie 2003/124/ES, 2003/125/ES a 2004/72/ES (</w:t>
      </w:r>
      <w:r w:rsidRPr="00ED2781">
        <w:rPr>
          <w:rFonts w:ascii="Times New Roman" w:hAnsi="Times New Roman"/>
          <w:bCs/>
          <w:iCs/>
          <w:sz w:val="24"/>
          <w:szCs w:val="24"/>
        </w:rPr>
        <w:t>Ú. v. EÚ L 173, 12.06.2014),</w:t>
      </w:r>
    </w:p>
    <w:p w:rsidR="00ED2781" w:rsidRPr="00ED2781" w:rsidP="00866CE0">
      <w:pPr>
        <w:pStyle w:val="ListParagraph"/>
        <w:numPr>
          <w:numId w:val="14"/>
        </w:numPr>
        <w:tabs>
          <w:tab w:val="left" w:pos="964"/>
          <w:tab w:val="left" w:pos="993"/>
        </w:tabs>
        <w:bidi w:val="0"/>
        <w:spacing w:after="120" w:line="240" w:lineRule="auto"/>
        <w:ind w:left="964" w:hanging="454"/>
        <w:contextualSpacing w:val="0"/>
        <w:jc w:val="both"/>
        <w:rPr>
          <w:rFonts w:ascii="Times New Roman" w:hAnsi="Times New Roman"/>
          <w:sz w:val="24"/>
          <w:szCs w:val="24"/>
        </w:rPr>
      </w:pPr>
      <w:r w:rsidRPr="00ED2781">
        <w:rPr>
          <w:rFonts w:ascii="Times New Roman" w:hAnsi="Times New Roman"/>
          <w:sz w:val="24"/>
          <w:szCs w:val="24"/>
        </w:rPr>
        <w:t xml:space="preserve">nariadenie Európskeho parlamentu a Rady (EÚ) č. </w:t>
      </w:r>
      <w:r w:rsidRPr="00ED2781">
        <w:rPr>
          <w:rFonts w:ascii="Times New Roman" w:hAnsi="Times New Roman"/>
          <w:sz w:val="24"/>
          <w:szCs w:val="24"/>
          <w:u w:val="single"/>
        </w:rPr>
        <w:t>575/2013</w:t>
      </w:r>
      <w:r w:rsidRPr="00ED2781">
        <w:rPr>
          <w:rFonts w:ascii="Times New Roman" w:hAnsi="Times New Roman"/>
          <w:sz w:val="24"/>
          <w:szCs w:val="24"/>
        </w:rPr>
        <w:t xml:space="preserve"> z 26. júna 2013 o prudenciálnych požiadavkách na úverové inštitúcie a investičné spoločnosti a o zmene nariadenia (EÚ) č. 648/2012 (</w:t>
      </w:r>
      <w:r w:rsidRPr="00ED2781">
        <w:rPr>
          <w:rFonts w:ascii="Times New Roman" w:hAnsi="Times New Roman"/>
          <w:iCs/>
          <w:sz w:val="24"/>
          <w:szCs w:val="24"/>
        </w:rPr>
        <w:t>Ú. v. EÚ L 176, 27.6.2013) v platnom znení,</w:t>
      </w:r>
    </w:p>
    <w:p w:rsidR="00ED2781" w:rsidRPr="00ED2781" w:rsidP="00866CE0">
      <w:pPr>
        <w:pStyle w:val="ListParagraph"/>
        <w:numPr>
          <w:numId w:val="14"/>
        </w:numPr>
        <w:tabs>
          <w:tab w:val="left" w:pos="964"/>
          <w:tab w:val="left" w:pos="993"/>
        </w:tabs>
        <w:bidi w:val="0"/>
        <w:spacing w:before="120" w:after="0" w:line="240" w:lineRule="auto"/>
        <w:ind w:left="964" w:hanging="454"/>
        <w:jc w:val="both"/>
        <w:rPr>
          <w:rFonts w:ascii="Times New Roman" w:hAnsi="Times New Roman"/>
          <w:sz w:val="24"/>
          <w:szCs w:val="24"/>
        </w:rPr>
      </w:pPr>
      <w:r w:rsidRPr="00ED2781">
        <w:rPr>
          <w:rFonts w:ascii="Times New Roman" w:hAnsi="Times New Roman"/>
          <w:iCs/>
          <w:sz w:val="24"/>
          <w:szCs w:val="24"/>
        </w:rPr>
        <w:t xml:space="preserve">nariadenie </w:t>
      </w:r>
      <w:r w:rsidRPr="00ED2781">
        <w:rPr>
          <w:rFonts w:ascii="Times New Roman" w:hAnsi="Times New Roman"/>
          <w:bCs/>
          <w:iCs/>
          <w:sz w:val="24"/>
          <w:szCs w:val="24"/>
        </w:rPr>
        <w:t xml:space="preserve">Európskeho parlamentu a Rady (EÚ) č. </w:t>
      </w:r>
      <w:r w:rsidRPr="00ED2781">
        <w:rPr>
          <w:rFonts w:ascii="Times New Roman" w:hAnsi="Times New Roman"/>
          <w:bCs/>
          <w:iCs/>
          <w:sz w:val="24"/>
          <w:szCs w:val="24"/>
          <w:u w:val="single"/>
        </w:rPr>
        <w:t>648/2012</w:t>
      </w:r>
      <w:r w:rsidRPr="00ED2781">
        <w:rPr>
          <w:rFonts w:ascii="Times New Roman" w:hAnsi="Times New Roman"/>
          <w:bCs/>
          <w:iCs/>
          <w:sz w:val="24"/>
          <w:szCs w:val="24"/>
        </w:rPr>
        <w:t xml:space="preserve"> zo 4. júla 2012 o mimoburzových derivátoch, centrálnych protistranách a archívoch obchodných údajov (Ú. v. EÚ L 201, 27.7.2012) v platnom znení,</w:t>
      </w:r>
    </w:p>
    <w:p w:rsidR="00ED2781" w:rsidRPr="00ED2781" w:rsidP="00866CE0">
      <w:pPr>
        <w:pStyle w:val="ListParagraph"/>
        <w:numPr>
          <w:numId w:val="14"/>
        </w:numPr>
        <w:tabs>
          <w:tab w:val="left" w:pos="964"/>
          <w:tab w:val="left" w:pos="993"/>
        </w:tabs>
        <w:autoSpaceDE w:val="0"/>
        <w:autoSpaceDN w:val="0"/>
        <w:bidi w:val="0"/>
        <w:spacing w:after="120" w:line="240" w:lineRule="auto"/>
        <w:ind w:left="964" w:hanging="454"/>
        <w:jc w:val="both"/>
        <w:rPr>
          <w:rFonts w:ascii="Times New Roman" w:hAnsi="Times New Roman"/>
          <w:iCs/>
          <w:sz w:val="24"/>
          <w:szCs w:val="24"/>
        </w:rPr>
      </w:pPr>
      <w:r w:rsidRPr="00ED2781">
        <w:rPr>
          <w:rFonts w:ascii="Times New Roman" w:hAnsi="Times New Roman"/>
          <w:bCs/>
          <w:iCs/>
          <w:sz w:val="24"/>
          <w:szCs w:val="24"/>
        </w:rPr>
        <w:t xml:space="preserve">nariadenie </w:t>
      </w:r>
      <w:r w:rsidRPr="00ED2781">
        <w:rPr>
          <w:rFonts w:ascii="Times New Roman" w:hAnsi="Times New Roman"/>
          <w:sz w:val="24"/>
          <w:szCs w:val="24"/>
        </w:rPr>
        <w:t xml:space="preserve">Európskeho parlamentu a Rady (EÚ) č. </w:t>
      </w:r>
      <w:r w:rsidRPr="00ED2781">
        <w:rPr>
          <w:rFonts w:ascii="Times New Roman" w:hAnsi="Times New Roman"/>
          <w:sz w:val="24"/>
          <w:szCs w:val="24"/>
          <w:u w:val="single"/>
        </w:rPr>
        <w:t>1092/2010</w:t>
      </w:r>
      <w:r w:rsidRPr="00ED2781">
        <w:rPr>
          <w:rFonts w:ascii="Times New Roman" w:hAnsi="Times New Roman"/>
          <w:sz w:val="24"/>
          <w:szCs w:val="24"/>
        </w:rPr>
        <w:t xml:space="preserve"> z  24. novembra 2010 o makroprudenciálnom dohľade Európskej únie nad finančným systémom a o zriadení Európskeho výboru pre systémové riziká (</w:t>
      </w:r>
      <w:r w:rsidRPr="00ED2781">
        <w:rPr>
          <w:rFonts w:ascii="Times New Roman" w:hAnsi="Times New Roman"/>
          <w:i/>
          <w:iCs/>
          <w:sz w:val="24"/>
          <w:szCs w:val="24"/>
        </w:rPr>
        <w:t> </w:t>
      </w:r>
      <w:r w:rsidRPr="00ED2781">
        <w:rPr>
          <w:rFonts w:ascii="Times New Roman" w:hAnsi="Times New Roman"/>
          <w:iCs/>
          <w:sz w:val="24"/>
          <w:szCs w:val="24"/>
        </w:rPr>
        <w:t>Ú. v. EÚ L 331, 15.12.2010),</w:t>
      </w:r>
    </w:p>
    <w:p w:rsidR="00ED2781" w:rsidRPr="00ED2781" w:rsidP="00ED2781">
      <w:pPr>
        <w:autoSpaceDE w:val="0"/>
        <w:autoSpaceDN w:val="0"/>
        <w:bidi w:val="0"/>
        <w:spacing w:after="120"/>
        <w:ind w:left="964" w:hanging="454"/>
        <w:jc w:val="both"/>
        <w:rPr>
          <w:rFonts w:ascii="Times New Roman" w:hAnsi="Times New Roman"/>
          <w:iCs/>
        </w:rPr>
      </w:pPr>
      <w:r w:rsidRPr="00ED2781">
        <w:rPr>
          <w:rFonts w:ascii="Times New Roman" w:hAnsi="Times New Roman"/>
          <w:iCs/>
        </w:rPr>
        <w:t xml:space="preserve">-    nariadenie </w:t>
      </w:r>
      <w:r w:rsidRPr="00ED2781">
        <w:rPr>
          <w:rFonts w:ascii="Times New Roman" w:hAnsi="Times New Roman"/>
        </w:rPr>
        <w:t xml:space="preserve">Európskeho parlamentu a Rady (EÚ) č. </w:t>
      </w:r>
      <w:r w:rsidRPr="00ED2781">
        <w:rPr>
          <w:rFonts w:ascii="Times New Roman" w:hAnsi="Times New Roman"/>
          <w:u w:val="single"/>
        </w:rPr>
        <w:t>1093/2010</w:t>
      </w:r>
      <w:r w:rsidRPr="00ED2781">
        <w:rPr>
          <w:rFonts w:ascii="Times New Roman" w:hAnsi="Times New Roman"/>
        </w:rPr>
        <w:t xml:space="preserve"> z  24. novembra 2010, ktorým sa zriaďuje Európsky orgán dohľadu (Európsky orgán pre bankovníctvo) a ktorým sa mení a dopĺňa rozhodnutie č. 716/2009/ES a zrušuje rozhodnutie Komisie 2009/78/ES (</w:t>
      </w:r>
      <w:r w:rsidRPr="00ED2781">
        <w:rPr>
          <w:rFonts w:ascii="Times New Roman" w:hAnsi="Times New Roman"/>
          <w:iCs/>
        </w:rPr>
        <w:t>Ú. v. EÚ L 331, 15.12.2010) v platnom znení,</w:t>
      </w:r>
    </w:p>
    <w:p w:rsidR="00ED2781" w:rsidRPr="00ED2781" w:rsidP="00ED2781">
      <w:pPr>
        <w:autoSpaceDE w:val="0"/>
        <w:autoSpaceDN w:val="0"/>
        <w:bidi w:val="0"/>
        <w:spacing w:after="120"/>
        <w:ind w:left="964" w:hanging="454"/>
        <w:jc w:val="both"/>
        <w:rPr>
          <w:rFonts w:ascii="Times New Roman" w:hAnsi="Times New Roman"/>
          <w:iCs/>
        </w:rPr>
      </w:pPr>
      <w:r w:rsidRPr="00ED2781">
        <w:rPr>
          <w:rFonts w:ascii="Times New Roman" w:hAnsi="Times New Roman"/>
          <w:iCs/>
        </w:rPr>
        <w:t xml:space="preserve">-    nariadenie </w:t>
      </w:r>
      <w:r w:rsidRPr="00ED2781">
        <w:rPr>
          <w:rFonts w:ascii="Times New Roman" w:hAnsi="Times New Roman"/>
        </w:rPr>
        <w:t xml:space="preserve">Európskeho parlamentu a Rady (EÚ) č. </w:t>
      </w:r>
      <w:r w:rsidRPr="00ED2781">
        <w:rPr>
          <w:rFonts w:ascii="Times New Roman" w:hAnsi="Times New Roman"/>
          <w:u w:val="single"/>
        </w:rPr>
        <w:t>1094/2010</w:t>
      </w:r>
      <w:r w:rsidRPr="00ED2781">
        <w:rPr>
          <w:rFonts w:ascii="Times New Roman" w:hAnsi="Times New Roman"/>
        </w:rPr>
        <w:t xml:space="preserve"> z  24. novembra 2010, ktorým sa zriaďuje Európsky orgán dohľadu (Európsky orgán pre poisťovníctvo a dôchodkové poistenie zamestnancov), a ktorým sa mení a dopĺňa rozhodnutie č. 716/2009/ES a zrušuje rozhodnutie Komisie 2009/79/ES (</w:t>
      </w:r>
      <w:r w:rsidRPr="00ED2781">
        <w:rPr>
          <w:rFonts w:ascii="Times New Roman" w:hAnsi="Times New Roman"/>
          <w:iCs/>
        </w:rPr>
        <w:t>Ú. v. EÚ L 331, 15.12.2010) v platnom znení,</w:t>
      </w:r>
    </w:p>
    <w:p w:rsidR="00ED2781" w:rsidRPr="00ED2781" w:rsidP="00ED2781">
      <w:pPr>
        <w:autoSpaceDE w:val="0"/>
        <w:autoSpaceDN w:val="0"/>
        <w:bidi w:val="0"/>
        <w:spacing w:after="240"/>
        <w:ind w:left="964" w:hanging="454"/>
        <w:jc w:val="both"/>
        <w:rPr>
          <w:rFonts w:ascii="Times New Roman" w:hAnsi="Times New Roman"/>
          <w:iCs/>
        </w:rPr>
      </w:pPr>
      <w:r w:rsidRPr="00ED2781">
        <w:rPr>
          <w:rFonts w:ascii="Times New Roman" w:hAnsi="Times New Roman"/>
          <w:iCs/>
        </w:rPr>
        <w:t xml:space="preserve">-    nariadenie </w:t>
      </w:r>
      <w:r w:rsidRPr="00ED2781">
        <w:rPr>
          <w:rFonts w:ascii="Times New Roman" w:hAnsi="Times New Roman"/>
          <w:bCs/>
        </w:rPr>
        <w:t xml:space="preserve">Európskeho parlamentu a Rady (EÚ) č. </w:t>
      </w:r>
      <w:r w:rsidRPr="00ED2781">
        <w:rPr>
          <w:rFonts w:ascii="Times New Roman" w:hAnsi="Times New Roman"/>
          <w:bCs/>
          <w:u w:val="single"/>
        </w:rPr>
        <w:t>1095/2010</w:t>
      </w:r>
      <w:r w:rsidRPr="00ED2781">
        <w:rPr>
          <w:rFonts w:ascii="Times New Roman" w:hAnsi="Times New Roman"/>
          <w:bCs/>
        </w:rPr>
        <w:t xml:space="preserve"> z  24. novembra 2010, ktorým sa zriaďuje Európsky orgán dohľadu (Európsky orgán pre cenné papiere a trhy) a ktorým sa mení a dopĺňa rozhodnutie č. 716/2009/ES a zrušuje rozhodnutie Komisie 2009/77/ES (</w:t>
      </w:r>
      <w:r w:rsidRPr="00ED2781">
        <w:rPr>
          <w:rFonts w:ascii="Times New Roman" w:hAnsi="Times New Roman"/>
          <w:iCs/>
        </w:rPr>
        <w:t>Ú. v. EÚ L 331, 15.12.2010) v platnom znení.</w:t>
      </w:r>
    </w:p>
    <w:p w:rsidR="00ED2781" w:rsidRPr="00ED2781" w:rsidP="00866CE0">
      <w:pPr>
        <w:numPr>
          <w:numId w:val="15"/>
        </w:numPr>
        <w:autoSpaceDE w:val="0"/>
        <w:autoSpaceDN w:val="0"/>
        <w:bidi w:val="0"/>
        <w:adjustRightInd w:val="0"/>
        <w:spacing w:before="120" w:after="120"/>
        <w:ind w:left="850" w:hanging="283"/>
        <w:jc w:val="both"/>
        <w:rPr>
          <w:rFonts w:ascii="Times New Roman" w:hAnsi="Times New Roman"/>
          <w:bCs/>
          <w:iCs/>
          <w:u w:val="single"/>
        </w:rPr>
      </w:pPr>
      <w:r w:rsidRPr="00ED2781">
        <w:rPr>
          <w:rFonts w:ascii="Times New Roman" w:hAnsi="Times New Roman"/>
          <w:bCs/>
          <w:iCs/>
          <w:u w:val="single"/>
        </w:rPr>
        <w:t>nelegislatívne akty:</w:t>
      </w:r>
    </w:p>
    <w:p w:rsidR="00ED2781" w:rsidRPr="00ED2781" w:rsidP="00866CE0">
      <w:pPr>
        <w:numPr>
          <w:numId w:val="14"/>
        </w:numPr>
        <w:autoSpaceDE w:val="0"/>
        <w:autoSpaceDN w:val="0"/>
        <w:bidi w:val="0"/>
        <w:spacing w:after="240"/>
        <w:ind w:left="993" w:hanging="483"/>
        <w:jc w:val="both"/>
        <w:rPr>
          <w:rFonts w:ascii="Times New Roman" w:hAnsi="Times New Roman"/>
          <w:iCs/>
        </w:rPr>
      </w:pPr>
      <w:r w:rsidRPr="00ED2781">
        <w:rPr>
          <w:rFonts w:ascii="Times New Roman" w:hAnsi="Times New Roman"/>
          <w:bCs/>
          <w:iCs/>
        </w:rPr>
        <w:t xml:space="preserve">      usmernenie Európskej centrálnej banky z  20. septembra 2011 o nástrojoch a postupoch menovej politiky Eurosystému (</w:t>
      </w:r>
      <w:r w:rsidRPr="00ED2781">
        <w:rPr>
          <w:rFonts w:ascii="Times New Roman" w:hAnsi="Times New Roman"/>
          <w:bCs/>
          <w:iCs/>
          <w:u w:val="single"/>
        </w:rPr>
        <w:t>ECB/2011/14</w:t>
      </w:r>
      <w:r w:rsidRPr="00ED2781">
        <w:rPr>
          <w:rFonts w:ascii="Times New Roman" w:hAnsi="Times New Roman"/>
          <w:bCs/>
          <w:iCs/>
        </w:rPr>
        <w:t>) (2011/817/EÚ) (Ú. v. EÚ L 331, 14.12.2011)</w:t>
      </w:r>
      <w:r w:rsidRPr="00ED2781">
        <w:rPr>
          <w:rFonts w:ascii="Times New Roman" w:hAnsi="Times New Roman"/>
          <w:iCs/>
        </w:rPr>
        <w:t xml:space="preserve"> v platnom znení</w:t>
      </w:r>
      <w:r w:rsidRPr="00ED2781">
        <w:rPr>
          <w:rFonts w:ascii="Times New Roman" w:hAnsi="Times New Roman"/>
          <w:bCs/>
          <w:iCs/>
        </w:rPr>
        <w:t>.</w:t>
      </w:r>
    </w:p>
    <w:p w:rsidR="00ED2781" w:rsidRPr="00ED2781" w:rsidP="00ED2781">
      <w:pPr>
        <w:pStyle w:val="BodyTextIndent"/>
        <w:bidi w:val="0"/>
        <w:spacing w:after="120"/>
        <w:ind w:left="540"/>
        <w:rPr>
          <w:rFonts w:ascii="Times New Roman" w:hAnsi="Times New Roman"/>
          <w:b/>
          <w:bCs/>
          <w:i/>
          <w:iCs/>
        </w:rPr>
      </w:pPr>
      <w:r w:rsidRPr="00ED2781">
        <w:rPr>
          <w:rFonts w:ascii="Times New Roman" w:hAnsi="Times New Roman"/>
          <w:b/>
          <w:bCs/>
          <w:iCs/>
        </w:rPr>
        <w:t>Sekundárne právo</w:t>
      </w:r>
      <w:r w:rsidRPr="00ED2781">
        <w:rPr>
          <w:rFonts w:ascii="Times New Roman" w:hAnsi="Times New Roman"/>
          <w:b/>
          <w:bCs/>
          <w:i/>
          <w:iCs/>
        </w:rPr>
        <w:t xml:space="preserve"> </w:t>
      </w:r>
      <w:r w:rsidRPr="00ED2781">
        <w:rPr>
          <w:rFonts w:ascii="Times New Roman" w:hAnsi="Times New Roman"/>
        </w:rPr>
        <w:t>(prijaté pred nadobudnutím platnosti Lisabonskej zmluvy, ktorou sa mení a dopĺňa Zmluva o Európskej únii a Zmluva o založení Európskeho spoločenstva - do 30. novembra 2009):</w:t>
      </w:r>
    </w:p>
    <w:p w:rsidR="00ED2781" w:rsidRPr="00ED2781" w:rsidP="00ED2781">
      <w:pPr>
        <w:autoSpaceDE w:val="0"/>
        <w:autoSpaceDN w:val="0"/>
        <w:bidi w:val="0"/>
        <w:adjustRightInd w:val="0"/>
        <w:ind w:left="567" w:hanging="113"/>
        <w:rPr>
          <w:rFonts w:ascii="Times New Roman" w:hAnsi="Times New Roman"/>
          <w:b/>
          <w:bCs/>
          <w:iCs/>
        </w:rPr>
      </w:pPr>
    </w:p>
    <w:p w:rsidR="00ED2781" w:rsidRPr="00ED2781" w:rsidP="00866CE0">
      <w:pPr>
        <w:numPr>
          <w:numId w:val="3"/>
        </w:numPr>
        <w:tabs>
          <w:tab w:val="clear" w:pos="870"/>
          <w:tab w:val="num" w:pos="993"/>
        </w:tabs>
        <w:bidi w:val="0"/>
        <w:adjustRightInd w:val="0"/>
        <w:spacing w:after="120"/>
        <w:ind w:left="992" w:hanging="454"/>
        <w:jc w:val="both"/>
        <w:rPr>
          <w:rFonts w:ascii="Times New Roman" w:hAnsi="Times New Roman"/>
        </w:rPr>
      </w:pPr>
      <w:r w:rsidRPr="00ED2781">
        <w:rPr>
          <w:rFonts w:ascii="Times New Roman" w:hAnsi="Times New Roman"/>
        </w:rPr>
        <w:t xml:space="preserve">smernica Európskeho parlamentu a Rady </w:t>
      </w:r>
      <w:r w:rsidRPr="00ED2781">
        <w:rPr>
          <w:rFonts w:ascii="Times New Roman" w:hAnsi="Times New Roman"/>
          <w:u w:val="single"/>
        </w:rPr>
        <w:t>97/9/ES</w:t>
      </w:r>
      <w:r w:rsidRPr="00ED2781">
        <w:rPr>
          <w:rFonts w:ascii="Times New Roman" w:hAnsi="Times New Roman"/>
        </w:rPr>
        <w:t xml:space="preserve"> z 3. marca 1997 o systémoch náhrad pre investorov (Mimoriadne vydanie Ú. v. EÚ, kap.</w:t>
      </w:r>
      <w:r w:rsidRPr="00ED2781">
        <w:rPr>
          <w:rStyle w:val="Emphasis"/>
          <w:rFonts w:ascii="Times New Roman" w:hAnsi="Times New Roman"/>
          <w:i w:val="0"/>
        </w:rPr>
        <w:t>6/zv. 2)</w:t>
      </w:r>
      <w:r w:rsidRPr="00ED2781">
        <w:rPr>
          <w:rFonts w:ascii="Times New Roman" w:hAnsi="Times New Roman"/>
        </w:rPr>
        <w:t>,</w:t>
      </w:r>
    </w:p>
    <w:p w:rsidR="00ED2781" w:rsidRPr="00ED2781" w:rsidP="00866CE0">
      <w:pPr>
        <w:numPr>
          <w:numId w:val="3"/>
        </w:numPr>
        <w:tabs>
          <w:tab w:val="clear" w:pos="870"/>
          <w:tab w:val="num" w:pos="993"/>
        </w:tabs>
        <w:bidi w:val="0"/>
        <w:adjustRightInd w:val="0"/>
        <w:spacing w:after="120"/>
        <w:ind w:left="993" w:hanging="454"/>
        <w:jc w:val="both"/>
        <w:rPr>
          <w:rFonts w:ascii="Times New Roman" w:hAnsi="Times New Roman"/>
        </w:rPr>
      </w:pPr>
      <w:r w:rsidRPr="00ED2781">
        <w:rPr>
          <w:rFonts w:ascii="Times New Roman" w:hAnsi="Times New Roman"/>
        </w:rPr>
        <w:t xml:space="preserve">smernica Európskeho parlamentu a Rady </w:t>
      </w:r>
      <w:r w:rsidRPr="00ED2781">
        <w:rPr>
          <w:rFonts w:ascii="Times New Roman" w:hAnsi="Times New Roman"/>
          <w:u w:val="single"/>
        </w:rPr>
        <w:t>98/26/ES</w:t>
      </w:r>
      <w:r w:rsidRPr="00ED2781">
        <w:rPr>
          <w:rFonts w:ascii="Times New Roman" w:hAnsi="Times New Roman"/>
        </w:rPr>
        <w:t xml:space="preserve"> z  19. mája 1998 o konečnom zúčtovaní v platobných systémoch a zúčtovacích systémoch cenných papierov </w:t>
      </w:r>
      <w:r w:rsidRPr="00ED2781">
        <w:rPr>
          <w:rFonts w:ascii="Times New Roman" w:hAnsi="Times New Roman"/>
          <w:color w:val="000000"/>
        </w:rPr>
        <w:t>(</w:t>
      </w:r>
      <w:r w:rsidRPr="00ED2781">
        <w:rPr>
          <w:rFonts w:ascii="Times New Roman" w:hAnsi="Times New Roman"/>
        </w:rPr>
        <w:t xml:space="preserve">Mimoriadne vydanie </w:t>
      </w:r>
      <w:r w:rsidRPr="00ED2781">
        <w:rPr>
          <w:rFonts w:ascii="Times New Roman" w:hAnsi="Times New Roman"/>
          <w:color w:val="000000"/>
        </w:rPr>
        <w:t>Ú.v.</w:t>
      </w:r>
      <w:r w:rsidRPr="00ED2781">
        <w:rPr>
          <w:rFonts w:ascii="Times New Roman" w:hAnsi="Times New Roman"/>
          <w:i/>
          <w:iCs/>
          <w:color w:val="000000"/>
        </w:rPr>
        <w:t xml:space="preserve"> </w:t>
      </w:r>
      <w:r w:rsidRPr="00ED2781">
        <w:rPr>
          <w:rFonts w:ascii="Times New Roman" w:hAnsi="Times New Roman"/>
        </w:rPr>
        <w:t>EÚ, kap.  6/ zv. 3) v platnom znení,</w:t>
      </w:r>
    </w:p>
    <w:p w:rsidR="00ED2781" w:rsidRPr="00ED2781" w:rsidP="00866CE0">
      <w:pPr>
        <w:numPr>
          <w:numId w:val="3"/>
        </w:numPr>
        <w:tabs>
          <w:tab w:val="clear" w:pos="870"/>
          <w:tab w:val="num" w:pos="993"/>
        </w:tabs>
        <w:bidi w:val="0"/>
        <w:adjustRightInd w:val="0"/>
        <w:spacing w:after="120"/>
        <w:ind w:left="993" w:hanging="454"/>
        <w:jc w:val="both"/>
        <w:rPr>
          <w:rFonts w:ascii="Times New Roman" w:hAnsi="Times New Roman"/>
        </w:rPr>
      </w:pPr>
      <w:r w:rsidRPr="00ED2781">
        <w:rPr>
          <w:rFonts w:ascii="Times New Roman" w:hAnsi="Times New Roman"/>
        </w:rPr>
        <w:t xml:space="preserve">smernica Európskeho parlamentu a Rady </w:t>
      </w:r>
      <w:r w:rsidRPr="00ED2781">
        <w:rPr>
          <w:rFonts w:ascii="Times New Roman" w:hAnsi="Times New Roman"/>
          <w:u w:val="single"/>
        </w:rPr>
        <w:t>2001/34/ES</w:t>
      </w:r>
      <w:r w:rsidRPr="00ED2781">
        <w:rPr>
          <w:rFonts w:ascii="Times New Roman" w:hAnsi="Times New Roman"/>
        </w:rPr>
        <w:t xml:space="preserve"> z 28. mája 2001 o prijímaní cenných papierov  na kótovanie na burze cenných papierov a o informáciách, ktoré sa o týchto cenných papieroch musia zverejňovať (Mimoriadne vydanie Ú. v. EÚ, kap. </w:t>
      </w:r>
      <w:r w:rsidRPr="00ED2781">
        <w:rPr>
          <w:rStyle w:val="Emphasis"/>
          <w:rFonts w:ascii="Times New Roman" w:hAnsi="Times New Roman"/>
          <w:i w:val="0"/>
        </w:rPr>
        <w:t>6/zv. 4)</w:t>
      </w:r>
      <w:r w:rsidRPr="00ED2781">
        <w:rPr>
          <w:rFonts w:ascii="Times New Roman" w:hAnsi="Times New Roman"/>
        </w:rPr>
        <w:t xml:space="preserve"> v platnom znení,</w:t>
      </w:r>
    </w:p>
    <w:p w:rsidR="00ED2781" w:rsidRPr="00ED2781" w:rsidP="00866CE0">
      <w:pPr>
        <w:numPr>
          <w:numId w:val="4"/>
        </w:numPr>
        <w:tabs>
          <w:tab w:val="clear" w:pos="870"/>
          <w:tab w:val="num" w:pos="993"/>
        </w:tabs>
        <w:bidi w:val="0"/>
        <w:adjustRightInd w:val="0"/>
        <w:spacing w:after="120"/>
        <w:ind w:left="992" w:hanging="454"/>
        <w:jc w:val="both"/>
        <w:rPr>
          <w:rFonts w:ascii="Times New Roman" w:hAnsi="Times New Roman"/>
        </w:rPr>
      </w:pPr>
      <w:r w:rsidRPr="00ED2781">
        <w:rPr>
          <w:rFonts w:ascii="Times New Roman" w:hAnsi="Times New Roman"/>
          <w:bCs/>
        </w:rPr>
        <w:t xml:space="preserve">smernica Európskeho parlamentu a Rady </w:t>
      </w:r>
      <w:r w:rsidRPr="00ED2781">
        <w:rPr>
          <w:rFonts w:ascii="Times New Roman" w:hAnsi="Times New Roman"/>
          <w:bCs/>
          <w:u w:val="single"/>
        </w:rPr>
        <w:t>2002/47/ES</w:t>
      </w:r>
      <w:r w:rsidRPr="00ED2781">
        <w:rPr>
          <w:rFonts w:ascii="Times New Roman" w:hAnsi="Times New Roman"/>
          <w:bCs/>
        </w:rPr>
        <w:t xml:space="preserve"> z 6. júna 2002 </w:t>
      </w:r>
      <w:r w:rsidRPr="00ED2781">
        <w:rPr>
          <w:rFonts w:ascii="Times New Roman" w:hAnsi="Times New Roman"/>
        </w:rPr>
        <w:t xml:space="preserve">o dohodách o finančných zárukách </w:t>
      </w:r>
      <w:r w:rsidRPr="00ED2781">
        <w:rPr>
          <w:rFonts w:ascii="Times New Roman" w:hAnsi="Times New Roman"/>
          <w:color w:val="000000"/>
        </w:rPr>
        <w:t>(</w:t>
      </w:r>
      <w:r w:rsidRPr="00ED2781">
        <w:rPr>
          <w:rFonts w:ascii="Times New Roman" w:hAnsi="Times New Roman"/>
        </w:rPr>
        <w:t xml:space="preserve">Mimoriadne vydanie </w:t>
      </w:r>
      <w:r w:rsidRPr="00ED2781">
        <w:rPr>
          <w:rFonts w:ascii="Times New Roman" w:hAnsi="Times New Roman"/>
          <w:color w:val="000000"/>
        </w:rPr>
        <w:t>Ú.v.</w:t>
      </w:r>
      <w:r w:rsidRPr="00ED2781">
        <w:rPr>
          <w:rFonts w:ascii="Times New Roman" w:hAnsi="Times New Roman"/>
          <w:i/>
          <w:iCs/>
          <w:color w:val="000000"/>
        </w:rPr>
        <w:t xml:space="preserve"> </w:t>
      </w:r>
      <w:r w:rsidRPr="00ED2781">
        <w:rPr>
          <w:rFonts w:ascii="Times New Roman" w:hAnsi="Times New Roman"/>
        </w:rPr>
        <w:t>EÚ, kap. 10/ zv. 3) v platnom znení,</w:t>
      </w:r>
    </w:p>
    <w:p w:rsidR="00ED2781" w:rsidRPr="00ED2781" w:rsidP="00866CE0">
      <w:pPr>
        <w:numPr>
          <w:numId w:val="4"/>
        </w:numPr>
        <w:tabs>
          <w:tab w:val="clear" w:pos="870"/>
          <w:tab w:val="num" w:pos="993"/>
        </w:tabs>
        <w:bidi w:val="0"/>
        <w:adjustRightInd w:val="0"/>
        <w:spacing w:after="120"/>
        <w:ind w:left="993" w:hanging="454"/>
        <w:jc w:val="both"/>
        <w:rPr>
          <w:rFonts w:ascii="Times New Roman" w:hAnsi="Times New Roman"/>
        </w:rPr>
      </w:pPr>
      <w:r w:rsidRPr="00ED2781">
        <w:rPr>
          <w:rFonts w:ascii="Times New Roman" w:hAnsi="Times New Roman"/>
        </w:rPr>
        <w:t xml:space="preserve">smernica Európskeho parlamentu a Rady </w:t>
      </w:r>
      <w:r w:rsidRPr="00ED2781">
        <w:rPr>
          <w:rFonts w:ascii="Times New Roman" w:hAnsi="Times New Roman"/>
          <w:u w:val="single"/>
        </w:rPr>
        <w:t>2002/87/ES</w:t>
      </w:r>
      <w:r w:rsidRPr="00ED2781">
        <w:rPr>
          <w:rFonts w:ascii="Times New Roman" w:hAnsi="Times New Roman"/>
        </w:rPr>
        <w:t xml:space="preserve"> zo 16. decembra 2002 o doplnkovom dohľade nad úverovými inštitúciami, poisťovňami a investičnými spoločnosťami vo finančnom konglomeráte, ktorou sa menia a dopĺňajú smernice Rady 73/239/EHS, 79/267/EHS, 92/49/EHS, 92/96/EHS, 93/6/EHS a 93/22/EHS a smernice Európskeho parlamentu a Rady 98/78/ES a 2000/12/ES (Mimoriadne vydanie Ú. v. EÚ, kap.</w:t>
      </w:r>
      <w:r w:rsidRPr="00ED2781">
        <w:rPr>
          <w:rStyle w:val="Emphasis"/>
          <w:rFonts w:ascii="Times New Roman" w:hAnsi="Times New Roman"/>
          <w:i w:val="0"/>
        </w:rPr>
        <w:t>6/zv. 4)</w:t>
      </w:r>
      <w:r w:rsidRPr="00ED2781">
        <w:rPr>
          <w:rFonts w:ascii="Times New Roman" w:hAnsi="Times New Roman"/>
        </w:rPr>
        <w:t xml:space="preserve"> v platnom znení,</w:t>
      </w:r>
    </w:p>
    <w:p w:rsidR="00ED2781" w:rsidRPr="00ED2781" w:rsidP="00866CE0">
      <w:pPr>
        <w:numPr>
          <w:numId w:val="4"/>
        </w:numPr>
        <w:tabs>
          <w:tab w:val="clear" w:pos="870"/>
          <w:tab w:val="num" w:pos="993"/>
        </w:tabs>
        <w:bidi w:val="0"/>
        <w:adjustRightInd w:val="0"/>
        <w:spacing w:after="120"/>
        <w:ind w:left="993" w:hanging="454"/>
        <w:jc w:val="both"/>
        <w:rPr>
          <w:rFonts w:ascii="Times New Roman" w:hAnsi="Times New Roman"/>
        </w:rPr>
      </w:pPr>
      <w:r w:rsidRPr="00ED2781">
        <w:rPr>
          <w:rFonts w:ascii="Times New Roman" w:hAnsi="Times New Roman"/>
        </w:rPr>
        <w:t xml:space="preserve">smernica Európskeho parlamentu a Rady </w:t>
      </w:r>
      <w:r w:rsidRPr="00ED2781">
        <w:rPr>
          <w:rFonts w:ascii="Times New Roman" w:hAnsi="Times New Roman"/>
          <w:u w:val="single"/>
        </w:rPr>
        <w:t>2003/6/ES</w:t>
      </w:r>
      <w:r w:rsidRPr="00ED2781">
        <w:rPr>
          <w:rFonts w:ascii="Times New Roman" w:hAnsi="Times New Roman"/>
        </w:rPr>
        <w:t xml:space="preserve"> z 28. januára 2003 o obchodovaní s využitím dôverných informácií a o manipulácii s trhom (zneužívanie trhu) (Mimoriadne vydanie Ú. v. EÚ, kap.</w:t>
      </w:r>
      <w:r w:rsidRPr="00ED2781">
        <w:rPr>
          <w:rStyle w:val="Emphasis"/>
          <w:rFonts w:ascii="Times New Roman" w:hAnsi="Times New Roman"/>
          <w:i w:val="0"/>
        </w:rPr>
        <w:t>6/zv. 4)</w:t>
      </w:r>
      <w:r w:rsidRPr="00ED2781">
        <w:rPr>
          <w:rFonts w:ascii="Times New Roman" w:hAnsi="Times New Roman"/>
        </w:rPr>
        <w:t xml:space="preserve"> v platnom znení,</w:t>
      </w:r>
    </w:p>
    <w:p w:rsidR="00ED2781" w:rsidRPr="00ED2781" w:rsidP="00866CE0">
      <w:pPr>
        <w:numPr>
          <w:numId w:val="4"/>
        </w:numPr>
        <w:tabs>
          <w:tab w:val="clear" w:pos="870"/>
          <w:tab w:val="num" w:pos="993"/>
        </w:tabs>
        <w:bidi w:val="0"/>
        <w:adjustRightInd w:val="0"/>
        <w:spacing w:after="120"/>
        <w:ind w:left="992" w:hanging="454"/>
        <w:jc w:val="both"/>
        <w:rPr>
          <w:rFonts w:ascii="Times New Roman" w:hAnsi="Times New Roman"/>
        </w:rPr>
      </w:pPr>
      <w:r w:rsidRPr="00ED2781">
        <w:rPr>
          <w:rFonts w:ascii="Times New Roman" w:hAnsi="Times New Roman"/>
        </w:rPr>
        <w:t xml:space="preserve">smernica Európskeho parlamentu a Rady </w:t>
      </w:r>
      <w:r w:rsidRPr="00ED2781">
        <w:rPr>
          <w:rFonts w:ascii="Times New Roman" w:hAnsi="Times New Roman"/>
          <w:u w:val="single"/>
        </w:rPr>
        <w:t>2003/71/ES</w:t>
      </w:r>
      <w:r w:rsidRPr="00ED2781">
        <w:rPr>
          <w:rFonts w:ascii="Times New Roman" w:hAnsi="Times New Roman"/>
        </w:rPr>
        <w:t xml:space="preserve"> zo 4. novembra 2003 o prospekte, ktorý sa zverejňuje pri verejnej ponuke cenných papierov alebo ich prijatí na obchodovanie, a o zmene a doplnení smernice 2001/34/ES (Mimoriadne vydanie Ú. v. EÚ, kap.</w:t>
      </w:r>
      <w:r w:rsidRPr="00ED2781">
        <w:rPr>
          <w:rStyle w:val="Emphasis"/>
          <w:rFonts w:ascii="Times New Roman" w:hAnsi="Times New Roman"/>
          <w:i w:val="0"/>
        </w:rPr>
        <w:t>6/zv. 6)</w:t>
      </w:r>
      <w:r w:rsidRPr="00ED2781">
        <w:rPr>
          <w:rFonts w:ascii="Times New Roman" w:hAnsi="Times New Roman"/>
        </w:rPr>
        <w:t xml:space="preserve"> v platnom znení,</w:t>
      </w:r>
    </w:p>
    <w:p w:rsidR="00ED2781" w:rsidRPr="00ED2781" w:rsidP="00866CE0">
      <w:pPr>
        <w:numPr>
          <w:numId w:val="4"/>
        </w:numPr>
        <w:tabs>
          <w:tab w:val="clear" w:pos="870"/>
          <w:tab w:val="num" w:pos="993"/>
        </w:tabs>
        <w:bidi w:val="0"/>
        <w:adjustRightInd w:val="0"/>
        <w:spacing w:after="120"/>
        <w:ind w:left="992" w:hanging="454"/>
        <w:jc w:val="both"/>
        <w:rPr>
          <w:rFonts w:ascii="Times New Roman" w:hAnsi="Times New Roman"/>
        </w:rPr>
      </w:pPr>
      <w:r w:rsidRPr="00ED2781">
        <w:rPr>
          <w:rFonts w:ascii="Times New Roman" w:hAnsi="Times New Roman"/>
        </w:rPr>
        <w:t xml:space="preserve">smernica Komisie </w:t>
      </w:r>
      <w:r w:rsidRPr="00ED2781">
        <w:rPr>
          <w:rFonts w:ascii="Times New Roman" w:hAnsi="Times New Roman"/>
          <w:u w:val="single"/>
        </w:rPr>
        <w:t>2003/124/ES</w:t>
      </w:r>
      <w:r w:rsidRPr="00ED2781">
        <w:rPr>
          <w:rFonts w:ascii="Times New Roman" w:hAnsi="Times New Roman"/>
        </w:rPr>
        <w:t xml:space="preserve"> z 22. decembra 2003, ktorou sa vykonáva smernica Európskeho parlamentu a Rady 2003/6/ES, pokiaľ ide o vymedzenie a zverejňovanie dôverných informácií a vymedzenie manipulácie s trhom (Mimoriadne vydanie Ú. v. EÚ, kap.</w:t>
      </w:r>
      <w:r w:rsidRPr="00ED2781">
        <w:rPr>
          <w:rStyle w:val="Emphasis"/>
          <w:rFonts w:ascii="Times New Roman" w:hAnsi="Times New Roman"/>
          <w:i w:val="0"/>
        </w:rPr>
        <w:t>6/zv. 6)</w:t>
      </w:r>
      <w:r w:rsidRPr="00ED2781">
        <w:rPr>
          <w:rFonts w:ascii="Times New Roman" w:hAnsi="Times New Roman"/>
        </w:rPr>
        <w:t>,</w:t>
      </w:r>
    </w:p>
    <w:p w:rsidR="00ED2781" w:rsidRPr="00ED2781" w:rsidP="00866CE0">
      <w:pPr>
        <w:numPr>
          <w:numId w:val="4"/>
        </w:numPr>
        <w:tabs>
          <w:tab w:val="clear" w:pos="870"/>
          <w:tab w:val="num" w:pos="993"/>
        </w:tabs>
        <w:bidi w:val="0"/>
        <w:adjustRightInd w:val="0"/>
        <w:spacing w:after="120"/>
        <w:ind w:left="992" w:hanging="454"/>
        <w:jc w:val="both"/>
        <w:rPr>
          <w:rFonts w:ascii="Times New Roman" w:hAnsi="Times New Roman"/>
        </w:rPr>
      </w:pPr>
      <w:r w:rsidRPr="00ED2781">
        <w:rPr>
          <w:rFonts w:ascii="Times New Roman" w:hAnsi="Times New Roman"/>
        </w:rPr>
        <w:t xml:space="preserve">smernica Komisie </w:t>
      </w:r>
      <w:r w:rsidRPr="00ED2781">
        <w:rPr>
          <w:rFonts w:ascii="Times New Roman" w:hAnsi="Times New Roman"/>
          <w:u w:val="single"/>
        </w:rPr>
        <w:t>2003/125/ES</w:t>
      </w:r>
      <w:r w:rsidRPr="00ED2781">
        <w:rPr>
          <w:rFonts w:ascii="Times New Roman" w:hAnsi="Times New Roman"/>
        </w:rPr>
        <w:t xml:space="preserve"> z 22. decembra 2003, ktorou sa vykonáva smernica Európskeho parlamentu a Rady 2003/6/ES, pokiaľ ide o správne poskytovanie investičných odporúčaní a zverejňovanie konfliktu záujmov (Mimoriadne vydanie Ú. v. EÚ, kap.</w:t>
      </w:r>
      <w:r w:rsidRPr="00ED2781">
        <w:rPr>
          <w:rStyle w:val="Emphasis"/>
          <w:rFonts w:ascii="Times New Roman" w:hAnsi="Times New Roman"/>
          <w:i w:val="0"/>
        </w:rPr>
        <w:t>6/zv. 6)</w:t>
      </w:r>
      <w:r w:rsidRPr="00ED2781">
        <w:rPr>
          <w:rFonts w:ascii="Times New Roman" w:hAnsi="Times New Roman"/>
        </w:rPr>
        <w:t>,</w:t>
      </w:r>
    </w:p>
    <w:p w:rsidR="00ED2781" w:rsidRPr="00ED2781" w:rsidP="00866CE0">
      <w:pPr>
        <w:pStyle w:val="BodyTextIndent"/>
        <w:numPr>
          <w:numId w:val="6"/>
        </w:numPr>
        <w:tabs>
          <w:tab w:val="clear" w:pos="856"/>
          <w:tab w:val="num" w:pos="993"/>
        </w:tabs>
        <w:bidi w:val="0"/>
        <w:spacing w:before="0" w:after="120" w:line="240" w:lineRule="auto"/>
        <w:ind w:left="992" w:hanging="454"/>
        <w:rPr>
          <w:rFonts w:ascii="Times New Roman" w:hAnsi="Times New Roman"/>
        </w:rPr>
      </w:pPr>
      <w:r w:rsidRPr="00ED2781">
        <w:rPr>
          <w:rFonts w:ascii="Times New Roman" w:hAnsi="Times New Roman"/>
        </w:rPr>
        <w:t xml:space="preserve">smernica Európskeho parlamentu a Rady </w:t>
      </w:r>
      <w:r w:rsidRPr="00ED2781">
        <w:rPr>
          <w:rFonts w:ascii="Times New Roman" w:hAnsi="Times New Roman"/>
          <w:u w:val="single"/>
        </w:rPr>
        <w:t>2004/25/ES</w:t>
      </w:r>
      <w:r w:rsidRPr="00ED2781">
        <w:rPr>
          <w:rFonts w:ascii="Times New Roman" w:hAnsi="Times New Roman"/>
        </w:rPr>
        <w:t xml:space="preserve"> z 21. apríla 2004 o ponukách na prevzatie (Mimoriadne vydanie Ú. v. EÚ, kap.</w:t>
      </w:r>
      <w:r w:rsidRPr="00ED2781">
        <w:rPr>
          <w:rStyle w:val="Emphasis"/>
          <w:rFonts w:ascii="Times New Roman" w:hAnsi="Times New Roman"/>
          <w:i w:val="0"/>
        </w:rPr>
        <w:t>17/zv. 2)</w:t>
      </w:r>
      <w:r w:rsidRPr="00ED2781">
        <w:rPr>
          <w:rFonts w:ascii="Times New Roman" w:hAnsi="Times New Roman"/>
        </w:rPr>
        <w:t xml:space="preserve"> v platnom znení,</w:t>
      </w:r>
    </w:p>
    <w:p w:rsidR="00ED2781" w:rsidRPr="00ED2781" w:rsidP="00866CE0">
      <w:pPr>
        <w:pStyle w:val="BodyTextIndent"/>
        <w:numPr>
          <w:numId w:val="7"/>
        </w:numPr>
        <w:tabs>
          <w:tab w:val="clear" w:pos="856"/>
          <w:tab w:val="num" w:pos="993"/>
        </w:tabs>
        <w:bidi w:val="0"/>
        <w:spacing w:before="0" w:after="120" w:line="240" w:lineRule="auto"/>
        <w:ind w:left="992" w:hanging="482"/>
        <w:rPr>
          <w:rFonts w:ascii="Times New Roman" w:hAnsi="Times New Roman"/>
        </w:rPr>
      </w:pPr>
      <w:r w:rsidRPr="00ED2781">
        <w:rPr>
          <w:rFonts w:ascii="Times New Roman" w:hAnsi="Times New Roman"/>
        </w:rPr>
        <w:t xml:space="preserve">smernica Európskeho parlamentu a Rady </w:t>
      </w:r>
      <w:r w:rsidRPr="00ED2781">
        <w:rPr>
          <w:rFonts w:ascii="Times New Roman" w:hAnsi="Times New Roman"/>
          <w:u w:val="single"/>
        </w:rPr>
        <w:t>2004/39/ES</w:t>
      </w:r>
      <w:r w:rsidRPr="00ED2781">
        <w:rPr>
          <w:rFonts w:ascii="Times New Roman" w:hAnsi="Times New Roman"/>
        </w:rPr>
        <w:t xml:space="preserve"> z 21. apríla 2004 o trhoch s finančnými nástrojmi, o zmene a doplnení smerníc Rady 85/611/EHS a 93/6/EHS a smernice Európskeho parlamentu a Rady 2000/12/ES a o zrušení smernice Rady 93/22/EHS (Mimoriadne vydanie Ú. v. EÚ, kap.</w:t>
      </w:r>
      <w:r w:rsidRPr="00ED2781">
        <w:rPr>
          <w:rStyle w:val="Emphasis"/>
          <w:rFonts w:ascii="Times New Roman" w:hAnsi="Times New Roman"/>
          <w:i w:val="0"/>
        </w:rPr>
        <w:t>6/zv. 7)</w:t>
      </w:r>
      <w:r w:rsidRPr="00ED2781">
        <w:rPr>
          <w:rFonts w:ascii="Times New Roman" w:hAnsi="Times New Roman"/>
        </w:rPr>
        <w:t xml:space="preserve"> v platnom znení</w:t>
      </w:r>
      <w:r w:rsidRPr="00ED2781">
        <w:rPr>
          <w:rFonts w:ascii="Times New Roman" w:hAnsi="Times New Roman"/>
          <w:iCs/>
        </w:rPr>
        <w:t>,</w:t>
      </w:r>
    </w:p>
    <w:p w:rsidR="00ED2781" w:rsidRPr="00ED2781" w:rsidP="00866CE0">
      <w:pPr>
        <w:pStyle w:val="BodyTextIndent"/>
        <w:numPr>
          <w:numId w:val="8"/>
        </w:numPr>
        <w:tabs>
          <w:tab w:val="clear" w:pos="856"/>
          <w:tab w:val="num" w:pos="993"/>
        </w:tabs>
        <w:bidi w:val="0"/>
        <w:spacing w:before="0" w:after="120" w:line="240" w:lineRule="auto"/>
        <w:ind w:left="992" w:hanging="482"/>
        <w:rPr>
          <w:rFonts w:ascii="Times New Roman" w:hAnsi="Times New Roman"/>
        </w:rPr>
      </w:pPr>
      <w:r w:rsidRPr="00ED2781">
        <w:rPr>
          <w:rFonts w:ascii="Times New Roman" w:hAnsi="Times New Roman"/>
          <w:iCs/>
        </w:rPr>
        <w:t xml:space="preserve">smernica Komisie </w:t>
      </w:r>
      <w:r w:rsidRPr="00ED2781">
        <w:rPr>
          <w:rFonts w:ascii="Times New Roman" w:hAnsi="Times New Roman"/>
          <w:u w:val="single"/>
        </w:rPr>
        <w:t>2004/72/ES</w:t>
      </w:r>
      <w:r w:rsidRPr="00ED2781">
        <w:rPr>
          <w:rFonts w:ascii="Times New Roman" w:hAnsi="Times New Roman"/>
        </w:rPr>
        <w:t xml:space="preserve"> z 29. apríla 2004, ktorou sa vykonáva smernica Európskeho parlamentu a Rady 2003/6/ES, pokiaľ ide o prijatú trhovú prax, vymedzenie dôvernej informácie vo vzťahu k derivátom komodít, vypracovanie zoznamov zasvätených osôb, oznamovanie operácií manažérov a ohlasovanie podozrivých operácií (Mimoriadne vydanie Ú. v. EÚ, kap.</w:t>
      </w:r>
      <w:r w:rsidRPr="00ED2781">
        <w:rPr>
          <w:rStyle w:val="Emphasis"/>
          <w:rFonts w:ascii="Times New Roman" w:hAnsi="Times New Roman"/>
          <w:i w:val="0"/>
        </w:rPr>
        <w:t>6/zv. 7)</w:t>
      </w:r>
      <w:r w:rsidRPr="00ED2781">
        <w:rPr>
          <w:rFonts w:ascii="Times New Roman" w:hAnsi="Times New Roman"/>
          <w:iCs/>
        </w:rPr>
        <w:t>,</w:t>
      </w:r>
    </w:p>
    <w:p w:rsidR="00ED2781" w:rsidRPr="00ED2781" w:rsidP="00866CE0">
      <w:pPr>
        <w:pStyle w:val="BodyTextIndent"/>
        <w:numPr>
          <w:numId w:val="9"/>
        </w:numPr>
        <w:tabs>
          <w:tab w:val="clear" w:pos="856"/>
          <w:tab w:val="num" w:pos="993"/>
        </w:tabs>
        <w:bidi w:val="0"/>
        <w:spacing w:before="0" w:after="120" w:line="240" w:lineRule="auto"/>
        <w:ind w:left="992" w:hanging="482"/>
        <w:rPr>
          <w:rFonts w:ascii="Times New Roman" w:hAnsi="Times New Roman"/>
        </w:rPr>
      </w:pPr>
      <w:r w:rsidRPr="00ED2781">
        <w:rPr>
          <w:rFonts w:ascii="Times New Roman" w:hAnsi="Times New Roman"/>
        </w:rPr>
        <w:t xml:space="preserve">smernica Európskeho parlamentu a Rady </w:t>
      </w:r>
      <w:r w:rsidRPr="00ED2781">
        <w:rPr>
          <w:rFonts w:ascii="Times New Roman" w:hAnsi="Times New Roman"/>
          <w:u w:val="single"/>
        </w:rPr>
        <w:t>2004/109/ES</w:t>
      </w:r>
      <w:r w:rsidRPr="00ED2781">
        <w:rPr>
          <w:rFonts w:ascii="Times New Roman" w:hAnsi="Times New Roman"/>
        </w:rPr>
        <w:t xml:space="preserve"> z 15. decembra 2004 o harmonizácii požiadaviek na transparentnosť v súvislosti s informáciami o emitentoch, ktorých cenné papiere sú prijaté na obchodovanie na regulovanom trhu, a ktorou sa mení a dopĺňa smernica 2001/34/ES (Ú. v. EÚ L 390, 31.12.2004) v platnom znení,</w:t>
      </w:r>
    </w:p>
    <w:p w:rsidR="00ED2781" w:rsidRPr="00ED2781" w:rsidP="00866CE0">
      <w:pPr>
        <w:pStyle w:val="BodyTextIndent"/>
        <w:numPr>
          <w:numId w:val="10"/>
        </w:numPr>
        <w:tabs>
          <w:tab w:val="clear" w:pos="856"/>
          <w:tab w:val="num" w:pos="993"/>
        </w:tabs>
        <w:bidi w:val="0"/>
        <w:spacing w:before="0" w:after="120" w:line="240" w:lineRule="auto"/>
        <w:ind w:left="992" w:hanging="482"/>
        <w:rPr>
          <w:rFonts w:ascii="Times New Roman" w:hAnsi="Times New Roman"/>
        </w:rPr>
      </w:pPr>
      <w:r w:rsidRPr="00ED2781">
        <w:rPr>
          <w:rFonts w:ascii="Times New Roman" w:hAnsi="Times New Roman"/>
        </w:rPr>
        <w:t xml:space="preserve">smernica Komisie </w:t>
      </w:r>
      <w:r w:rsidRPr="00ED2781">
        <w:rPr>
          <w:rFonts w:ascii="Times New Roman" w:hAnsi="Times New Roman"/>
          <w:u w:val="single"/>
        </w:rPr>
        <w:t>2006/73/ES</w:t>
      </w:r>
      <w:r w:rsidRPr="00ED2781">
        <w:rPr>
          <w:rFonts w:ascii="Times New Roman" w:hAnsi="Times New Roman"/>
        </w:rPr>
        <w:t xml:space="preserve"> z 10. augusta 2006, ktorou sa vykonáva smernica Európskeho parlamentu a Rady 2004/39/ES, pokiaľ ide o organizačné požiadavky a podmienky výkonu činnosti investičných spoločností, ako aj o vymedzené pojmy na účely uvedenej smernice (Ú. v. EÚ L 241, 2.9.2006),</w:t>
      </w:r>
    </w:p>
    <w:p w:rsidR="00ED2781" w:rsidRPr="00ED2781" w:rsidP="00866CE0">
      <w:pPr>
        <w:pStyle w:val="BodyTextIndent"/>
        <w:numPr>
          <w:numId w:val="10"/>
        </w:numPr>
        <w:tabs>
          <w:tab w:val="clear" w:pos="856"/>
          <w:tab w:val="num" w:pos="993"/>
        </w:tabs>
        <w:bidi w:val="0"/>
        <w:spacing w:before="0" w:after="120" w:line="240" w:lineRule="auto"/>
        <w:ind w:left="992" w:hanging="482"/>
        <w:rPr>
          <w:rStyle w:val="Emphasis"/>
          <w:rFonts w:ascii="Times New Roman" w:hAnsi="Times New Roman"/>
          <w:iCs w:val="0"/>
        </w:rPr>
      </w:pPr>
      <w:r w:rsidRPr="00ED2781">
        <w:rPr>
          <w:rStyle w:val="Emphasis"/>
          <w:rFonts w:ascii="Times New Roman" w:hAnsi="Times New Roman"/>
          <w:i w:val="0"/>
        </w:rPr>
        <w:t xml:space="preserve">smernica Európskeho parlamentu a Rady </w:t>
      </w:r>
      <w:r w:rsidRPr="00ED2781">
        <w:rPr>
          <w:rStyle w:val="Emphasis"/>
          <w:rFonts w:ascii="Times New Roman" w:hAnsi="Times New Roman"/>
          <w:i w:val="0"/>
          <w:u w:val="single"/>
        </w:rPr>
        <w:t>2007/36/ES</w:t>
      </w:r>
      <w:r w:rsidRPr="00ED2781">
        <w:rPr>
          <w:rStyle w:val="Emphasis"/>
          <w:rFonts w:ascii="Times New Roman" w:hAnsi="Times New Roman"/>
          <w:i w:val="0"/>
        </w:rPr>
        <w:t xml:space="preserve"> z 11. júla 2007 o výkone určitých práv akcionárov spoločností registrovaných na regulovanom trhu ( Ú.v. EÚ L 184, 14.7. 2007) v platnom znení, </w:t>
      </w:r>
    </w:p>
    <w:p w:rsidR="00ED2781" w:rsidRPr="00ED2781" w:rsidP="00866CE0">
      <w:pPr>
        <w:pStyle w:val="BodyTextIndent"/>
        <w:numPr>
          <w:numId w:val="10"/>
        </w:numPr>
        <w:tabs>
          <w:tab w:val="clear" w:pos="856"/>
          <w:tab w:val="num" w:pos="993"/>
        </w:tabs>
        <w:bidi w:val="0"/>
        <w:spacing w:before="0" w:after="120" w:line="240" w:lineRule="auto"/>
        <w:ind w:left="992" w:hanging="482"/>
        <w:rPr>
          <w:rStyle w:val="Emphasis"/>
          <w:rFonts w:ascii="Times New Roman" w:hAnsi="Times New Roman"/>
          <w:i w:val="0"/>
          <w:iCs w:val="0"/>
        </w:rPr>
      </w:pPr>
      <w:r w:rsidRPr="00ED2781">
        <w:rPr>
          <w:rFonts w:ascii="Times New Roman" w:hAnsi="Times New Roman"/>
        </w:rPr>
        <w:t xml:space="preserve">nariadenie Komisie (ES) č. </w:t>
      </w:r>
      <w:r w:rsidRPr="00ED2781">
        <w:rPr>
          <w:rFonts w:ascii="Times New Roman" w:hAnsi="Times New Roman"/>
          <w:u w:val="single"/>
        </w:rPr>
        <w:t>2273/2003</w:t>
      </w:r>
      <w:r w:rsidRPr="00ED2781">
        <w:rPr>
          <w:rFonts w:ascii="Times New Roman" w:hAnsi="Times New Roman"/>
        </w:rPr>
        <w:t xml:space="preserve"> z 22.decembra 2003, ktorou sa vykonáva smernica Európskeho parlamentu a Rady 2003/6/ES pokiaľ ide o výnimky pre programy spätného výkupu a stabilizácie finančných nástrojov (Mimoriadne vydanie Ú. v. EÚ, </w:t>
      </w:r>
      <w:r w:rsidRPr="00ED2781">
        <w:rPr>
          <w:rStyle w:val="Emphasis"/>
          <w:rFonts w:ascii="Times New Roman" w:hAnsi="Times New Roman"/>
          <w:i w:val="0"/>
        </w:rPr>
        <w:t>6/zv. 6)</w:t>
      </w:r>
      <w:r w:rsidRPr="00ED2781">
        <w:rPr>
          <w:rFonts w:ascii="Times New Roman" w:hAnsi="Times New Roman"/>
          <w:iCs/>
        </w:rPr>
        <w:t>,</w:t>
      </w:r>
    </w:p>
    <w:p w:rsidR="00ED2781" w:rsidRPr="00ED2781" w:rsidP="00866CE0">
      <w:pPr>
        <w:pStyle w:val="BodyTextIndent"/>
        <w:numPr>
          <w:numId w:val="10"/>
        </w:numPr>
        <w:tabs>
          <w:tab w:val="clear" w:pos="856"/>
          <w:tab w:val="num" w:pos="993"/>
        </w:tabs>
        <w:bidi w:val="0"/>
        <w:spacing w:before="0" w:after="120" w:line="240" w:lineRule="auto"/>
        <w:ind w:left="992" w:hanging="482"/>
        <w:rPr>
          <w:rFonts w:ascii="Times New Roman" w:hAnsi="Times New Roman"/>
          <w:i/>
        </w:rPr>
      </w:pPr>
      <w:r w:rsidRPr="00ED2781">
        <w:rPr>
          <w:rFonts w:ascii="Times New Roman" w:hAnsi="Times New Roman"/>
        </w:rPr>
        <w:t>nariadenie Komisie (ES) č. </w:t>
      </w:r>
      <w:r w:rsidRPr="00ED2781">
        <w:rPr>
          <w:rFonts w:ascii="Times New Roman" w:hAnsi="Times New Roman"/>
          <w:u w:val="single"/>
        </w:rPr>
        <w:t>809/2004</w:t>
      </w:r>
      <w:r w:rsidRPr="00ED2781">
        <w:rPr>
          <w:rFonts w:ascii="Times New Roman" w:hAnsi="Times New Roman"/>
        </w:rPr>
        <w:t xml:space="preserve"> z 29. apríla 2004, ktorým sa vykonáva smernica 2003/71/ES Európskeho parlamentu a Rady, pokiaľ ide o informácie obsiahnuté v prospekte, ako aj ich formát, uvádzanie odkazov a uverejnenie týchto prospektov a šírenie reklamy (Mimoriadne vydanie Ú. v. EÚ, kap.</w:t>
      </w:r>
      <w:r w:rsidRPr="00ED2781">
        <w:rPr>
          <w:rStyle w:val="Emphasis"/>
          <w:rFonts w:ascii="Times New Roman" w:hAnsi="Times New Roman"/>
          <w:i w:val="0"/>
        </w:rPr>
        <w:t>6/zv. 7)</w:t>
      </w:r>
      <w:r w:rsidRPr="00ED2781">
        <w:rPr>
          <w:rFonts w:ascii="Times New Roman" w:hAnsi="Times New Roman"/>
        </w:rPr>
        <w:t xml:space="preserve"> v platnom znení</w:t>
      </w:r>
      <w:r w:rsidRPr="00ED2781">
        <w:rPr>
          <w:rStyle w:val="Emphasis"/>
          <w:rFonts w:ascii="Times New Roman" w:hAnsi="Times New Roman"/>
          <w:i w:val="0"/>
        </w:rPr>
        <w:t>,</w:t>
      </w:r>
    </w:p>
    <w:p w:rsidR="00ED2781" w:rsidRPr="00ED2781" w:rsidP="00866CE0">
      <w:pPr>
        <w:pStyle w:val="BodyTextIndent"/>
        <w:numPr>
          <w:numId w:val="11"/>
        </w:numPr>
        <w:tabs>
          <w:tab w:val="clear" w:pos="856"/>
          <w:tab w:val="num" w:pos="993"/>
        </w:tabs>
        <w:bidi w:val="0"/>
        <w:spacing w:before="0" w:after="120" w:line="240" w:lineRule="auto"/>
        <w:ind w:left="992" w:hanging="482"/>
        <w:rPr>
          <w:rFonts w:ascii="Times New Roman" w:hAnsi="Times New Roman"/>
        </w:rPr>
      </w:pPr>
      <w:r w:rsidRPr="00ED2781">
        <w:rPr>
          <w:rStyle w:val="Strong"/>
          <w:rFonts w:ascii="Times New Roman" w:hAnsi="Times New Roman"/>
          <w:b w:val="0"/>
          <w:bCs w:val="0"/>
        </w:rPr>
        <w:t>nariadenie Komisie (ES) č</w:t>
      </w:r>
      <w:r w:rsidRPr="00ED2781">
        <w:rPr>
          <w:rStyle w:val="Strong"/>
          <w:rFonts w:ascii="Times New Roman" w:hAnsi="Times New Roman"/>
          <w:b w:val="0"/>
          <w:bCs w:val="0"/>
          <w:u w:val="single"/>
        </w:rPr>
        <w:t>. 1287/2006</w:t>
      </w:r>
      <w:r w:rsidRPr="00ED2781">
        <w:rPr>
          <w:rStyle w:val="Strong"/>
          <w:rFonts w:ascii="Times New Roman" w:hAnsi="Times New Roman"/>
          <w:b w:val="0"/>
          <w:bCs w:val="0"/>
        </w:rPr>
        <w:t xml:space="preserve"> z 10. augusta 2006, ktorým sa vykonáva smernica Európskeho parlamentu a Rady 2004/39/ES, pokiaľ ide o povinnosti pri vedení záznamov pre investičné spoločnosti, oznamovanie transakcií, priehľadnosť trhu, prijatie finančných nástrojov na obchodovanie a vymedzené pojmy na účely tejto smernice (Ú. v. EÚ L 241,</w:t>
      </w:r>
      <w:r w:rsidRPr="00ED2781">
        <w:rPr>
          <w:rFonts w:ascii="Times New Roman" w:hAnsi="Times New Roman"/>
        </w:rPr>
        <w:t xml:space="preserve"> 2.9.2006),</w:t>
      </w:r>
    </w:p>
    <w:p w:rsidR="00ED2781" w:rsidRPr="00ED2781" w:rsidP="00866CE0">
      <w:pPr>
        <w:pStyle w:val="BodyTextIndent"/>
        <w:numPr>
          <w:numId w:val="11"/>
        </w:numPr>
        <w:tabs>
          <w:tab w:val="clear" w:pos="856"/>
          <w:tab w:val="num" w:pos="993"/>
        </w:tabs>
        <w:bidi w:val="0"/>
        <w:spacing w:before="0" w:after="120" w:line="240" w:lineRule="auto"/>
        <w:ind w:left="992" w:hanging="482"/>
        <w:rPr>
          <w:rFonts w:ascii="Times New Roman" w:hAnsi="Times New Roman"/>
        </w:rPr>
      </w:pPr>
      <w:r w:rsidRPr="00ED2781">
        <w:rPr>
          <w:rFonts w:ascii="Times New Roman" w:hAnsi="Times New Roman"/>
        </w:rPr>
        <w:t xml:space="preserve">nariadenie Európskeho parlamentu a Rady (ES) č. </w:t>
      </w:r>
      <w:r w:rsidRPr="00ED2781">
        <w:rPr>
          <w:rFonts w:ascii="Times New Roman" w:hAnsi="Times New Roman"/>
          <w:u w:val="single"/>
        </w:rPr>
        <w:t>1060/2009</w:t>
      </w:r>
      <w:r w:rsidRPr="00ED2781">
        <w:rPr>
          <w:rFonts w:ascii="Times New Roman" w:hAnsi="Times New Roman"/>
        </w:rPr>
        <w:t xml:space="preserve"> zo 16. septembra 2009 o ratingových agentúrach (</w:t>
      </w:r>
      <w:r w:rsidRPr="00ED2781">
        <w:rPr>
          <w:rFonts w:ascii="Times New Roman" w:hAnsi="Times New Roman"/>
          <w:iCs/>
        </w:rPr>
        <w:t>Ú. v. EÚ L 302, 17.11.2009) v platnom znení.</w:t>
      </w:r>
    </w:p>
    <w:p w:rsidR="00ED2781" w:rsidRPr="00ED2781" w:rsidP="00866CE0">
      <w:pPr>
        <w:numPr>
          <w:ilvl w:val="1"/>
          <w:numId w:val="2"/>
        </w:numPr>
        <w:bidi w:val="0"/>
        <w:spacing w:after="120"/>
        <w:rPr>
          <w:rFonts w:ascii="Times New Roman" w:hAnsi="Times New Roman"/>
          <w:lang w:eastAsia="cs-CZ"/>
        </w:rPr>
      </w:pPr>
      <w:r w:rsidRPr="00ED2781">
        <w:rPr>
          <w:rFonts w:ascii="Times New Roman" w:hAnsi="Times New Roman"/>
          <w:lang w:eastAsia="cs-CZ"/>
        </w:rPr>
        <w:t>je obsiahnutá v judikatúre Súdneho dvora Európskej únie:</w:t>
      </w:r>
    </w:p>
    <w:p w:rsidR="00ED2781" w:rsidRPr="00ED2781" w:rsidP="00866CE0">
      <w:pPr>
        <w:pStyle w:val="BodyText"/>
        <w:widowControl/>
        <w:numPr>
          <w:numId w:val="12"/>
        </w:numPr>
        <w:bidi w:val="0"/>
        <w:spacing w:after="120"/>
        <w:jc w:val="both"/>
        <w:rPr>
          <w:rFonts w:ascii="Times New Roman" w:hAnsi="Times New Roman"/>
        </w:rPr>
      </w:pPr>
      <w:r w:rsidRPr="00ED2781">
        <w:rPr>
          <w:rFonts w:ascii="Times New Roman" w:hAnsi="Times New Roman"/>
        </w:rPr>
        <w:t xml:space="preserve">rozhodnutie Súdneho dvora vo veci C - </w:t>
      </w:r>
      <w:r w:rsidRPr="00ED2781">
        <w:rPr>
          <w:rFonts w:ascii="Times New Roman" w:hAnsi="Times New Roman"/>
          <w:lang w:val="et-EE"/>
        </w:rPr>
        <w:t>384/93</w:t>
      </w:r>
      <w:r w:rsidRPr="00ED2781">
        <w:rPr>
          <w:rFonts w:ascii="Times New Roman" w:hAnsi="Times New Roman"/>
        </w:rPr>
        <w:t>, Alpine Investments v. Minister van Financiën, [1995],</w:t>
      </w:r>
    </w:p>
    <w:p w:rsidR="00ED2781" w:rsidRPr="00ED2781" w:rsidP="00866CE0">
      <w:pPr>
        <w:pStyle w:val="BodyText"/>
        <w:widowControl/>
        <w:numPr>
          <w:numId w:val="12"/>
        </w:numPr>
        <w:bidi w:val="0"/>
        <w:spacing w:after="120"/>
        <w:jc w:val="both"/>
        <w:rPr>
          <w:rFonts w:ascii="Times New Roman" w:hAnsi="Times New Roman"/>
        </w:rPr>
      </w:pPr>
      <w:r w:rsidRPr="00ED2781">
        <w:rPr>
          <w:rFonts w:ascii="Times New Roman" w:hAnsi="Times New Roman"/>
        </w:rPr>
        <w:t xml:space="preserve">rozhodnutie Súdneho dvora vo veci C - </w:t>
      </w:r>
      <w:r w:rsidRPr="00ED2781">
        <w:rPr>
          <w:rFonts w:ascii="Times New Roman" w:hAnsi="Times New Roman"/>
          <w:lang w:val="et-EE"/>
        </w:rPr>
        <w:t>356/00</w:t>
      </w:r>
      <w:r w:rsidRPr="00ED2781">
        <w:rPr>
          <w:rFonts w:ascii="Times New Roman" w:hAnsi="Times New Roman"/>
        </w:rPr>
        <w:t xml:space="preserve">, </w:t>
      </w:r>
      <w:r w:rsidRPr="00ED2781">
        <w:rPr>
          <w:rFonts w:ascii="Times New Roman" w:hAnsi="Times New Roman"/>
          <w:bCs/>
        </w:rPr>
        <w:t>Antonio Testa, Lido Lazzeri v. Commissione Nazionale per le Società e la Borsa (Consob)</w:t>
      </w:r>
      <w:r w:rsidRPr="00ED2781">
        <w:rPr>
          <w:rFonts w:ascii="Times New Roman" w:hAnsi="Times New Roman"/>
        </w:rPr>
        <w:t>, [2002],</w:t>
      </w:r>
    </w:p>
    <w:p w:rsidR="00ED2781" w:rsidRPr="00ED2781" w:rsidP="00866CE0">
      <w:pPr>
        <w:pStyle w:val="BodyText"/>
        <w:widowControl/>
        <w:numPr>
          <w:numId w:val="12"/>
        </w:numPr>
        <w:bidi w:val="0"/>
        <w:spacing w:after="240"/>
        <w:jc w:val="both"/>
        <w:rPr>
          <w:rFonts w:ascii="Times New Roman" w:hAnsi="Times New Roman"/>
        </w:rPr>
      </w:pPr>
      <w:r w:rsidRPr="00ED2781">
        <w:rPr>
          <w:rFonts w:ascii="Times New Roman" w:hAnsi="Times New Roman"/>
        </w:rPr>
        <w:t>rozhodnutie Súdneho dvora vo veci C - 417/97, EK</w:t>
      </w:r>
      <w:r w:rsidRPr="00ED2781">
        <w:rPr>
          <w:rFonts w:ascii="Times New Roman" w:hAnsi="Times New Roman"/>
          <w:bCs/>
        </w:rPr>
        <w:t xml:space="preserve"> v. Luxemburské veľkovojvodstvo</w:t>
      </w:r>
      <w:r w:rsidRPr="00ED2781">
        <w:rPr>
          <w:rFonts w:ascii="Times New Roman" w:hAnsi="Times New Roman"/>
        </w:rPr>
        <w:t>, [1999].</w:t>
      </w:r>
    </w:p>
    <w:p w:rsidR="00ED2781" w:rsidRPr="00ED2781" w:rsidP="00866CE0">
      <w:pPr>
        <w:numPr>
          <w:numId w:val="2"/>
        </w:numPr>
        <w:bidi w:val="0"/>
        <w:spacing w:after="120"/>
        <w:jc w:val="both"/>
        <w:rPr>
          <w:rFonts w:ascii="Times New Roman" w:hAnsi="Times New Roman"/>
          <w:b/>
          <w:bCs/>
        </w:rPr>
      </w:pPr>
      <w:r w:rsidRPr="00ED2781">
        <w:rPr>
          <w:rFonts w:ascii="Times New Roman" w:hAnsi="Times New Roman"/>
          <w:b/>
          <w:bCs/>
        </w:rPr>
        <w:t>Záväzky Slovenskej republiky vo vzťahu k Európskej únii:</w:t>
      </w:r>
    </w:p>
    <w:p w:rsidR="00ED2781" w:rsidRPr="00ED2781" w:rsidP="00866CE0">
      <w:pPr>
        <w:numPr>
          <w:numId w:val="5"/>
        </w:numPr>
        <w:tabs>
          <w:tab w:val="left" w:pos="425"/>
          <w:tab w:val="clear" w:pos="720"/>
        </w:tabs>
        <w:bidi w:val="0"/>
        <w:spacing w:after="120"/>
        <w:ind w:left="425" w:hanging="425"/>
        <w:jc w:val="both"/>
        <w:rPr>
          <w:rFonts w:ascii="Times New Roman" w:hAnsi="Times New Roman"/>
          <w:lang w:eastAsia="cs-CZ"/>
        </w:rPr>
      </w:pPr>
      <w:r w:rsidRPr="00ED2781">
        <w:rPr>
          <w:rFonts w:ascii="Times New Roman" w:hAnsi="Times New Roman"/>
          <w:lang w:eastAsia="cs-CZ"/>
        </w:rPr>
        <w:t xml:space="preserve">Lehota na prebratie </w:t>
      </w:r>
      <w:r w:rsidRPr="00ED2781">
        <w:rPr>
          <w:rFonts w:ascii="Times New Roman" w:hAnsi="Times New Roman"/>
        </w:rPr>
        <w:t xml:space="preserve">smernice 2014/51/EÚ bola určená do 31.3. 2015. </w:t>
      </w:r>
      <w:r w:rsidRPr="00ED2781">
        <w:rPr>
          <w:rFonts w:ascii="Times New Roman" w:hAnsi="Times New Roman"/>
          <w:lang w:eastAsia="cs-CZ"/>
        </w:rPr>
        <w:t xml:space="preserve">Lehota na prebratie </w:t>
      </w:r>
      <w:r w:rsidRPr="00ED2781">
        <w:rPr>
          <w:rFonts w:ascii="Times New Roman" w:hAnsi="Times New Roman"/>
        </w:rPr>
        <w:t>smernice 2014/65/EÚ bola určená do 3.7. 2016.</w:t>
      </w:r>
    </w:p>
    <w:p w:rsidR="00ED2781" w:rsidRPr="00ED2781" w:rsidP="00866CE0">
      <w:pPr>
        <w:numPr>
          <w:numId w:val="5"/>
        </w:numPr>
        <w:tabs>
          <w:tab w:val="left" w:pos="425"/>
          <w:tab w:val="clear" w:pos="720"/>
        </w:tabs>
        <w:bidi w:val="0"/>
        <w:spacing w:after="120"/>
        <w:ind w:left="425" w:hanging="425"/>
        <w:jc w:val="both"/>
        <w:rPr>
          <w:rFonts w:ascii="Times New Roman" w:hAnsi="Times New Roman"/>
          <w:lang w:eastAsia="cs-CZ"/>
        </w:rPr>
      </w:pPr>
      <w:r w:rsidRPr="00ED2781">
        <w:rPr>
          <w:rFonts w:ascii="Times New Roman" w:hAnsi="Times New Roman"/>
        </w:rPr>
        <w:t>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2014/51/EÚ, bola stanovená do 15. 12. 2014.</w:t>
      </w:r>
    </w:p>
    <w:p w:rsidR="00ED2781" w:rsidRPr="00ED2781" w:rsidP="00ED2781">
      <w:pPr>
        <w:tabs>
          <w:tab w:val="left" w:pos="425"/>
        </w:tabs>
        <w:bidi w:val="0"/>
        <w:spacing w:after="120"/>
        <w:ind w:left="425"/>
        <w:jc w:val="both"/>
        <w:rPr>
          <w:rFonts w:ascii="Times New Roman" w:hAnsi="Times New Roman"/>
          <w:lang w:eastAsia="cs-CZ"/>
        </w:rPr>
      </w:pPr>
      <w:r w:rsidRPr="00ED2781">
        <w:rPr>
          <w:rFonts w:ascii="Times New Roman" w:hAnsi="Times New Roman"/>
        </w:rPr>
        <w:t>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2014/65/EÚ, bola stanovená do 15. 3. 2016.</w:t>
      </w:r>
    </w:p>
    <w:p w:rsidR="00ED2781" w:rsidRPr="00ED2781" w:rsidP="00866CE0">
      <w:pPr>
        <w:numPr>
          <w:numId w:val="5"/>
        </w:numPr>
        <w:tabs>
          <w:tab w:val="left" w:pos="425"/>
          <w:tab w:val="clear" w:pos="720"/>
        </w:tabs>
        <w:bidi w:val="0"/>
        <w:spacing w:after="120"/>
        <w:ind w:left="425" w:hanging="425"/>
        <w:jc w:val="both"/>
        <w:rPr>
          <w:rFonts w:ascii="Times New Roman" w:hAnsi="Times New Roman"/>
          <w:lang w:eastAsia="cs-CZ"/>
        </w:rPr>
      </w:pPr>
      <w:r w:rsidRPr="00ED2781">
        <w:rPr>
          <w:rFonts w:ascii="Times New Roman" w:hAnsi="Times New Roman"/>
          <w:lang w:eastAsia="cs-CZ"/>
        </w:rPr>
        <w:t>Proti SR nebolo začaté konanie o porušení Zmluvy o fungovaní Európskej únie podľa čl. 258 až 260.</w:t>
      </w:r>
    </w:p>
    <w:p w:rsidR="00ED2781" w:rsidRPr="00ED2781" w:rsidP="00866CE0">
      <w:pPr>
        <w:numPr>
          <w:numId w:val="5"/>
        </w:numPr>
        <w:tabs>
          <w:tab w:val="left" w:pos="425"/>
          <w:tab w:val="clear" w:pos="720"/>
        </w:tabs>
        <w:bidi w:val="0"/>
        <w:spacing w:after="240"/>
        <w:ind w:left="425" w:hanging="425"/>
        <w:jc w:val="both"/>
        <w:rPr>
          <w:rFonts w:ascii="Times New Roman" w:hAnsi="Times New Roman"/>
          <w:lang w:eastAsia="cs-CZ"/>
        </w:rPr>
      </w:pPr>
      <w:r w:rsidRPr="00ED2781">
        <w:rPr>
          <w:rFonts w:ascii="Times New Roman" w:hAnsi="Times New Roman"/>
          <w:lang w:eastAsia="cs-CZ"/>
        </w:rPr>
        <w:t xml:space="preserve">Smernica 2014/51/EÚ bude prebratá do zákona o poisťovníctve. </w:t>
      </w:r>
    </w:p>
    <w:p w:rsidR="00ED2781" w:rsidRPr="00ED2781" w:rsidP="00866CE0">
      <w:pPr>
        <w:numPr>
          <w:numId w:val="2"/>
        </w:numPr>
        <w:bidi w:val="0"/>
        <w:spacing w:after="120"/>
        <w:jc w:val="both"/>
        <w:rPr>
          <w:rFonts w:ascii="Times New Roman" w:hAnsi="Times New Roman"/>
          <w:b/>
          <w:bCs/>
        </w:rPr>
      </w:pPr>
      <w:r w:rsidRPr="00ED2781">
        <w:rPr>
          <w:rFonts w:ascii="Times New Roman" w:hAnsi="Times New Roman"/>
          <w:b/>
          <w:bCs/>
        </w:rPr>
        <w:t>Stupeň zlučiteľnosti návrhu zákona s právom Európskej únie:</w:t>
      </w:r>
    </w:p>
    <w:p w:rsidR="00ED2781" w:rsidRPr="00ED2781" w:rsidP="00ED2781">
      <w:pPr>
        <w:bidi w:val="0"/>
        <w:spacing w:after="120"/>
        <w:ind w:left="425" w:hanging="425"/>
        <w:jc w:val="both"/>
        <w:rPr>
          <w:rFonts w:ascii="Times New Roman" w:hAnsi="Times New Roman"/>
        </w:rPr>
      </w:pPr>
      <w:r w:rsidRPr="00ED2781">
        <w:rPr>
          <w:rFonts w:ascii="Times New Roman" w:hAnsi="Times New Roman"/>
        </w:rPr>
        <w:tab/>
        <w:t>Úplný.</w:t>
      </w:r>
    </w:p>
    <w:p w:rsidR="00ED2781" w:rsidRPr="00ED2781" w:rsidP="00866CE0">
      <w:pPr>
        <w:numPr>
          <w:numId w:val="2"/>
        </w:numPr>
        <w:bidi w:val="0"/>
        <w:spacing w:after="120"/>
        <w:jc w:val="both"/>
        <w:rPr>
          <w:rFonts w:ascii="Times New Roman" w:hAnsi="Times New Roman"/>
          <w:b/>
          <w:bCs/>
        </w:rPr>
      </w:pPr>
      <w:r w:rsidRPr="00ED2781">
        <w:rPr>
          <w:rFonts w:ascii="Times New Roman" w:hAnsi="Times New Roman"/>
          <w:b/>
          <w:bCs/>
        </w:rPr>
        <w:t xml:space="preserve">Gestor a spolupracujúce rezorty: </w:t>
      </w:r>
    </w:p>
    <w:p w:rsidR="00ED2781" w:rsidRPr="00ED2781" w:rsidP="00ED2781">
      <w:pPr>
        <w:bidi w:val="0"/>
        <w:spacing w:after="120"/>
        <w:ind w:left="360"/>
        <w:jc w:val="both"/>
        <w:rPr>
          <w:rFonts w:ascii="Times New Roman" w:hAnsi="Times New Roman"/>
        </w:rPr>
      </w:pPr>
      <w:r w:rsidRPr="00ED2781">
        <w:rPr>
          <w:rFonts w:ascii="Times New Roman" w:hAnsi="Times New Roman"/>
        </w:rPr>
        <w:t xml:space="preserve"> Ministerstvo financií Slovenskej republiky, Národná banka Slovenska.</w:t>
      </w: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ED2781" w:rsidP="003577B8">
      <w:pPr>
        <w:pStyle w:val="BodyText"/>
        <w:widowControl/>
        <w:bidi w:val="0"/>
        <w:jc w:val="both"/>
        <w:rPr>
          <w:rFonts w:ascii="Times New Roman" w:hAnsi="Times New Roman"/>
          <w:b/>
          <w:bCs/>
        </w:rPr>
      </w:pPr>
    </w:p>
    <w:p w:rsidR="007052C0" w:rsidRPr="00C77FC6" w:rsidP="003577B8">
      <w:pPr>
        <w:pStyle w:val="BodyText"/>
        <w:widowControl/>
        <w:bidi w:val="0"/>
        <w:jc w:val="both"/>
        <w:rPr>
          <w:rFonts w:ascii="Times New Roman" w:hAnsi="Times New Roman"/>
          <w:b/>
          <w:bCs/>
          <w:u w:val="single"/>
        </w:rPr>
      </w:pPr>
      <w:r w:rsidRPr="00C77FC6">
        <w:rPr>
          <w:rFonts w:ascii="Times New Roman" w:hAnsi="Times New Roman"/>
          <w:b/>
          <w:bCs/>
        </w:rPr>
        <w:t>Osobitná časť</w:t>
      </w:r>
      <w:r w:rsidRPr="00C77FC6">
        <w:rPr>
          <w:rFonts w:ascii="Times New Roman" w:hAnsi="Times New Roman"/>
          <w:b/>
          <w:bCs/>
          <w:u w:val="single"/>
        </w:rPr>
        <w:t xml:space="preserve"> </w:t>
      </w:r>
    </w:p>
    <w:p w:rsidR="007052C0" w:rsidRPr="00C77FC6" w:rsidP="003577B8">
      <w:pPr>
        <w:pStyle w:val="BodyText"/>
        <w:widowControl/>
        <w:bidi w:val="0"/>
        <w:rPr>
          <w:rFonts w:ascii="Times New Roman" w:hAnsi="Times New Roman"/>
          <w:b/>
          <w:bCs/>
        </w:rPr>
      </w:pPr>
    </w:p>
    <w:p w:rsidR="0048328D" w:rsidRPr="00C77FC6" w:rsidP="003577B8">
      <w:pPr>
        <w:pStyle w:val="BodyText"/>
        <w:widowControl/>
        <w:bidi w:val="0"/>
        <w:rPr>
          <w:rFonts w:ascii="Times New Roman" w:hAnsi="Times New Roman"/>
          <w:b/>
          <w:bCs/>
        </w:rPr>
      </w:pPr>
      <w:r w:rsidRPr="00C77FC6">
        <w:rPr>
          <w:rFonts w:ascii="Times New Roman" w:hAnsi="Times New Roman"/>
          <w:b/>
          <w:bCs/>
        </w:rPr>
        <w:t>K Čl. I</w:t>
      </w:r>
    </w:p>
    <w:p w:rsidR="0048328D" w:rsidRPr="00C77FC6" w:rsidP="003577B8">
      <w:pPr>
        <w:pStyle w:val="BodyText"/>
        <w:widowControl/>
        <w:bidi w:val="0"/>
        <w:rPr>
          <w:rFonts w:ascii="Times New Roman" w:hAnsi="Times New Roman"/>
          <w:b/>
          <w:bCs/>
        </w:rPr>
      </w:pPr>
    </w:p>
    <w:p w:rsidR="006B1DEA" w:rsidRPr="00C77FC6" w:rsidP="003577B8">
      <w:pPr>
        <w:pStyle w:val="BodyText"/>
        <w:widowControl/>
        <w:bidi w:val="0"/>
        <w:rPr>
          <w:rFonts w:ascii="Times New Roman" w:hAnsi="Times New Roman"/>
          <w:b/>
          <w:bCs/>
        </w:rPr>
      </w:pPr>
      <w:r w:rsidRPr="00C77FC6" w:rsidR="007052C0">
        <w:rPr>
          <w:rFonts w:ascii="Times New Roman" w:hAnsi="Times New Roman"/>
          <w:b/>
          <w:bCs/>
        </w:rPr>
        <w:t xml:space="preserve">K </w:t>
      </w:r>
      <w:r w:rsidRPr="00C77FC6" w:rsidR="0048328D">
        <w:rPr>
          <w:rFonts w:ascii="Times New Roman" w:hAnsi="Times New Roman"/>
          <w:b/>
          <w:bCs/>
        </w:rPr>
        <w:t>bodu</w:t>
      </w:r>
      <w:r w:rsidRPr="00C77FC6" w:rsidR="007052C0">
        <w:rPr>
          <w:rFonts w:ascii="Times New Roman" w:hAnsi="Times New Roman"/>
          <w:b/>
          <w:bCs/>
        </w:rPr>
        <w:t xml:space="preserve"> 1</w:t>
      </w:r>
      <w:r w:rsidRPr="00C77FC6" w:rsidR="00E87E6E">
        <w:rPr>
          <w:rFonts w:ascii="Times New Roman" w:hAnsi="Times New Roman"/>
          <w:b/>
          <w:bCs/>
        </w:rPr>
        <w:t xml:space="preserve"> </w:t>
      </w:r>
    </w:p>
    <w:p w:rsidR="006B1DEA" w:rsidRPr="00C77FC6" w:rsidP="006B1DEA">
      <w:pPr>
        <w:bidi w:val="0"/>
        <w:jc w:val="both"/>
        <w:rPr>
          <w:rFonts w:ascii="Times New Roman" w:hAnsi="Times New Roman"/>
        </w:rPr>
      </w:pPr>
      <w:r w:rsidRPr="00C77FC6">
        <w:rPr>
          <w:rFonts w:ascii="Times New Roman" w:hAnsi="Times New Roman"/>
        </w:rPr>
        <w:t>S cieľom rozšírenia palety nástrojov finančného trhu dostupných pre investorov sa navrhuje odbúrať legislatívne bariéry brániace uvádzaniu týchto moderných finančných produktov na trh. Z uvedených dôvodov sa navrhuje  rozšíriť okruh emitentov oprávnených vydávať investičné certifikáty z bánk aj na obchodníkov s cennými papiermi, ktorí spĺňajú požiadavku minimálneho základného imania 125 000 eur. Navrhuje sa tiež  zjednodušenie úpravy pokiaľ ide o náležitosti a zverejňovanie emisných podmienok obdobne ako to bolo ustanovené v prípade emisií dlhopisov podľa  zákona č. 206/2014 Z. z., ktorým sa novelizoval zákon o dlhopisoch. Precizujú sa aj  ustanovenia o zostavovaní prospektov cenných papierov v prípade investičných certifikátov, nakoľko po transpozícii smernice 2003/71/ES o prospekte, ktorý sa zverejňuje pri verejnej ponuke cenných papierov alebo ich prijatí na obchodovanie nie je dôvod pre osobitnú úpravu prospektovej povinnosti pre investičné certifikáty. Keďže investičný certifikát obsahuje prvky derivátu, na zostavenie prospektu pre tento druh cenného papiera sa postupuje podľa  prílohy nariadenia Európskej komisie č. 809/2004/EC pre derivátové cenné papiere.  Obdobne, ako v prípade emisných podmienok dlhopisov, sa navrhuje, aby evidenciu emisných podmienok investičných certifikátov viedol centrálny depozitár cenných papierov. Z podnetu Národnej banky Slovenska sa navrhuje  predĺženie lehoty na uplatnenie práv z investičných certifikátov na 10 rokov.</w:t>
      </w:r>
    </w:p>
    <w:p w:rsidR="000D69C5" w:rsidRPr="00C77FC6" w:rsidP="006B1DEA">
      <w:pPr>
        <w:bidi w:val="0"/>
        <w:jc w:val="both"/>
        <w:rPr>
          <w:rFonts w:ascii="Times New Roman" w:hAnsi="Times New Roman"/>
        </w:rPr>
      </w:pPr>
      <w:r w:rsidRPr="00C77FC6">
        <w:rPr>
          <w:rFonts w:ascii="Times New Roman" w:hAnsi="Times New Roman"/>
        </w:rPr>
        <w:t>Identifikátorom právneho subjektu sa rozumie Legal Entity Identifier (LEI).</w:t>
      </w:r>
    </w:p>
    <w:p w:rsidR="006B1DEA" w:rsidRPr="00C77FC6" w:rsidP="006B1DEA">
      <w:pPr>
        <w:bidi w:val="0"/>
        <w:jc w:val="both"/>
        <w:rPr>
          <w:rFonts w:ascii="Times New Roman" w:hAnsi="Times New Roman"/>
        </w:rPr>
      </w:pPr>
    </w:p>
    <w:p w:rsidR="006B1DEA" w:rsidRPr="00C77FC6" w:rsidP="006B1DEA">
      <w:pPr>
        <w:bidi w:val="0"/>
        <w:jc w:val="both"/>
        <w:rPr>
          <w:rFonts w:ascii="Times New Roman" w:hAnsi="Times New Roman"/>
          <w:b/>
        </w:rPr>
      </w:pPr>
      <w:r w:rsidRPr="00C77FC6">
        <w:rPr>
          <w:rFonts w:ascii="Times New Roman" w:hAnsi="Times New Roman"/>
          <w:b/>
        </w:rPr>
        <w:t>K bodu 2</w:t>
      </w:r>
    </w:p>
    <w:p w:rsidR="00781CB7" w:rsidRPr="00C77FC6" w:rsidP="00781CB7">
      <w:pPr>
        <w:bidi w:val="0"/>
        <w:jc w:val="both"/>
        <w:rPr>
          <w:rFonts w:ascii="Times New Roman" w:hAnsi="Times New Roman"/>
        </w:rPr>
      </w:pPr>
      <w:r w:rsidRPr="00C77FC6">
        <w:rPr>
          <w:rFonts w:ascii="Times New Roman" w:hAnsi="Times New Roman"/>
        </w:rPr>
        <w:t>V záujme zníženia administratívnej záťaže podnikania sa ruší evidentne neúčeln</w:t>
      </w:r>
      <w:r w:rsidRPr="00C77FC6" w:rsidR="00594F86">
        <w:rPr>
          <w:rFonts w:ascii="Times New Roman" w:hAnsi="Times New Roman"/>
        </w:rPr>
        <w:t>é ustanovenie o výkone pozastavenia</w:t>
      </w:r>
      <w:r w:rsidRPr="00C77FC6">
        <w:rPr>
          <w:rFonts w:ascii="Times New Roman" w:hAnsi="Times New Roman"/>
        </w:rPr>
        <w:t xml:space="preserve"> práva nakladať so zaknihovanými cennými papiermi v prípade konania valného zhromaždenia akciovej spoločnosti alebo členskej schôdze družstva, ak má spoločnosť jediného majiteľa ním vydaných akcií  alebo v prípade družstva jediného majiteľa družstevných podielnických listov.</w:t>
      </w:r>
    </w:p>
    <w:p w:rsidR="00781CB7" w:rsidRPr="00C77FC6" w:rsidP="00781CB7">
      <w:pPr>
        <w:bidi w:val="0"/>
        <w:jc w:val="both"/>
        <w:rPr>
          <w:rFonts w:ascii="Times New Roman" w:hAnsi="Times New Roman"/>
        </w:rPr>
      </w:pPr>
    </w:p>
    <w:p w:rsidR="00781CB7" w:rsidRPr="00C77FC6" w:rsidP="00781CB7">
      <w:pPr>
        <w:bidi w:val="0"/>
        <w:jc w:val="both"/>
        <w:rPr>
          <w:rFonts w:ascii="Times New Roman" w:hAnsi="Times New Roman"/>
          <w:b/>
        </w:rPr>
      </w:pPr>
      <w:r w:rsidRPr="00C77FC6">
        <w:rPr>
          <w:rFonts w:ascii="Times New Roman" w:hAnsi="Times New Roman"/>
          <w:b/>
        </w:rPr>
        <w:t xml:space="preserve">K bodu </w:t>
      </w:r>
      <w:r w:rsidR="00004383">
        <w:rPr>
          <w:rFonts w:ascii="Times New Roman" w:hAnsi="Times New Roman"/>
          <w:b/>
        </w:rPr>
        <w:t>3</w:t>
      </w:r>
    </w:p>
    <w:p w:rsidR="00781CB7" w:rsidP="00781CB7">
      <w:pPr>
        <w:bidi w:val="0"/>
        <w:jc w:val="both"/>
        <w:rPr>
          <w:rFonts w:ascii="Times New Roman" w:hAnsi="Times New Roman"/>
        </w:rPr>
      </w:pPr>
      <w:r w:rsidRPr="00C77FC6">
        <w:rPr>
          <w:rFonts w:ascii="Times New Roman" w:hAnsi="Times New Roman"/>
        </w:rPr>
        <w:t xml:space="preserve">Z dôvodu prípravy na začlenenie Centrálneho depozitára cenných papierov SR, a.s. do európskeho systému pre vyrovnanie obchodov s cennými papiermi Target 2-Securities (T2S) sa navrhuje v súlade s požiadavkami tohto systému upraviť štruktúra registra záložných práv v položke určenia počtu založených cenných papierov. V súlade so štandardami T2S sa v prípade niektorých druhov cenných papierov, napr. u dlhopisov údaje neuvádzajú v počte kusov, ale v objeme alebo menovitej hodnote príslušných cenných papierov. </w:t>
      </w:r>
    </w:p>
    <w:p w:rsidR="0022646B" w:rsidP="00781CB7">
      <w:pPr>
        <w:bidi w:val="0"/>
        <w:jc w:val="both"/>
        <w:rPr>
          <w:rFonts w:ascii="Times New Roman" w:hAnsi="Times New Roman"/>
        </w:rPr>
      </w:pPr>
    </w:p>
    <w:p w:rsidR="0022646B" w:rsidRPr="0022646B" w:rsidP="00781CB7">
      <w:pPr>
        <w:bidi w:val="0"/>
        <w:jc w:val="both"/>
        <w:rPr>
          <w:rFonts w:ascii="Times New Roman" w:hAnsi="Times New Roman"/>
          <w:b/>
        </w:rPr>
      </w:pPr>
      <w:r w:rsidRPr="0022646B">
        <w:rPr>
          <w:rFonts w:ascii="Times New Roman" w:hAnsi="Times New Roman"/>
          <w:b/>
        </w:rPr>
        <w:t xml:space="preserve">K bodu </w:t>
      </w:r>
      <w:r w:rsidR="00004383">
        <w:rPr>
          <w:rFonts w:ascii="Times New Roman" w:hAnsi="Times New Roman"/>
          <w:b/>
        </w:rPr>
        <w:t>4</w:t>
      </w:r>
    </w:p>
    <w:p w:rsidR="0022646B" w:rsidP="0022646B">
      <w:pPr>
        <w:bidi w:val="0"/>
        <w:jc w:val="both"/>
        <w:rPr>
          <w:rFonts w:ascii="Times New Roman" w:hAnsi="Times New Roman"/>
        </w:rPr>
      </w:pPr>
      <w:r w:rsidRPr="00656A60">
        <w:rPr>
          <w:rFonts w:ascii="Times New Roman" w:hAnsi="Times New Roman"/>
        </w:rPr>
        <w:t xml:space="preserve">V záujme dosiahnutia súladu medzi evidenciou cenných papierov a registrom záložných práv sa navrhuje aby bolo možné vykonať registráciu zániku záložného práva v registri záložných práv alebo  na účte majiteľa aj bez príkazu, ak sa záložné právo vzťahuje na zaknihované cenné papiere vymazané z evidencie. </w:t>
      </w:r>
      <w:r w:rsidR="00662295">
        <w:rPr>
          <w:rFonts w:ascii="Times New Roman" w:hAnsi="Times New Roman"/>
        </w:rPr>
        <w:t>Úprava nadväzuje na všeobecnú úpravu Občianskeho zákonníka týkajúcu sa zániku predmetu zálohu.</w:t>
      </w:r>
    </w:p>
    <w:p w:rsidR="00781CB7" w:rsidRPr="00C77FC6" w:rsidP="00781CB7">
      <w:pPr>
        <w:bidi w:val="0"/>
        <w:jc w:val="both"/>
        <w:rPr>
          <w:rFonts w:ascii="Times New Roman" w:hAnsi="Times New Roman"/>
        </w:rPr>
      </w:pPr>
    </w:p>
    <w:p w:rsidR="00781CB7" w:rsidRPr="00C77FC6" w:rsidP="00781CB7">
      <w:pPr>
        <w:bidi w:val="0"/>
        <w:jc w:val="both"/>
        <w:rPr>
          <w:rFonts w:ascii="Times New Roman" w:hAnsi="Times New Roman"/>
          <w:b/>
        </w:rPr>
      </w:pPr>
      <w:r w:rsidR="00775856">
        <w:rPr>
          <w:rFonts w:ascii="Times New Roman" w:hAnsi="Times New Roman"/>
          <w:b/>
        </w:rPr>
        <w:t>K bodom</w:t>
      </w:r>
      <w:r w:rsidR="0022646B">
        <w:rPr>
          <w:rFonts w:ascii="Times New Roman" w:hAnsi="Times New Roman"/>
          <w:b/>
        </w:rPr>
        <w:t xml:space="preserve"> </w:t>
      </w:r>
      <w:r w:rsidR="00004383">
        <w:rPr>
          <w:rFonts w:ascii="Times New Roman" w:hAnsi="Times New Roman"/>
          <w:b/>
        </w:rPr>
        <w:t>5</w:t>
      </w:r>
      <w:r w:rsidR="00775856">
        <w:rPr>
          <w:rFonts w:ascii="Times New Roman" w:hAnsi="Times New Roman"/>
          <w:b/>
        </w:rPr>
        <w:t xml:space="preserve"> a 6</w:t>
      </w:r>
    </w:p>
    <w:p w:rsidR="00781CB7" w:rsidRPr="00C77FC6" w:rsidP="00781CB7">
      <w:pPr>
        <w:suppressAutoHyphens/>
        <w:autoSpaceDE w:val="0"/>
        <w:autoSpaceDN w:val="0"/>
        <w:bidi w:val="0"/>
        <w:adjustRightInd w:val="0"/>
        <w:spacing w:line="260" w:lineRule="atLeast"/>
        <w:jc w:val="both"/>
        <w:rPr>
          <w:rFonts w:ascii="Times New Roman" w:hAnsi="Times New Roman"/>
        </w:rPr>
      </w:pPr>
      <w:r w:rsidRPr="00C77FC6">
        <w:rPr>
          <w:rFonts w:ascii="Times New Roman" w:hAnsi="Times New Roman"/>
        </w:rPr>
        <w:t xml:space="preserve">Jednou z prekážok rozvoja finančného trhu v Slovenskej republike je aj zvýšená nákladovosť a administratívna náročnosť pri vykonávaní operácií s cennými papiermi a inými finančnými nástrojmi, čo platí aj pre režim finančných zábezpek (peňažné prostriedky, cenné papiere a deriváty využívané ako zábezpeka).  Navrhované rozšírenie okruhu osôb oprávnených využiť zjednodušený režim finančných zábezpek t.j. vzniku záložných práv, použitia zálohu (re use), započítania a výkonu záložného práva pri cenných papieroch a iných finančných nástrojoch podľa smernice 2002/47/ES aj na právnické osoby, ako protistrany finančných inštitúcií, bude mať pozitívny vplyv na štandardizáciu režimu na finančnom trhu.  V súčasnosti je Slovenská republika jediným členským štátom, ktorý neumožňuje uplatniť tento režim pre protistrany finančných inštitúcií z korporátnej sféry v súlade s čl. 1 ods. 2 písm. e) uvedenej smernice a naopak, niektoré členské štáty, vrátane Českej republiky umožňujú využiť tento inštitút aj širšiemu okruhu osôb, vrátane fyzických osôb podnikateľov. Navrhovanou úpravou sa umožní priame zapojenie väčšieho počtu tuzemských právnických osôb do operácií na medzinárodných finančných trhoch bez nutnosti využiť drahých služieb sprostredkovateľov (najmä bánk) napr. za účelom uzavretia štandardných derivátových kontraktov na účely zabezpečenia (hedgingu) ich finančných operácií. </w:t>
      </w:r>
    </w:p>
    <w:p w:rsidR="00781CB7" w:rsidRPr="00C77FC6" w:rsidP="00781CB7">
      <w:pPr>
        <w:suppressAutoHyphens/>
        <w:autoSpaceDE w:val="0"/>
        <w:autoSpaceDN w:val="0"/>
        <w:bidi w:val="0"/>
        <w:adjustRightInd w:val="0"/>
        <w:jc w:val="both"/>
        <w:rPr>
          <w:rFonts w:ascii="Times New Roman" w:eastAsia="SimSun" w:hAnsi="Times New Roman"/>
          <w:lang w:eastAsia="zh-CN"/>
        </w:rPr>
      </w:pPr>
      <w:r w:rsidRPr="00C77FC6">
        <w:rPr>
          <w:rFonts w:ascii="Times New Roman" w:hAnsi="Times New Roman"/>
        </w:rPr>
        <w:t xml:space="preserve">V záujme obmedzenia možností obchádzania štandardného režimu záložných práv sa obmedzuje použitie režimu finančných zábezpek podľa tejto smernice </w:t>
      </w:r>
      <w:r w:rsidRPr="00C77FC6">
        <w:rPr>
          <w:rFonts w:ascii="Times New Roman" w:eastAsia="SimSun" w:hAnsi="Times New Roman" w:hint="default"/>
          <w:lang w:eastAsia="en-US"/>
        </w:rPr>
        <w:t>prá</w:t>
      </w:r>
      <w:r w:rsidRPr="00C77FC6">
        <w:rPr>
          <w:rFonts w:ascii="Times New Roman" w:eastAsia="SimSun" w:hAnsi="Times New Roman" w:hint="default"/>
          <w:lang w:eastAsia="en-US"/>
        </w:rPr>
        <w:t>vnický</w:t>
      </w:r>
      <w:r w:rsidRPr="00C77FC6">
        <w:rPr>
          <w:rFonts w:ascii="Times New Roman" w:eastAsia="SimSun" w:hAnsi="Times New Roman" w:hint="default"/>
          <w:lang w:eastAsia="en-US"/>
        </w:rPr>
        <w:t>mi osobami len na transakcie bež</w:t>
      </w:r>
      <w:r w:rsidRPr="00C77FC6">
        <w:rPr>
          <w:rFonts w:ascii="Times New Roman" w:eastAsia="SimSun" w:hAnsi="Times New Roman" w:hint="default"/>
          <w:lang w:eastAsia="en-US"/>
        </w:rPr>
        <w:t>ne použí</w:t>
      </w:r>
      <w:r w:rsidRPr="00C77FC6">
        <w:rPr>
          <w:rFonts w:ascii="Times New Roman" w:eastAsia="SimSun" w:hAnsi="Times New Roman" w:hint="default"/>
          <w:lang w:eastAsia="en-US"/>
        </w:rPr>
        <w:t>vaný</w:t>
      </w:r>
      <w:r w:rsidRPr="00C77FC6">
        <w:rPr>
          <w:rFonts w:ascii="Times New Roman" w:eastAsia="SimSun" w:hAnsi="Times New Roman" w:hint="default"/>
          <w:lang w:eastAsia="en-US"/>
        </w:rPr>
        <w:t>mi na finanč</w:t>
      </w:r>
      <w:r w:rsidRPr="00C77FC6">
        <w:rPr>
          <w:rFonts w:ascii="Times New Roman" w:eastAsia="SimSun" w:hAnsi="Times New Roman" w:hint="default"/>
          <w:lang w:eastAsia="en-US"/>
        </w:rPr>
        <w:t>ný</w:t>
      </w:r>
      <w:r w:rsidRPr="00C77FC6">
        <w:rPr>
          <w:rFonts w:ascii="Times New Roman" w:eastAsia="SimSun" w:hAnsi="Times New Roman" w:hint="default"/>
          <w:lang w:eastAsia="en-US"/>
        </w:rPr>
        <w:t>ch trhoch, teda najmä</w:t>
      </w:r>
      <w:r w:rsidRPr="00C77FC6">
        <w:rPr>
          <w:rFonts w:ascii="Times New Roman" w:eastAsia="SimSun" w:hAnsi="Times New Roman" w:hint="default"/>
          <w:lang w:eastAsia="en-US"/>
        </w:rPr>
        <w:t xml:space="preserve"> derivá</w:t>
      </w:r>
      <w:r w:rsidRPr="00C77FC6">
        <w:rPr>
          <w:rFonts w:ascii="Times New Roman" w:eastAsia="SimSun" w:hAnsi="Times New Roman" w:hint="default"/>
          <w:lang w:eastAsia="en-US"/>
        </w:rPr>
        <w:t>tové</w:t>
      </w:r>
      <w:r w:rsidRPr="00C77FC6">
        <w:rPr>
          <w:rFonts w:ascii="Times New Roman" w:eastAsia="SimSun" w:hAnsi="Times New Roman" w:hint="default"/>
          <w:lang w:eastAsia="en-US"/>
        </w:rPr>
        <w:t xml:space="preserve"> obchody repo obchody s </w:t>
      </w:r>
      <w:r w:rsidRPr="00C77FC6">
        <w:rPr>
          <w:rFonts w:ascii="Times New Roman" w:eastAsia="SimSun" w:hAnsi="Times New Roman" w:hint="default"/>
          <w:lang w:eastAsia="en-US"/>
        </w:rPr>
        <w:t>finanč</w:t>
      </w:r>
      <w:r w:rsidRPr="00C77FC6">
        <w:rPr>
          <w:rFonts w:ascii="Times New Roman" w:eastAsia="SimSun" w:hAnsi="Times New Roman" w:hint="default"/>
          <w:lang w:eastAsia="en-US"/>
        </w:rPr>
        <w:t>ný</w:t>
      </w:r>
      <w:r w:rsidRPr="00C77FC6">
        <w:rPr>
          <w:rFonts w:ascii="Times New Roman" w:eastAsia="SimSun" w:hAnsi="Times New Roman" w:hint="default"/>
          <w:lang w:eastAsia="en-US"/>
        </w:rPr>
        <w:t>mi ná</w:t>
      </w:r>
      <w:r w:rsidRPr="00C77FC6">
        <w:rPr>
          <w:rFonts w:ascii="Times New Roman" w:eastAsia="SimSun" w:hAnsi="Times New Roman" w:hint="default"/>
          <w:lang w:eastAsia="en-US"/>
        </w:rPr>
        <w:t>strojmi, pôž</w:t>
      </w:r>
      <w:r w:rsidRPr="00C77FC6">
        <w:rPr>
          <w:rFonts w:ascii="Times New Roman" w:eastAsia="SimSun" w:hAnsi="Times New Roman" w:hint="default"/>
          <w:lang w:eastAsia="en-US"/>
        </w:rPr>
        <w:t>ič</w:t>
      </w:r>
      <w:r w:rsidRPr="00C77FC6">
        <w:rPr>
          <w:rFonts w:ascii="Times New Roman" w:eastAsia="SimSun" w:hAnsi="Times New Roman" w:hint="default"/>
          <w:lang w:eastAsia="en-US"/>
        </w:rPr>
        <w:t>ky cenný</w:t>
      </w:r>
      <w:r w:rsidRPr="00C77FC6">
        <w:rPr>
          <w:rFonts w:ascii="Times New Roman" w:eastAsia="SimSun" w:hAnsi="Times New Roman" w:hint="default"/>
          <w:lang w:eastAsia="en-US"/>
        </w:rPr>
        <w:t>ch papierov, v rozsahu tak a</w:t>
      </w:r>
      <w:r w:rsidRPr="00C77FC6">
        <w:rPr>
          <w:rFonts w:ascii="Times New Roman" w:eastAsia="SimSun" w:hAnsi="Times New Roman" w:hint="default"/>
          <w:lang w:eastAsia="en-US"/>
        </w:rPr>
        <w:t>ko sú</w:t>
      </w:r>
      <w:r w:rsidRPr="00C77FC6">
        <w:rPr>
          <w:rFonts w:ascii="Times New Roman" w:eastAsia="SimSun" w:hAnsi="Times New Roman" w:hint="default"/>
          <w:lang w:eastAsia="en-US"/>
        </w:rPr>
        <w:t xml:space="preserve"> vymedzené</w:t>
      </w:r>
      <w:r w:rsidRPr="00C77FC6">
        <w:rPr>
          <w:rFonts w:ascii="Times New Roman" w:eastAsia="SimSun" w:hAnsi="Times New Roman" w:hint="default"/>
          <w:lang w:eastAsia="en-US"/>
        </w:rPr>
        <w:t xml:space="preserve"> v §</w:t>
      </w:r>
      <w:r w:rsidRPr="00C77FC6">
        <w:rPr>
          <w:rFonts w:ascii="Times New Roman" w:eastAsia="SimSun" w:hAnsi="Times New Roman" w:hint="default"/>
          <w:lang w:eastAsia="en-US"/>
        </w:rPr>
        <w:t xml:space="preserve"> 180 ods. 1  z</w:t>
      </w:r>
      <w:r w:rsidRPr="00C77FC6">
        <w:rPr>
          <w:rFonts w:ascii="Times New Roman" w:eastAsia="SimSun" w:hAnsi="Times New Roman" w:hint="default"/>
          <w:lang w:eastAsia="zh-CN"/>
        </w:rPr>
        <w:t>á</w:t>
      </w:r>
      <w:r w:rsidRPr="00C77FC6">
        <w:rPr>
          <w:rFonts w:ascii="Times New Roman" w:eastAsia="SimSun" w:hAnsi="Times New Roman" w:hint="default"/>
          <w:lang w:eastAsia="zh-CN"/>
        </w:rPr>
        <w:t>kona č</w:t>
      </w:r>
      <w:r w:rsidRPr="00C77FC6">
        <w:rPr>
          <w:rFonts w:ascii="Times New Roman" w:eastAsia="SimSun" w:hAnsi="Times New Roman" w:hint="default"/>
          <w:lang w:eastAsia="zh-CN"/>
        </w:rPr>
        <w:t>. 7/2005 Z. z. o konkurze a </w:t>
      </w:r>
      <w:r w:rsidRPr="00C77FC6">
        <w:rPr>
          <w:rFonts w:ascii="Times New Roman" w:eastAsia="SimSun" w:hAnsi="Times New Roman" w:hint="default"/>
          <w:lang w:eastAsia="zh-CN"/>
        </w:rPr>
        <w:t>reš</w:t>
      </w:r>
      <w:r w:rsidRPr="00C77FC6">
        <w:rPr>
          <w:rFonts w:ascii="Times New Roman" w:eastAsia="SimSun" w:hAnsi="Times New Roman" w:hint="default"/>
          <w:lang w:eastAsia="zh-CN"/>
        </w:rPr>
        <w:t>trukturalizá</w:t>
      </w:r>
      <w:r w:rsidRPr="00C77FC6">
        <w:rPr>
          <w:rFonts w:ascii="Times New Roman" w:eastAsia="SimSun" w:hAnsi="Times New Roman" w:hint="default"/>
          <w:lang w:eastAsia="zh-CN"/>
        </w:rPr>
        <w:t>cii. Tiež</w:t>
      </w:r>
      <w:r w:rsidRPr="00C77FC6">
        <w:rPr>
          <w:rFonts w:ascii="Times New Roman" w:eastAsia="SimSun" w:hAnsi="Times New Roman" w:hint="default"/>
          <w:lang w:eastAsia="zh-CN"/>
        </w:rPr>
        <w:t xml:space="preserve"> sa navrhuje zúž</w:t>
      </w:r>
      <w:r w:rsidRPr="00C77FC6">
        <w:rPr>
          <w:rFonts w:ascii="Times New Roman" w:eastAsia="SimSun" w:hAnsi="Times New Roman" w:hint="default"/>
          <w:lang w:eastAsia="zh-CN"/>
        </w:rPr>
        <w:t>iť</w:t>
      </w:r>
      <w:r w:rsidRPr="00C77FC6">
        <w:rPr>
          <w:rFonts w:ascii="Times New Roman" w:eastAsia="SimSun" w:hAnsi="Times New Roman" w:hint="default"/>
          <w:lang w:eastAsia="zh-CN"/>
        </w:rPr>
        <w:t xml:space="preserve"> okruh oprá</w:t>
      </w:r>
      <w:r w:rsidRPr="00C77FC6">
        <w:rPr>
          <w:rFonts w:ascii="Times New Roman" w:eastAsia="SimSun" w:hAnsi="Times New Roman" w:hint="default"/>
          <w:lang w:eastAsia="zh-CN"/>
        </w:rPr>
        <w:t>vnený</w:t>
      </w:r>
      <w:r w:rsidRPr="00C77FC6">
        <w:rPr>
          <w:rFonts w:ascii="Times New Roman" w:eastAsia="SimSun" w:hAnsi="Times New Roman" w:hint="default"/>
          <w:lang w:eastAsia="zh-CN"/>
        </w:rPr>
        <w:t>ch protistrá</w:t>
      </w:r>
      <w:r w:rsidRPr="00C77FC6">
        <w:rPr>
          <w:rFonts w:ascii="Times New Roman" w:eastAsia="SimSun" w:hAnsi="Times New Roman" w:hint="default"/>
          <w:lang w:eastAsia="zh-CN"/>
        </w:rPr>
        <w:t xml:space="preserve">n </w:t>
      </w:r>
      <w:r w:rsidRPr="00C77FC6">
        <w:rPr>
          <w:rFonts w:ascii="Times New Roman" w:eastAsia="SimSun" w:hAnsi="Times New Roman" w:hint="default"/>
          <w:lang w:eastAsia="en-US"/>
        </w:rPr>
        <w:t>prá</w:t>
      </w:r>
      <w:r w:rsidRPr="00C77FC6">
        <w:rPr>
          <w:rFonts w:ascii="Times New Roman" w:eastAsia="SimSun" w:hAnsi="Times New Roman" w:hint="default"/>
          <w:lang w:eastAsia="en-US"/>
        </w:rPr>
        <w:t>vnický</w:t>
      </w:r>
      <w:r w:rsidRPr="00C77FC6">
        <w:rPr>
          <w:rFonts w:ascii="Times New Roman" w:eastAsia="SimSun" w:hAnsi="Times New Roman" w:hint="default"/>
          <w:lang w:eastAsia="en-US"/>
        </w:rPr>
        <w:t>ch osô</w:t>
      </w:r>
      <w:r w:rsidRPr="00C77FC6">
        <w:rPr>
          <w:rFonts w:ascii="Times New Roman" w:eastAsia="SimSun" w:hAnsi="Times New Roman" w:hint="default"/>
          <w:lang w:eastAsia="en-US"/>
        </w:rPr>
        <w:t>b o </w:t>
      </w:r>
      <w:r w:rsidRPr="00C77FC6">
        <w:rPr>
          <w:rFonts w:ascii="Times New Roman" w:eastAsia="SimSun" w:hAnsi="Times New Roman" w:hint="default"/>
          <w:lang w:eastAsia="en-US"/>
        </w:rPr>
        <w:t>osoby, ktoré</w:t>
      </w:r>
      <w:r w:rsidRPr="00C77FC6">
        <w:rPr>
          <w:rFonts w:ascii="Times New Roman" w:eastAsia="SimSun" w:hAnsi="Times New Roman" w:hint="default"/>
          <w:lang w:eastAsia="en-US"/>
        </w:rPr>
        <w:t xml:space="preserve"> nie sú</w:t>
      </w:r>
      <w:r w:rsidRPr="00C77FC6">
        <w:rPr>
          <w:rFonts w:ascii="Times New Roman" w:eastAsia="SimSun" w:hAnsi="Times New Roman" w:hint="default"/>
          <w:lang w:eastAsia="en-US"/>
        </w:rPr>
        <w:t xml:space="preserve"> š</w:t>
      </w:r>
      <w:r w:rsidRPr="00C77FC6">
        <w:rPr>
          <w:rFonts w:ascii="Times New Roman" w:eastAsia="SimSun" w:hAnsi="Times New Roman" w:hint="default"/>
          <w:lang w:eastAsia="en-US"/>
        </w:rPr>
        <w:t>tandardný</w:t>
      </w:r>
      <w:r w:rsidRPr="00C77FC6">
        <w:rPr>
          <w:rFonts w:ascii="Times New Roman" w:eastAsia="SimSun" w:hAnsi="Times New Roman" w:hint="default"/>
          <w:lang w:eastAsia="en-US"/>
        </w:rPr>
        <w:t>mi finanč</w:t>
      </w:r>
      <w:r w:rsidRPr="00C77FC6">
        <w:rPr>
          <w:rFonts w:ascii="Times New Roman" w:eastAsia="SimSun" w:hAnsi="Times New Roman" w:hint="default"/>
          <w:lang w:eastAsia="en-US"/>
        </w:rPr>
        <w:t>ný</w:t>
      </w:r>
      <w:r w:rsidRPr="00C77FC6">
        <w:rPr>
          <w:rFonts w:ascii="Times New Roman" w:eastAsia="SimSun" w:hAnsi="Times New Roman" w:hint="default"/>
          <w:lang w:eastAsia="en-US"/>
        </w:rPr>
        <w:t>mi inš</w:t>
      </w:r>
      <w:r w:rsidRPr="00C77FC6">
        <w:rPr>
          <w:rFonts w:ascii="Times New Roman" w:eastAsia="SimSun" w:hAnsi="Times New Roman" w:hint="default"/>
          <w:lang w:eastAsia="en-US"/>
        </w:rPr>
        <w:t>titú</w:t>
      </w:r>
      <w:r w:rsidRPr="00C77FC6">
        <w:rPr>
          <w:rFonts w:ascii="Times New Roman" w:eastAsia="SimSun" w:hAnsi="Times New Roman" w:hint="default"/>
          <w:lang w:eastAsia="en-US"/>
        </w:rPr>
        <w:t>ciami podliehajú</w:t>
      </w:r>
      <w:r w:rsidRPr="00C77FC6">
        <w:rPr>
          <w:rFonts w:ascii="Times New Roman" w:eastAsia="SimSun" w:hAnsi="Times New Roman" w:hint="default"/>
          <w:lang w:eastAsia="en-US"/>
        </w:rPr>
        <w:t>cimi obozretné</w:t>
      </w:r>
      <w:r w:rsidRPr="00C77FC6">
        <w:rPr>
          <w:rFonts w:ascii="Times New Roman" w:eastAsia="SimSun" w:hAnsi="Times New Roman" w:hint="default"/>
          <w:lang w:eastAsia="en-US"/>
        </w:rPr>
        <w:t>mu dohľ</w:t>
      </w:r>
      <w:r w:rsidRPr="00C77FC6">
        <w:rPr>
          <w:rFonts w:ascii="Times New Roman" w:eastAsia="SimSun" w:hAnsi="Times New Roman" w:hint="default"/>
          <w:lang w:eastAsia="en-US"/>
        </w:rPr>
        <w:t>adu ani v</w:t>
      </w:r>
      <w:r w:rsidRPr="00C77FC6">
        <w:rPr>
          <w:rFonts w:ascii="Times New Roman" w:eastAsia="SimSun" w:hAnsi="Times New Roman" w:hint="default"/>
          <w:lang w:eastAsia="en-US"/>
        </w:rPr>
        <w:t>erejný</w:t>
      </w:r>
      <w:r w:rsidRPr="00C77FC6">
        <w:rPr>
          <w:rFonts w:ascii="Times New Roman" w:eastAsia="SimSun" w:hAnsi="Times New Roman" w:hint="default"/>
          <w:lang w:eastAsia="en-US"/>
        </w:rPr>
        <w:t>mi inš</w:t>
      </w:r>
      <w:r w:rsidRPr="00C77FC6">
        <w:rPr>
          <w:rFonts w:ascii="Times New Roman" w:eastAsia="SimSun" w:hAnsi="Times New Roman" w:hint="default"/>
          <w:lang w:eastAsia="en-US"/>
        </w:rPr>
        <w:t>titú</w:t>
      </w:r>
      <w:r w:rsidRPr="00C77FC6">
        <w:rPr>
          <w:rFonts w:ascii="Times New Roman" w:eastAsia="SimSun" w:hAnsi="Times New Roman" w:hint="default"/>
          <w:lang w:eastAsia="en-US"/>
        </w:rPr>
        <w:t>ciami a </w:t>
      </w:r>
      <w:r w:rsidRPr="00C77FC6">
        <w:rPr>
          <w:rFonts w:ascii="Times New Roman" w:eastAsia="SimSun" w:hAnsi="Times New Roman" w:hint="default"/>
          <w:lang w:eastAsia="en-US"/>
        </w:rPr>
        <w:t>ustanovuje sa minimá</w:t>
      </w:r>
      <w:r w:rsidRPr="00C77FC6">
        <w:rPr>
          <w:rFonts w:ascii="Times New Roman" w:eastAsia="SimSun" w:hAnsi="Times New Roman" w:hint="default"/>
          <w:lang w:eastAsia="en-US"/>
        </w:rPr>
        <w:t>lna výš</w:t>
      </w:r>
      <w:r w:rsidRPr="00C77FC6">
        <w:rPr>
          <w:rFonts w:ascii="Times New Roman" w:eastAsia="SimSun" w:hAnsi="Times New Roman" w:hint="default"/>
          <w:lang w:eastAsia="en-US"/>
        </w:rPr>
        <w:t>ka zá</w:t>
      </w:r>
      <w:r w:rsidRPr="00C77FC6">
        <w:rPr>
          <w:rFonts w:ascii="Times New Roman" w:eastAsia="SimSun" w:hAnsi="Times New Roman" w:hint="default"/>
          <w:lang w:eastAsia="en-US"/>
        </w:rPr>
        <w:t>kladné</w:t>
      </w:r>
      <w:r w:rsidRPr="00C77FC6">
        <w:rPr>
          <w:rFonts w:ascii="Times New Roman" w:eastAsia="SimSun" w:hAnsi="Times New Roman" w:hint="default"/>
          <w:lang w:eastAsia="en-US"/>
        </w:rPr>
        <w:t>ho imania prá</w:t>
      </w:r>
      <w:r w:rsidRPr="00C77FC6">
        <w:rPr>
          <w:rFonts w:ascii="Times New Roman" w:eastAsia="SimSun" w:hAnsi="Times New Roman" w:hint="default"/>
          <w:lang w:eastAsia="en-US"/>
        </w:rPr>
        <w:t>vnickej osoby na využ</w:t>
      </w:r>
      <w:r w:rsidRPr="00C77FC6">
        <w:rPr>
          <w:rFonts w:ascii="Times New Roman" w:eastAsia="SimSun" w:hAnsi="Times New Roman" w:hint="default"/>
          <w:lang w:eastAsia="en-US"/>
        </w:rPr>
        <w:t xml:space="preserve">itie </w:t>
      </w:r>
      <w:r w:rsidRPr="00C77FC6">
        <w:rPr>
          <w:rFonts w:ascii="Times New Roman" w:hAnsi="Times New Roman"/>
        </w:rPr>
        <w:t>režimu finančných zábezpek.</w:t>
      </w:r>
      <w:r w:rsidRPr="00C77FC6">
        <w:rPr>
          <w:rFonts w:ascii="Times New Roman" w:eastAsia="SimSun" w:hAnsi="Times New Roman"/>
          <w:lang w:eastAsia="en-US"/>
        </w:rPr>
        <w:t xml:space="preserve"> </w:t>
      </w:r>
      <w:r w:rsidRPr="00C77FC6">
        <w:rPr>
          <w:rFonts w:ascii="Times New Roman" w:eastAsia="SimSun" w:hAnsi="Times New Roman"/>
          <w:lang w:eastAsia="zh-CN"/>
        </w:rPr>
        <w:t xml:space="preserve"> </w:t>
      </w:r>
    </w:p>
    <w:p w:rsidR="00004383" w:rsidP="0022646B">
      <w:pPr>
        <w:bidi w:val="0"/>
        <w:jc w:val="both"/>
        <w:rPr>
          <w:rFonts w:ascii="Times New Roman" w:hAnsi="Times New Roman"/>
          <w:iCs/>
          <w:szCs w:val="22"/>
        </w:rPr>
      </w:pPr>
    </w:p>
    <w:p w:rsidR="00004383" w:rsidP="0022646B">
      <w:pPr>
        <w:bidi w:val="0"/>
        <w:jc w:val="both"/>
        <w:rPr>
          <w:rFonts w:ascii="Times New Roman" w:hAnsi="Times New Roman"/>
          <w:b/>
          <w:iCs/>
          <w:szCs w:val="22"/>
        </w:rPr>
      </w:pPr>
      <w:r w:rsidRPr="00004383">
        <w:rPr>
          <w:rFonts w:ascii="Times New Roman" w:hAnsi="Times New Roman"/>
          <w:b/>
          <w:iCs/>
          <w:szCs w:val="22"/>
        </w:rPr>
        <w:t>K bodu 7</w:t>
      </w:r>
    </w:p>
    <w:p w:rsidR="00004383" w:rsidP="0022646B">
      <w:pPr>
        <w:bidi w:val="0"/>
        <w:jc w:val="both"/>
        <w:rPr>
          <w:rFonts w:ascii="Times New Roman" w:hAnsi="Times New Roman" w:cs="Calibri"/>
        </w:rPr>
      </w:pPr>
      <w:r w:rsidRPr="004B41A8" w:rsidR="004B41A8">
        <w:rPr>
          <w:rFonts w:ascii="Times New Roman" w:hAnsi="Times New Roman" w:cs="Calibri"/>
        </w:rPr>
        <w:t xml:space="preserve">Zmena ustanovenia bola vykonaná na základe nesprávneho prekladu implementovanej smernice. Funkcia riadenia rizík nemôže byť v danej štruktúre priamo podriadená dozornej rade. </w:t>
      </w:r>
    </w:p>
    <w:p w:rsidR="004B41A8" w:rsidRPr="004B41A8" w:rsidP="0022646B">
      <w:pPr>
        <w:bidi w:val="0"/>
        <w:jc w:val="both"/>
        <w:rPr>
          <w:rFonts w:ascii="Times New Roman" w:hAnsi="Times New Roman"/>
          <w:b/>
          <w:iCs/>
        </w:rPr>
      </w:pPr>
    </w:p>
    <w:p w:rsidR="00004383" w:rsidP="0022646B">
      <w:pPr>
        <w:bidi w:val="0"/>
        <w:jc w:val="both"/>
        <w:rPr>
          <w:rFonts w:ascii="Times New Roman" w:hAnsi="Times New Roman"/>
          <w:b/>
          <w:iCs/>
          <w:szCs w:val="22"/>
        </w:rPr>
      </w:pPr>
      <w:r>
        <w:rPr>
          <w:rFonts w:ascii="Times New Roman" w:hAnsi="Times New Roman"/>
          <w:b/>
          <w:iCs/>
          <w:szCs w:val="22"/>
        </w:rPr>
        <w:t>K bodu 8</w:t>
      </w:r>
    </w:p>
    <w:p w:rsidR="001277D4" w:rsidRPr="004B41A8" w:rsidP="0022646B">
      <w:pPr>
        <w:bidi w:val="0"/>
        <w:jc w:val="both"/>
        <w:rPr>
          <w:rFonts w:ascii="Times New Roman" w:hAnsi="Times New Roman"/>
          <w:iCs/>
          <w:szCs w:val="22"/>
        </w:rPr>
      </w:pPr>
      <w:r w:rsidRPr="004B41A8" w:rsidR="004B41A8">
        <w:rPr>
          <w:rFonts w:ascii="Times New Roman" w:hAnsi="Times New Roman"/>
          <w:iCs/>
          <w:szCs w:val="22"/>
        </w:rPr>
        <w:t>Ide o súlad s</w:t>
      </w:r>
      <w:r w:rsidR="004B41A8">
        <w:rPr>
          <w:rFonts w:ascii="Times New Roman" w:hAnsi="Times New Roman"/>
          <w:iCs/>
          <w:szCs w:val="22"/>
        </w:rPr>
        <w:t> nariadením Európskeho parlamentu a Rady (EÚ) č. 909/2014 z 23. júla 2014 o zlepšení vyrovnania transakcií s cennými papiermi v Európskej únii, centrálnych depozitároch cenných papierov a o zmene smerníc 98/26/ES a 2014/65/EÚ a nariadenia (EÚ) č. 236/2012.</w:t>
      </w:r>
    </w:p>
    <w:p w:rsidR="00004383" w:rsidP="0022646B">
      <w:pPr>
        <w:bidi w:val="0"/>
        <w:jc w:val="both"/>
        <w:rPr>
          <w:rFonts w:ascii="Times New Roman" w:hAnsi="Times New Roman"/>
          <w:b/>
          <w:iCs/>
          <w:szCs w:val="22"/>
        </w:rPr>
      </w:pPr>
    </w:p>
    <w:p w:rsidR="00004383" w:rsidP="0022646B">
      <w:pPr>
        <w:bidi w:val="0"/>
        <w:jc w:val="both"/>
        <w:rPr>
          <w:rFonts w:ascii="Times New Roman" w:hAnsi="Times New Roman"/>
          <w:b/>
          <w:iCs/>
          <w:szCs w:val="22"/>
        </w:rPr>
      </w:pPr>
      <w:r>
        <w:rPr>
          <w:rFonts w:ascii="Times New Roman" w:hAnsi="Times New Roman"/>
          <w:b/>
          <w:iCs/>
          <w:szCs w:val="22"/>
        </w:rPr>
        <w:t>K bodu 9</w:t>
      </w:r>
    </w:p>
    <w:p w:rsidR="004B41A8" w:rsidP="0022646B">
      <w:pPr>
        <w:bidi w:val="0"/>
        <w:jc w:val="both"/>
        <w:rPr>
          <w:rFonts w:ascii="Times New Roman" w:hAnsi="Times New Roman" w:cs="Calibri"/>
        </w:rPr>
      </w:pPr>
      <w:r w:rsidRPr="004B41A8">
        <w:rPr>
          <w:rFonts w:ascii="Times New Roman" w:hAnsi="Times New Roman" w:cs="Calibri"/>
        </w:rPr>
        <w:t>Vzhľadom k členskému pr</w:t>
      </w:r>
      <w:r>
        <w:rPr>
          <w:rFonts w:ascii="Times New Roman" w:hAnsi="Times New Roman" w:cs="Calibri"/>
        </w:rPr>
        <w:t>i</w:t>
      </w:r>
      <w:r w:rsidRPr="004B41A8">
        <w:rPr>
          <w:rFonts w:ascii="Times New Roman" w:hAnsi="Times New Roman" w:cs="Calibri"/>
        </w:rPr>
        <w:t>ncípu je potrebn</w:t>
      </w:r>
      <w:r>
        <w:rPr>
          <w:rFonts w:ascii="Times New Roman" w:hAnsi="Times New Roman" w:cs="Calibri"/>
        </w:rPr>
        <w:t>á</w:t>
      </w:r>
      <w:r w:rsidRPr="004B41A8">
        <w:rPr>
          <w:rFonts w:ascii="Times New Roman" w:hAnsi="Times New Roman" w:cs="Calibri"/>
        </w:rPr>
        <w:t xml:space="preserve"> </w:t>
      </w:r>
      <w:r>
        <w:rPr>
          <w:rFonts w:ascii="Times New Roman" w:hAnsi="Times New Roman" w:cs="Calibri"/>
        </w:rPr>
        <w:t>de</w:t>
      </w:r>
      <w:r w:rsidRPr="004B41A8">
        <w:rPr>
          <w:rFonts w:ascii="Times New Roman" w:hAnsi="Times New Roman" w:cs="Calibri"/>
        </w:rPr>
        <w:t xml:space="preserve">finícia zodpovednosti za prípadné škody spôsobené konaním klientov. </w:t>
      </w:r>
    </w:p>
    <w:p w:rsidR="0022646B" w:rsidRPr="004B41A8" w:rsidP="00781CB7">
      <w:pPr>
        <w:bidi w:val="0"/>
        <w:jc w:val="both"/>
        <w:rPr>
          <w:rFonts w:ascii="Times New Roman" w:hAnsi="Times New Roman"/>
          <w:b/>
          <w:iCs/>
        </w:rPr>
      </w:pPr>
    </w:p>
    <w:p w:rsidR="0022646B" w:rsidRPr="0022646B" w:rsidP="00781CB7">
      <w:pPr>
        <w:bidi w:val="0"/>
        <w:jc w:val="both"/>
        <w:rPr>
          <w:rFonts w:ascii="Times New Roman" w:hAnsi="Times New Roman"/>
          <w:b/>
        </w:rPr>
      </w:pPr>
      <w:r w:rsidRPr="0022646B">
        <w:rPr>
          <w:rFonts w:ascii="Times New Roman" w:hAnsi="Times New Roman"/>
          <w:b/>
        </w:rPr>
        <w:t xml:space="preserve">K bodu </w:t>
      </w:r>
      <w:r w:rsidR="00004383">
        <w:rPr>
          <w:rFonts w:ascii="Times New Roman" w:hAnsi="Times New Roman"/>
          <w:b/>
        </w:rPr>
        <w:t>10</w:t>
      </w:r>
    </w:p>
    <w:p w:rsidR="00781CB7" w:rsidRPr="00C77FC6" w:rsidP="00781CB7">
      <w:pPr>
        <w:bidi w:val="0"/>
        <w:jc w:val="both"/>
        <w:rPr>
          <w:rFonts w:ascii="Times New Roman" w:hAnsi="Times New Roman"/>
        </w:rPr>
      </w:pPr>
      <w:r w:rsidRPr="00C77FC6">
        <w:rPr>
          <w:rFonts w:ascii="Times New Roman" w:hAnsi="Times New Roman"/>
        </w:rPr>
        <w:t xml:space="preserve">Ruší sa obmedzenie predaja podniku centrálneho depozitára alebo jeho časti vo vzťahu k finančným inštitúciám alebo verejným organizáciám.  </w:t>
      </w:r>
    </w:p>
    <w:p w:rsidR="00781CB7" w:rsidRPr="00C77FC6" w:rsidP="00781CB7">
      <w:pPr>
        <w:bidi w:val="0"/>
        <w:jc w:val="both"/>
        <w:rPr>
          <w:rFonts w:ascii="Times New Roman" w:hAnsi="Times New Roman"/>
        </w:rPr>
      </w:pPr>
    </w:p>
    <w:p w:rsidR="00781CB7" w:rsidRPr="00C77FC6" w:rsidP="00781CB7">
      <w:pPr>
        <w:bidi w:val="0"/>
        <w:jc w:val="both"/>
        <w:rPr>
          <w:rFonts w:ascii="Times New Roman" w:hAnsi="Times New Roman"/>
          <w:b/>
        </w:rPr>
      </w:pPr>
      <w:r w:rsidRPr="00C77FC6">
        <w:rPr>
          <w:rFonts w:ascii="Times New Roman" w:hAnsi="Times New Roman"/>
          <w:b/>
        </w:rPr>
        <w:t xml:space="preserve">K bodom </w:t>
      </w:r>
      <w:r w:rsidR="00004383">
        <w:rPr>
          <w:rFonts w:ascii="Times New Roman" w:hAnsi="Times New Roman"/>
          <w:b/>
        </w:rPr>
        <w:t>11</w:t>
      </w:r>
      <w:r w:rsidRPr="00C77FC6">
        <w:rPr>
          <w:rFonts w:ascii="Times New Roman" w:hAnsi="Times New Roman"/>
          <w:b/>
        </w:rPr>
        <w:t xml:space="preserve"> až 1</w:t>
      </w:r>
      <w:r w:rsidR="00004383">
        <w:rPr>
          <w:rFonts w:ascii="Times New Roman" w:hAnsi="Times New Roman"/>
          <w:b/>
        </w:rPr>
        <w:t>8</w:t>
      </w:r>
    </w:p>
    <w:p w:rsidR="00781CB7" w:rsidRPr="00C77FC6" w:rsidP="00781CB7">
      <w:pPr>
        <w:bidi w:val="0"/>
        <w:jc w:val="both"/>
        <w:rPr>
          <w:rFonts w:ascii="Times New Roman" w:hAnsi="Times New Roman"/>
        </w:rPr>
      </w:pPr>
      <w:r w:rsidRPr="00C77FC6">
        <w:rPr>
          <w:rFonts w:ascii="Times New Roman" w:hAnsi="Times New Roman"/>
        </w:rPr>
        <w:t xml:space="preserve">S cieľom posilnenia členského princípu fungovania </w:t>
      </w:r>
      <w:r w:rsidRPr="00C77FC6" w:rsidR="004B5895">
        <w:rPr>
          <w:rFonts w:ascii="Times New Roman" w:hAnsi="Times New Roman"/>
        </w:rPr>
        <w:t>Centrálneho depozitára cenných papierov SR, a.s.</w:t>
      </w:r>
      <w:r w:rsidRPr="00C77FC6">
        <w:rPr>
          <w:rFonts w:ascii="Times New Roman" w:hAnsi="Times New Roman"/>
        </w:rPr>
        <w:t xml:space="preserve"> sa navrhuje zúženie okruhu osôb, ktoré sú oprá</w:t>
      </w:r>
      <w:r w:rsidRPr="00C77FC6" w:rsidR="004B5895">
        <w:rPr>
          <w:rFonts w:ascii="Times New Roman" w:hAnsi="Times New Roman"/>
        </w:rPr>
        <w:t>vnené otvoriť si účet priamo u C</w:t>
      </w:r>
      <w:r w:rsidRPr="00C77FC6">
        <w:rPr>
          <w:rFonts w:ascii="Times New Roman" w:hAnsi="Times New Roman"/>
        </w:rPr>
        <w:t>entrálneho depozitára</w:t>
      </w:r>
      <w:r w:rsidRPr="00C77FC6" w:rsidR="004B5895">
        <w:rPr>
          <w:rFonts w:ascii="Times New Roman" w:hAnsi="Times New Roman"/>
        </w:rPr>
        <w:t xml:space="preserve"> cenných papierov SR, a.s.</w:t>
      </w:r>
      <w:r w:rsidRPr="00C77FC6">
        <w:rPr>
          <w:rFonts w:ascii="Times New Roman" w:hAnsi="Times New Roman"/>
        </w:rPr>
        <w:t xml:space="preserve"> Pokiaľ ide o rozsah účtov vedených priamo v evidencii, navrhuje sa možnosť ich zriadenia</w:t>
      </w:r>
      <w:r w:rsidRPr="00C77FC6" w:rsidR="004B5895">
        <w:rPr>
          <w:rFonts w:ascii="Times New Roman" w:hAnsi="Times New Roman"/>
        </w:rPr>
        <w:t>,</w:t>
      </w:r>
      <w:r w:rsidRPr="00C77FC6">
        <w:rPr>
          <w:rFonts w:ascii="Times New Roman" w:hAnsi="Times New Roman"/>
        </w:rPr>
        <w:t xml:space="preserve"> resp. ponechania po uplynutí prechodného obdobia len pre členov, štátne inštitúcie a</w:t>
      </w:r>
      <w:r w:rsidRPr="00C77FC6" w:rsidR="004B5895">
        <w:rPr>
          <w:rFonts w:ascii="Times New Roman" w:hAnsi="Times New Roman"/>
        </w:rPr>
        <w:t> skupinu v</w:t>
      </w:r>
      <w:r w:rsidRPr="00C77FC6">
        <w:rPr>
          <w:rFonts w:ascii="Times New Roman" w:hAnsi="Times New Roman"/>
        </w:rPr>
        <w:t xml:space="preserve">ýznamných  klientov určenú samotným </w:t>
      </w:r>
      <w:r w:rsidRPr="00C77FC6" w:rsidR="004B5895">
        <w:rPr>
          <w:rFonts w:ascii="Times New Roman" w:hAnsi="Times New Roman"/>
        </w:rPr>
        <w:t>C</w:t>
      </w:r>
      <w:r w:rsidRPr="00C77FC6">
        <w:rPr>
          <w:rFonts w:ascii="Times New Roman" w:hAnsi="Times New Roman"/>
        </w:rPr>
        <w:t>entrálnym depozitárom</w:t>
      </w:r>
      <w:r w:rsidRPr="00C77FC6" w:rsidR="004B5895">
        <w:rPr>
          <w:rFonts w:ascii="Times New Roman" w:hAnsi="Times New Roman"/>
        </w:rPr>
        <w:t xml:space="preserve"> cenných papierov SR, a.s.</w:t>
      </w:r>
      <w:r w:rsidRPr="00C77FC6">
        <w:rPr>
          <w:rFonts w:ascii="Times New Roman" w:hAnsi="Times New Roman"/>
        </w:rPr>
        <w:t xml:space="preserve"> v prevádzkovom poriadku. </w:t>
      </w:r>
    </w:p>
    <w:p w:rsidR="00004383" w:rsidP="00781CB7">
      <w:pPr>
        <w:bidi w:val="0"/>
        <w:jc w:val="both"/>
        <w:rPr>
          <w:rFonts w:ascii="Times New Roman" w:hAnsi="Times New Roman"/>
        </w:rPr>
      </w:pPr>
      <w:r w:rsidRPr="00C77FC6" w:rsidR="0012510B">
        <w:rPr>
          <w:rFonts w:ascii="Times New Roman" w:hAnsi="Times New Roman"/>
        </w:rPr>
        <w:t>Cenný papier v podielovom spoluvlastníctve viacerých majiteľov môže byť evidovaný buď na účte majiteľa alebo na držiteľskom alebo klientskom účte</w:t>
      </w:r>
      <w:r w:rsidR="00662295">
        <w:rPr>
          <w:rFonts w:ascii="Times New Roman" w:hAnsi="Times New Roman"/>
        </w:rPr>
        <w:t xml:space="preserve"> na základe niektorého titulu uvedeného v § 105 ods. 9, napríklad na základe príslušnej zmluvy o prevode cenných papierov podľa zákona o cenných papieroch</w:t>
      </w:r>
      <w:r w:rsidRPr="00C77FC6" w:rsidR="0012510B">
        <w:rPr>
          <w:rFonts w:ascii="Times New Roman" w:hAnsi="Times New Roman"/>
        </w:rPr>
        <w:t>. Navrhovanou zmenou umožníme jeho evidenciu na rôznych typoch účtov, pričom postup takejto evidencie bude závisieť od prevádzkového poriadku.</w:t>
      </w:r>
      <w:r w:rsidR="008D6EF1">
        <w:rPr>
          <w:rFonts w:ascii="Times New Roman" w:hAnsi="Times New Roman"/>
        </w:rPr>
        <w:t xml:space="preserve"> </w:t>
      </w:r>
    </w:p>
    <w:p w:rsidR="00662295" w:rsidRPr="00C77FC6" w:rsidP="00781CB7">
      <w:pPr>
        <w:bidi w:val="0"/>
        <w:jc w:val="both"/>
        <w:rPr>
          <w:rFonts w:ascii="Times New Roman" w:hAnsi="Times New Roman"/>
        </w:rPr>
      </w:pPr>
    </w:p>
    <w:p w:rsidR="0012510B" w:rsidRPr="00C77FC6" w:rsidP="00781CB7">
      <w:pPr>
        <w:bidi w:val="0"/>
        <w:jc w:val="both"/>
        <w:rPr>
          <w:rFonts w:ascii="Times New Roman" w:hAnsi="Times New Roman"/>
          <w:b/>
        </w:rPr>
      </w:pPr>
      <w:r w:rsidRPr="00C77FC6">
        <w:rPr>
          <w:rFonts w:ascii="Times New Roman" w:hAnsi="Times New Roman"/>
          <w:b/>
        </w:rPr>
        <w:t>K bodu 1</w:t>
      </w:r>
      <w:r w:rsidR="00004383">
        <w:rPr>
          <w:rFonts w:ascii="Times New Roman" w:hAnsi="Times New Roman"/>
          <w:b/>
        </w:rPr>
        <w:t>9</w:t>
      </w:r>
    </w:p>
    <w:p w:rsidR="0012510B" w:rsidP="00781CB7">
      <w:pPr>
        <w:bidi w:val="0"/>
        <w:jc w:val="both"/>
        <w:rPr>
          <w:rFonts w:ascii="Times New Roman" w:hAnsi="Times New Roman"/>
        </w:rPr>
      </w:pPr>
      <w:r w:rsidRPr="00C77FC6">
        <w:rPr>
          <w:rFonts w:ascii="Times New Roman" w:hAnsi="Times New Roman"/>
        </w:rPr>
        <w:t>Cieľom doplnenia nových odsekov je posilniť postavenie emitentov zaknihovaných cenných papierov alebo listinných akcií na meno, ktorí si budú môcť vybrať, u ktorého emitenta majú záujem o vedenie registra emitenta zaknihovaných cenných papierov alebo vedení zoznamu akcionárov listinných akcií na meno, pričom však emitent bude mať povinnosť zmeniť osobu, ktorá povedie register emitenta pre všetky emisie, ktoré nie sú zrušené.</w:t>
      </w:r>
    </w:p>
    <w:p w:rsidR="00004383" w:rsidP="00781CB7">
      <w:pPr>
        <w:bidi w:val="0"/>
        <w:jc w:val="both"/>
        <w:rPr>
          <w:rFonts w:ascii="Times New Roman" w:hAnsi="Times New Roman"/>
        </w:rPr>
      </w:pPr>
    </w:p>
    <w:p w:rsidR="00004383" w:rsidP="00781CB7">
      <w:pPr>
        <w:bidi w:val="0"/>
        <w:jc w:val="both"/>
        <w:rPr>
          <w:rFonts w:ascii="Times New Roman" w:hAnsi="Times New Roman"/>
          <w:b/>
        </w:rPr>
      </w:pPr>
      <w:r w:rsidRPr="00004383">
        <w:rPr>
          <w:rFonts w:ascii="Times New Roman" w:hAnsi="Times New Roman"/>
          <w:b/>
        </w:rPr>
        <w:t>K bodu 20</w:t>
      </w:r>
    </w:p>
    <w:p w:rsidR="001277D4" w:rsidRPr="00E57B77" w:rsidP="00781CB7">
      <w:pPr>
        <w:bidi w:val="0"/>
        <w:jc w:val="both"/>
        <w:rPr>
          <w:rFonts w:ascii="Times New Roman" w:hAnsi="Times New Roman"/>
        </w:rPr>
      </w:pPr>
      <w:r w:rsidRPr="00E57B77" w:rsidR="00E57B77">
        <w:rPr>
          <w:rFonts w:ascii="Times New Roman" w:hAnsi="Times New Roman"/>
        </w:rPr>
        <w:t>Navrhuje sa rozšíriť možnosti poskytovania služieb čle</w:t>
      </w:r>
      <w:r w:rsidR="00E57B77">
        <w:rPr>
          <w:rFonts w:ascii="Times New Roman" w:hAnsi="Times New Roman"/>
        </w:rPr>
        <w:t>nov Centrálneho depozitára cenných papierov SR, a.s. o služby v oblasti registrácie emisií pre emitentov cenných papierov. Agent emisie by na základe zmluvného vzťahu s emitentom mohol zastupovať emitenta voči Centrálnemu depozitáru cenných papierov SR, a.s. v rozsahu stanovenom v zmluve.</w:t>
      </w:r>
    </w:p>
    <w:p w:rsidR="00004383" w:rsidP="00781CB7">
      <w:pPr>
        <w:bidi w:val="0"/>
        <w:jc w:val="both"/>
        <w:rPr>
          <w:rFonts w:ascii="Times New Roman" w:hAnsi="Times New Roman"/>
          <w:b/>
        </w:rPr>
      </w:pPr>
    </w:p>
    <w:p w:rsidR="00004383" w:rsidP="00781CB7">
      <w:pPr>
        <w:bidi w:val="0"/>
        <w:jc w:val="both"/>
        <w:rPr>
          <w:rFonts w:ascii="Times New Roman" w:hAnsi="Times New Roman"/>
          <w:b/>
        </w:rPr>
      </w:pPr>
      <w:r>
        <w:rPr>
          <w:rFonts w:ascii="Times New Roman" w:hAnsi="Times New Roman"/>
          <w:b/>
        </w:rPr>
        <w:t>K bodu 21</w:t>
      </w:r>
    </w:p>
    <w:p w:rsidR="00775856" w:rsidP="00781CB7">
      <w:pPr>
        <w:bidi w:val="0"/>
        <w:jc w:val="both"/>
        <w:rPr>
          <w:rFonts w:ascii="Times New Roman" w:hAnsi="Times New Roman" w:cs="Calibri"/>
        </w:rPr>
      </w:pPr>
      <w:r w:rsidRPr="004B41A8" w:rsidR="004B41A8">
        <w:rPr>
          <w:rFonts w:ascii="Times New Roman" w:hAnsi="Times New Roman" w:cs="Calibri"/>
        </w:rPr>
        <w:t>Poskytovanie finančných prostriedkov zo zdrojov EÚ je v podmienkach Slovenskej republiky primárne upravené v zákone č. 528/2008 Z. z. o pomoci a podpore poskytovanej z fondov Európskeho spoločenstva v znení neskorších predpisov a zákone č. 292/2014 Z. z. o príspevku poskytovanom z európskych štrukturálnych a investičných fondov a o zmene a doplnení niektorých zákonov.</w:t>
      </w:r>
      <w:r w:rsidR="00897816">
        <w:rPr>
          <w:rFonts w:ascii="Times New Roman" w:hAnsi="Times New Roman" w:cs="Calibri"/>
        </w:rPr>
        <w:t xml:space="preserve"> </w:t>
      </w:r>
      <w:r w:rsidRPr="004B41A8" w:rsidR="004B41A8">
        <w:rPr>
          <w:rFonts w:ascii="Times New Roman" w:hAnsi="Times New Roman" w:cs="Calibri"/>
        </w:rPr>
        <w:t xml:space="preserve">Na získanie finančnej pomoci/príspevku z týchto zdrojov sa pri podávaní žiadosti o finančné prostriedky, ako aj v priebehu implementácie schválených projektov a kontroly jej použitia, vyžaduje preukázanie vybraných skutočností a sleduje sa napĺňanie konkrétnych ukazovateľov. Kľúčovou podmienkou preverenia je v tomto prípade pri poskytovaní štátnej pomoci alebo pomoci de minimis preukázanie, že žiadateľom je podnik, ktorý spĺňa definíciu mikro, malého, resp. stredného podniku predovšetkým v zmysle definície MSP obsiahnutej v Prílohe I Nariadenia Komisie (EÚ) č. 651/2014 zo 17. júna 2014 o vyhlásení určitých kategórií pomoci za zlučiteľné so vnútorným trhom podľa článkov 107 a 108 zmluvy (Všeobecné nariadenie o skupinových výnimkách), prípadne iných právne záväzných dokumentov EÚ obsahujúcich osobitné definície </w:t>
      </w:r>
      <w:r w:rsidR="00897816">
        <w:rPr>
          <w:rFonts w:ascii="Times New Roman" w:hAnsi="Times New Roman" w:cs="Calibri"/>
        </w:rPr>
        <w:t xml:space="preserve">týkajúce sa veľkosti podniku. </w:t>
        <w:br/>
      </w:r>
      <w:r w:rsidRPr="004B41A8" w:rsidR="004B41A8">
        <w:rPr>
          <w:rFonts w:ascii="Times New Roman" w:hAnsi="Times New Roman" w:cs="Calibri"/>
        </w:rPr>
        <w:t>Uvedená definícia zohľadňuje pri výpočte veľkosti podniku aj vzájomné majetkovo-personálne prepojenie podniku s inými právnickými, prípadne fyzickými osobami, ako aj ich ďalšie a ďalšie prepojenia. Preverenie tejto podmienky vykonáva ministerstvo</w:t>
      </w:r>
      <w:r w:rsidR="00897816">
        <w:rPr>
          <w:rFonts w:ascii="Times New Roman" w:hAnsi="Times New Roman" w:cs="Calibri"/>
        </w:rPr>
        <w:t xml:space="preserve"> hospodárstva SR</w:t>
      </w:r>
      <w:r w:rsidRPr="004B41A8" w:rsidR="004B41A8">
        <w:rPr>
          <w:rFonts w:ascii="Times New Roman" w:hAnsi="Times New Roman" w:cs="Calibri"/>
        </w:rPr>
        <w:t xml:space="preserve"> prostredníctvom informácií poskytnutých zo strany žiadajúceho podniku, pričom v prípade akciových spoločností sú možnosti validácie poskytnutých informácií najmä vo vzťahu k majetkovo-personálnemu prepojeniu obmedzené, čo sťažuje riadny výkon kontroly veľkosti podniku.</w:t>
      </w:r>
      <w:r w:rsidR="00897816">
        <w:rPr>
          <w:rFonts w:ascii="Times New Roman" w:hAnsi="Times New Roman" w:cs="Calibri"/>
        </w:rPr>
        <w:t xml:space="preserve"> </w:t>
      </w:r>
      <w:r w:rsidRPr="004B41A8" w:rsidR="004B41A8">
        <w:rPr>
          <w:rFonts w:ascii="Times New Roman" w:hAnsi="Times New Roman" w:cs="Calibri"/>
        </w:rPr>
        <w:t xml:space="preserve">Centrálny depozitár, člen, resp. obchodník s cennými papiermi disponuje údajmi o cenných papieroch a akcionároch v súlade so zákonom č. 566/2001 Z. z. o cenných papieroch a investičných službách a o zmene a doplnení niektorých zákonov v znení neskorších predpisov, čím je možné uvedenú informačnú bariéru prekonať. Údaje potrebné na overenie splnenia vybraných podmienok je teda možné získať priamou výmenou informácií medzi ministerstvom a uvedenými inštitúciami. </w:t>
      </w:r>
    </w:p>
    <w:p w:rsidR="00897816" w:rsidP="00781CB7">
      <w:pPr>
        <w:bidi w:val="0"/>
        <w:jc w:val="both"/>
        <w:rPr>
          <w:rFonts w:ascii="Times New Roman" w:hAnsi="Times New Roman" w:cs="Calibri"/>
        </w:rPr>
      </w:pPr>
      <w:r>
        <w:rPr>
          <w:rFonts w:ascii="Times New Roman" w:hAnsi="Times New Roman" w:cs="Calibri"/>
        </w:rPr>
        <w:t>Ide o</w:t>
      </w:r>
      <w:r w:rsidRPr="004B41A8" w:rsidR="004B41A8">
        <w:rPr>
          <w:rFonts w:ascii="Times New Roman" w:hAnsi="Times New Roman" w:cs="Calibri"/>
        </w:rPr>
        <w:t xml:space="preserve"> vytvor</w:t>
      </w:r>
      <w:r>
        <w:rPr>
          <w:rFonts w:ascii="Times New Roman" w:hAnsi="Times New Roman" w:cs="Calibri"/>
        </w:rPr>
        <w:t>enie</w:t>
      </w:r>
      <w:r w:rsidRPr="004B41A8" w:rsidR="004B41A8">
        <w:rPr>
          <w:rFonts w:ascii="Times New Roman" w:hAnsi="Times New Roman" w:cs="Calibri"/>
        </w:rPr>
        <w:t xml:space="preserve"> právn</w:t>
      </w:r>
      <w:r>
        <w:rPr>
          <w:rFonts w:ascii="Times New Roman" w:hAnsi="Times New Roman" w:cs="Calibri"/>
        </w:rPr>
        <w:t>eho</w:t>
      </w:r>
      <w:r w:rsidRPr="004B41A8" w:rsidR="004B41A8">
        <w:rPr>
          <w:rFonts w:ascii="Times New Roman" w:hAnsi="Times New Roman" w:cs="Calibri"/>
        </w:rPr>
        <w:t xml:space="preserve"> rám</w:t>
      </w:r>
      <w:r>
        <w:rPr>
          <w:rFonts w:ascii="Times New Roman" w:hAnsi="Times New Roman" w:cs="Calibri"/>
        </w:rPr>
        <w:t>ca</w:t>
      </w:r>
      <w:r w:rsidRPr="004B41A8" w:rsidR="004B41A8">
        <w:rPr>
          <w:rFonts w:ascii="Times New Roman" w:hAnsi="Times New Roman" w:cs="Calibri"/>
        </w:rPr>
        <w:t>, ktorý umožní vytvorenie efektívneho systému výmeny informácií medzi inštitúciami a ministerstvom navzájom, čím zefektívni výkon overenia predmetnej podmienky poskytnutia príspevku.</w:t>
      </w:r>
    </w:p>
    <w:p w:rsidR="001277D4" w:rsidRPr="00897816" w:rsidP="00781CB7">
      <w:pPr>
        <w:bidi w:val="0"/>
        <w:jc w:val="both"/>
        <w:rPr>
          <w:rFonts w:ascii="Times New Roman" w:hAnsi="Times New Roman" w:cs="Calibri"/>
        </w:rPr>
      </w:pPr>
      <w:r w:rsidR="00897816">
        <w:rPr>
          <w:rFonts w:ascii="Times New Roman" w:hAnsi="Times New Roman" w:cs="Calibri"/>
        </w:rPr>
        <w:t xml:space="preserve"> </w:t>
      </w:r>
    </w:p>
    <w:p w:rsidR="00004383" w:rsidRPr="00004383" w:rsidP="00781CB7">
      <w:pPr>
        <w:bidi w:val="0"/>
        <w:jc w:val="both"/>
        <w:rPr>
          <w:rFonts w:ascii="Times New Roman" w:hAnsi="Times New Roman"/>
          <w:b/>
        </w:rPr>
      </w:pPr>
      <w:r>
        <w:rPr>
          <w:rFonts w:ascii="Times New Roman" w:hAnsi="Times New Roman"/>
          <w:b/>
        </w:rPr>
        <w:t>K bodu 22</w:t>
      </w:r>
    </w:p>
    <w:p w:rsidR="008B7772" w:rsidP="004B5895">
      <w:pPr>
        <w:bidi w:val="0"/>
        <w:jc w:val="both"/>
        <w:rPr>
          <w:rFonts w:ascii="Times New Roman" w:hAnsi="Times New Roman"/>
        </w:rPr>
      </w:pPr>
      <w:r w:rsidR="00897816">
        <w:rPr>
          <w:rFonts w:ascii="Times New Roman" w:hAnsi="Times New Roman"/>
        </w:rPr>
        <w:t xml:space="preserve">Ide o posilnenie plnohodnotného členského princípu </w:t>
      </w:r>
      <w:r w:rsidR="009C1F3F">
        <w:rPr>
          <w:rFonts w:ascii="Times New Roman" w:hAnsi="Times New Roman"/>
        </w:rPr>
        <w:t>v rámci evidencie cenných papierov.</w:t>
      </w:r>
    </w:p>
    <w:p w:rsidR="001277D4" w:rsidRPr="00C77FC6" w:rsidP="004B5895">
      <w:pPr>
        <w:bidi w:val="0"/>
        <w:jc w:val="both"/>
        <w:rPr>
          <w:rFonts w:ascii="Times New Roman" w:hAnsi="Times New Roman"/>
        </w:rPr>
      </w:pPr>
    </w:p>
    <w:p w:rsidR="004B5895" w:rsidRPr="00C77FC6" w:rsidP="004B5895">
      <w:pPr>
        <w:bidi w:val="0"/>
        <w:jc w:val="both"/>
        <w:rPr>
          <w:rFonts w:ascii="Times New Roman" w:hAnsi="Times New Roman"/>
          <w:b/>
        </w:rPr>
      </w:pPr>
      <w:r w:rsidRPr="00C77FC6">
        <w:rPr>
          <w:rFonts w:ascii="Times New Roman" w:hAnsi="Times New Roman"/>
          <w:b/>
        </w:rPr>
        <w:t xml:space="preserve">K bodu </w:t>
      </w:r>
      <w:r w:rsidR="00004383">
        <w:rPr>
          <w:rFonts w:ascii="Times New Roman" w:hAnsi="Times New Roman"/>
          <w:b/>
        </w:rPr>
        <w:t>23</w:t>
      </w:r>
    </w:p>
    <w:p w:rsidR="00775856" w:rsidRPr="00C77FC6" w:rsidP="00775856">
      <w:pPr>
        <w:bidi w:val="0"/>
        <w:spacing w:line="276" w:lineRule="auto"/>
        <w:jc w:val="both"/>
        <w:rPr>
          <w:rFonts w:ascii="Times New Roman" w:hAnsi="Times New Roman"/>
        </w:rPr>
      </w:pPr>
      <w:r w:rsidRPr="00C77FC6">
        <w:rPr>
          <w:rFonts w:ascii="Times New Roman" w:hAnsi="Times New Roman"/>
        </w:rPr>
        <w:t>Navrhujú sa odstrániť niektoré ustanovenia o konflikte záujmov v nadväznosti na poznatky aplikačnej praxe a novú úpravu konfliktu záujmov podľa nariadenia 909/2014/EÚ o centrálnych depozitároch.</w:t>
      </w:r>
    </w:p>
    <w:p w:rsidR="00775856" w:rsidP="004B5895">
      <w:pPr>
        <w:bidi w:val="0"/>
        <w:jc w:val="both"/>
        <w:rPr>
          <w:rFonts w:ascii="Times New Roman" w:hAnsi="Times New Roman"/>
        </w:rPr>
      </w:pPr>
    </w:p>
    <w:p w:rsidR="00775856" w:rsidRPr="00775856" w:rsidP="004B5895">
      <w:pPr>
        <w:bidi w:val="0"/>
        <w:jc w:val="both"/>
        <w:rPr>
          <w:rFonts w:ascii="Times New Roman" w:hAnsi="Times New Roman"/>
          <w:b/>
        </w:rPr>
      </w:pPr>
      <w:r w:rsidRPr="00775856">
        <w:rPr>
          <w:rFonts w:ascii="Times New Roman" w:hAnsi="Times New Roman"/>
          <w:b/>
        </w:rPr>
        <w:t>K bodu 24</w:t>
      </w:r>
    </w:p>
    <w:p w:rsidR="005D039C" w:rsidRPr="00775856" w:rsidP="004B5895">
      <w:pPr>
        <w:bidi w:val="0"/>
        <w:jc w:val="both"/>
        <w:rPr>
          <w:rFonts w:ascii="Times New Roman" w:hAnsi="Times New Roman"/>
        </w:rPr>
      </w:pPr>
      <w:r w:rsidRPr="00775856" w:rsidR="00775856">
        <w:rPr>
          <w:rFonts w:ascii="Times New Roman" w:hAnsi="Times New Roman" w:cs="Calibri"/>
        </w:rPr>
        <w:t xml:space="preserve">Na európskej úrovni silnie tendencia prijímať nariadenia, ktoré priamo obsahujú povinnosti pre národné orgány dohľadu nad finančným trhom. Tento prípad nastáva aj pri nariadení č. 1060/2009 o ratingových agentúrach, ktorá obsahuje v článku 25a povinnosť pre Národnú banku Slovenska dohliadať určité činnosti u emitenta (napríklad pri vydávaní štruktúrovaných finančných nástrojov), ale neobsahuje konkrétne sankcie v prípade porušenia týchto povinností. Národná banka Slovenska síce môže viesť konanie voči emitentovi na základe § 1 zákona č. 747/2004 Z. z. o dohľade nad finančným trhom a o zmene a doplnení niektorých zákonov v znení neskorších predpisov, ale sektorová legislatíva (zákon o cenných papieroch) neumožňuje za porušenie povinností vyplývajúcich z nariadenia udeliť sankciu. Preto </w:t>
      </w:r>
      <w:r w:rsidR="00775856">
        <w:rPr>
          <w:rFonts w:ascii="Times New Roman" w:hAnsi="Times New Roman" w:cs="Calibri"/>
        </w:rPr>
        <w:t xml:space="preserve">sa </w:t>
      </w:r>
      <w:r w:rsidRPr="00775856" w:rsidR="00775856">
        <w:rPr>
          <w:rFonts w:ascii="Times New Roman" w:hAnsi="Times New Roman" w:cs="Calibri"/>
        </w:rPr>
        <w:t xml:space="preserve">navrhuje doplniť § 144 ods. 4 zákona o cenných papieroch tak, aby bolo možné uplatniť sankciu emitentovi za porušenie povinností priamo vyplývajúcich z nariadenia. Navrhované doplnenie už v súčasnosti obsahuje sankčné ustanovenie týkajúce sa obchodníkov s cennými papiermi (§ 144 ods. 1), centrálneho depozitára (§ 144 ods. 2) a osôb uvedených v § 144 ods. 7. Zároveň s cieľom dodržať konzistentnosť v sankčných ustanoveniach právnych predpisov v oblasti regulácie finančného trhu navrhujeme zvážiť preformulovanie navrhovaných zmien podľa § 50 zákona o bankách, ktorý používa slovné spojenie „alebo v porušení povinností vyplývajú z právne záväzných aktov Európskej únie, ktoré sa vzťahujú na činnosť emitenta“. </w:t>
        <w:br/>
      </w:r>
    </w:p>
    <w:p w:rsidR="005D039C" w:rsidRPr="00C77FC6" w:rsidP="004B5895">
      <w:pPr>
        <w:bidi w:val="0"/>
        <w:jc w:val="both"/>
        <w:rPr>
          <w:rFonts w:ascii="Times New Roman" w:hAnsi="Times New Roman"/>
          <w:b/>
        </w:rPr>
      </w:pPr>
      <w:r w:rsidRPr="00C77FC6">
        <w:rPr>
          <w:rFonts w:ascii="Times New Roman" w:hAnsi="Times New Roman"/>
          <w:b/>
        </w:rPr>
        <w:t xml:space="preserve">K bodu </w:t>
      </w:r>
      <w:r w:rsidR="00004383">
        <w:rPr>
          <w:rFonts w:ascii="Times New Roman" w:hAnsi="Times New Roman"/>
          <w:b/>
        </w:rPr>
        <w:t>2</w:t>
      </w:r>
      <w:r w:rsidR="00775856">
        <w:rPr>
          <w:rFonts w:ascii="Times New Roman" w:hAnsi="Times New Roman"/>
          <w:b/>
        </w:rPr>
        <w:t>5</w:t>
      </w:r>
    </w:p>
    <w:p w:rsidR="003D2014" w:rsidP="00775856">
      <w:pPr>
        <w:bidi w:val="0"/>
        <w:jc w:val="both"/>
        <w:rPr>
          <w:rFonts w:ascii="Times New Roman" w:hAnsi="Times New Roman" w:cs="Calibri"/>
        </w:rPr>
      </w:pPr>
      <w:r w:rsidRPr="003D2014">
        <w:rPr>
          <w:rFonts w:ascii="Times New Roman" w:hAnsi="Times New Roman" w:cs="Calibri"/>
        </w:rPr>
        <w:t xml:space="preserve">Na účely efektívneho výkonu dohľadu považujeme za potrebné, aby Národná banka Slovenska mohla uložiť opatrenie na nápravu, podľa ktorého bude osoba povinná ukončiť nepovolenú činnosť. </w:t>
      </w:r>
    </w:p>
    <w:p w:rsidR="003D2014" w:rsidRPr="003D2014" w:rsidP="00775856">
      <w:pPr>
        <w:bidi w:val="0"/>
        <w:jc w:val="both"/>
        <w:rPr>
          <w:rFonts w:ascii="Times New Roman" w:hAnsi="Times New Roman"/>
          <w:b/>
        </w:rPr>
      </w:pPr>
      <w:r w:rsidRPr="003D2014">
        <w:rPr>
          <w:rFonts w:ascii="Times New Roman" w:hAnsi="Times New Roman" w:cs="Calibri"/>
        </w:rPr>
        <w:br/>
      </w:r>
      <w:r w:rsidRPr="003D2014">
        <w:rPr>
          <w:rFonts w:ascii="Times New Roman" w:hAnsi="Times New Roman"/>
          <w:b/>
        </w:rPr>
        <w:t>K bodu 26</w:t>
      </w:r>
    </w:p>
    <w:p w:rsidR="00775856" w:rsidRPr="00C77FC6" w:rsidP="00775856">
      <w:pPr>
        <w:bidi w:val="0"/>
        <w:jc w:val="both"/>
        <w:rPr>
          <w:rFonts w:ascii="Times New Roman" w:hAnsi="Times New Roman"/>
        </w:rPr>
      </w:pPr>
      <w:r w:rsidRPr="00C77FC6">
        <w:rPr>
          <w:rFonts w:ascii="Times New Roman" w:hAnsi="Times New Roman"/>
        </w:rPr>
        <w:t xml:space="preserve">Obdobne ako v prípade obchodníka s cennými papiermi sa z dôvodu zníženia administratívnej záťaže navrhuje  zrušiť povinnosť Centrálneho depozitára cenných papierov SR, a.s. podať príkaz na pozastavenie práva nakladať s jeho akciami pred konaním valného zhromaždenia v prípade, ak má len jedného akcionára. </w:t>
      </w:r>
    </w:p>
    <w:p w:rsidR="0022646B" w:rsidP="00CF35DC">
      <w:pPr>
        <w:bidi w:val="0"/>
        <w:jc w:val="both"/>
        <w:rPr>
          <w:rFonts w:ascii="Times New Roman" w:hAnsi="Times New Roman"/>
        </w:rPr>
      </w:pPr>
    </w:p>
    <w:p w:rsidR="00126DC9" w:rsidP="00CF35DC">
      <w:pPr>
        <w:bidi w:val="0"/>
        <w:jc w:val="both"/>
        <w:rPr>
          <w:rFonts w:ascii="Times New Roman" w:hAnsi="Times New Roman"/>
          <w:b/>
        </w:rPr>
      </w:pPr>
      <w:r>
        <w:rPr>
          <w:rFonts w:ascii="Times New Roman" w:hAnsi="Times New Roman"/>
          <w:b/>
        </w:rPr>
        <w:t>K bodu 2</w:t>
      </w:r>
      <w:r w:rsidR="003D2014">
        <w:rPr>
          <w:rFonts w:ascii="Times New Roman" w:hAnsi="Times New Roman"/>
          <w:b/>
        </w:rPr>
        <w:t>7</w:t>
      </w:r>
    </w:p>
    <w:p w:rsidR="00592BA0" w:rsidRPr="00C77FC6" w:rsidP="00592BA0">
      <w:pPr>
        <w:bidi w:val="0"/>
        <w:spacing w:after="200"/>
        <w:jc w:val="both"/>
        <w:rPr>
          <w:rFonts w:ascii="Times New Roman" w:hAnsi="Times New Roman"/>
          <w:lang w:eastAsia="en-US"/>
        </w:rPr>
      </w:pPr>
      <w:r w:rsidRPr="00C77FC6">
        <w:rPr>
          <w:rFonts w:ascii="Times New Roman" w:hAnsi="Times New Roman"/>
        </w:rPr>
        <w:t xml:space="preserve">Upravuje sa prechodné obdobie pre osoby, pre ktoré od nadobudnutia účinnosti novely nebude povinný viesť účet majiteľa. Ide o postup vychádzajúci z českej koncepcie tzv. nezaradených účtov pôvodne vedených v Stredisku cenných papierov. Súčasne zákon  motivuje k dobrovoľnému presunu účtov na členov stanovením možnosti bezplatný presunu účtov týchto osôb k členom centrálneho depozitára. Rozsah služieb poskytovaných centrálnym depozitárom vo vzťahu k týmto účtom nie nie je vhodné obmedzovať, napr. z dôvodu úprav systému a tiež by si to zrejme vyžadovalo aj zákonnú úpravu poplatkovej politiky vo vzťahu k takto obmedzeným účtom.   To znamená </w:t>
      </w:r>
      <w:r w:rsidRPr="00C77FC6">
        <w:rPr>
          <w:rFonts w:ascii="Times New Roman" w:hAnsi="Times New Roman"/>
          <w:lang w:eastAsia="en-US"/>
        </w:rPr>
        <w:t>že majiteľ účtu bude mať možnosť  naďalej si ponechať účet majiteľa v centrálnom depozitári alebo bude môcť pre</w:t>
      </w:r>
      <w:r>
        <w:rPr>
          <w:rFonts w:ascii="Times New Roman" w:hAnsi="Times New Roman"/>
          <w:lang w:eastAsia="en-US"/>
        </w:rPr>
        <w:t>sunúť cenné papiere  k členovi.</w:t>
      </w:r>
    </w:p>
    <w:p w:rsidR="00592BA0" w:rsidP="00592BA0">
      <w:pPr>
        <w:bidi w:val="0"/>
        <w:jc w:val="both"/>
        <w:rPr>
          <w:rFonts w:ascii="Times New Roman" w:hAnsi="Times New Roman"/>
        </w:rPr>
      </w:pPr>
      <w:r w:rsidRPr="00C77FC6">
        <w:rPr>
          <w:rFonts w:ascii="Times New Roman" w:hAnsi="Times New Roman"/>
        </w:rPr>
        <w:t xml:space="preserve">Po skončení možnosti prevodov cenných papierov bez reálnej hodnoty na FNM, a.s. by sa mala otvoriť možnosť prevodu takýchto cenných papierov priamo na centrálny depozitár čo by mohli využiť majitelia cenných papierov s nulovou alebo nízkou reálnou hodnotou nepostačujúcou ani na pokrytie  poplatkov za vedenie účtu majiteľa. </w:t>
      </w:r>
    </w:p>
    <w:p w:rsidR="008E3254" w:rsidRPr="00C77FC6" w:rsidP="005D039C">
      <w:pPr>
        <w:bidi w:val="0"/>
        <w:jc w:val="both"/>
        <w:rPr>
          <w:rFonts w:ascii="Times New Roman" w:hAnsi="Times New Roman"/>
        </w:rPr>
      </w:pPr>
    </w:p>
    <w:p w:rsidR="008E3254" w:rsidRPr="00C77FC6" w:rsidP="005D039C">
      <w:pPr>
        <w:bidi w:val="0"/>
        <w:jc w:val="both"/>
        <w:rPr>
          <w:rFonts w:ascii="Times New Roman" w:hAnsi="Times New Roman"/>
          <w:b/>
        </w:rPr>
      </w:pPr>
      <w:r w:rsidRPr="00C77FC6">
        <w:rPr>
          <w:rFonts w:ascii="Times New Roman" w:hAnsi="Times New Roman"/>
          <w:b/>
        </w:rPr>
        <w:t xml:space="preserve">K bodu </w:t>
      </w:r>
      <w:r w:rsidR="0022646B">
        <w:rPr>
          <w:rFonts w:ascii="Times New Roman" w:hAnsi="Times New Roman"/>
          <w:b/>
        </w:rPr>
        <w:t>2</w:t>
      </w:r>
      <w:r w:rsidR="003D2014">
        <w:rPr>
          <w:rFonts w:ascii="Times New Roman" w:hAnsi="Times New Roman"/>
          <w:b/>
        </w:rPr>
        <w:t>8</w:t>
      </w:r>
    </w:p>
    <w:p w:rsidR="008E3254" w:rsidRPr="00C77FC6" w:rsidP="008E3254">
      <w:pPr>
        <w:pStyle w:val="BodyText"/>
        <w:widowControl/>
        <w:bidi w:val="0"/>
        <w:jc w:val="both"/>
        <w:rPr>
          <w:rFonts w:ascii="Times New Roman" w:hAnsi="Times New Roman"/>
        </w:rPr>
      </w:pPr>
      <w:r w:rsidRPr="00C77FC6">
        <w:rPr>
          <w:rFonts w:ascii="Times New Roman" w:hAnsi="Times New Roman"/>
        </w:rPr>
        <w:t>Dopĺňa sa smernica 2014/51/EÚ do prílohy k zákonu č. 566/2001 Z. z..</w:t>
      </w:r>
    </w:p>
    <w:p w:rsidR="0022646B" w:rsidRPr="00C77FC6" w:rsidP="005D039C">
      <w:pPr>
        <w:bidi w:val="0"/>
        <w:jc w:val="both"/>
        <w:rPr>
          <w:rFonts w:ascii="Times New Roman" w:hAnsi="Times New Roman"/>
        </w:rPr>
      </w:pPr>
    </w:p>
    <w:p w:rsidR="005D039C" w:rsidRPr="00C77FC6" w:rsidP="005D039C">
      <w:pPr>
        <w:bidi w:val="0"/>
        <w:jc w:val="both"/>
        <w:rPr>
          <w:rFonts w:ascii="Times New Roman" w:hAnsi="Times New Roman"/>
          <w:b/>
        </w:rPr>
      </w:pPr>
      <w:r w:rsidRPr="00C77FC6">
        <w:rPr>
          <w:rFonts w:ascii="Times New Roman" w:hAnsi="Times New Roman"/>
          <w:b/>
        </w:rPr>
        <w:t>K Čl. II</w:t>
      </w:r>
    </w:p>
    <w:p w:rsidR="005D039C" w:rsidP="005D039C">
      <w:pPr>
        <w:suppressAutoHyphens/>
        <w:autoSpaceDE w:val="0"/>
        <w:autoSpaceDN w:val="0"/>
        <w:bidi w:val="0"/>
        <w:adjustRightInd w:val="0"/>
        <w:spacing w:line="260" w:lineRule="atLeast"/>
        <w:jc w:val="both"/>
        <w:rPr>
          <w:rFonts w:ascii="Times New Roman" w:hAnsi="Times New Roman"/>
        </w:rPr>
      </w:pPr>
      <w:r w:rsidRPr="00C77FC6">
        <w:rPr>
          <w:rFonts w:ascii="Times New Roman" w:hAnsi="Times New Roman"/>
        </w:rPr>
        <w:t>Súvisiaca úprava osobitného režimu finančných zábezpek podľa smernice 2002/47/EU v Občianskom zákonníku vo vzťahu k finančným prostriedkom, ako sa navrhuje v § 53 zákonu o cenných papieroch.</w:t>
      </w:r>
    </w:p>
    <w:p w:rsidR="005D039C" w:rsidRPr="00C77FC6" w:rsidP="005D039C">
      <w:pPr>
        <w:suppressAutoHyphens/>
        <w:autoSpaceDE w:val="0"/>
        <w:autoSpaceDN w:val="0"/>
        <w:bidi w:val="0"/>
        <w:adjustRightInd w:val="0"/>
        <w:spacing w:line="260" w:lineRule="atLeast"/>
        <w:jc w:val="both"/>
        <w:rPr>
          <w:rFonts w:ascii="Times New Roman" w:hAnsi="Times New Roman"/>
        </w:rPr>
      </w:pPr>
    </w:p>
    <w:p w:rsidR="00004383" w:rsidRPr="00C77FC6" w:rsidP="005D039C">
      <w:pPr>
        <w:suppressAutoHyphens/>
        <w:autoSpaceDE w:val="0"/>
        <w:autoSpaceDN w:val="0"/>
        <w:bidi w:val="0"/>
        <w:adjustRightInd w:val="0"/>
        <w:spacing w:line="260" w:lineRule="atLeast"/>
        <w:jc w:val="both"/>
        <w:rPr>
          <w:rFonts w:ascii="Times New Roman" w:hAnsi="Times New Roman"/>
          <w:b/>
        </w:rPr>
      </w:pPr>
      <w:r w:rsidRPr="00C77FC6" w:rsidR="005D039C">
        <w:rPr>
          <w:rFonts w:ascii="Times New Roman" w:hAnsi="Times New Roman"/>
          <w:b/>
        </w:rPr>
        <w:t>K Čl. III</w:t>
      </w:r>
    </w:p>
    <w:p w:rsidR="00D85F5C" w:rsidP="00D85F5C">
      <w:pPr>
        <w:suppressAutoHyphens/>
        <w:autoSpaceDE w:val="0"/>
        <w:autoSpaceDN w:val="0"/>
        <w:bidi w:val="0"/>
        <w:adjustRightInd w:val="0"/>
        <w:spacing w:line="260" w:lineRule="atLeast"/>
        <w:jc w:val="both"/>
        <w:rPr>
          <w:rFonts w:ascii="Times New Roman" w:hAnsi="Times New Roman"/>
        </w:rPr>
      </w:pPr>
      <w:r w:rsidR="009C1F3F">
        <w:rPr>
          <w:rFonts w:ascii="Times New Roman" w:eastAsia="SimSun" w:hAnsi="Times New Roman"/>
          <w:lang w:eastAsia="zh-CN"/>
        </w:rPr>
        <w:t>Ide o </w:t>
      </w:r>
      <w:r w:rsidR="009C1F3F">
        <w:rPr>
          <w:rFonts w:ascii="Times New Roman" w:eastAsia="SimSun" w:hAnsi="Times New Roman" w:hint="default"/>
          <w:lang w:eastAsia="zh-CN"/>
        </w:rPr>
        <w:t>prvý</w:t>
      </w:r>
      <w:r w:rsidR="009C1F3F">
        <w:rPr>
          <w:rFonts w:ascii="Times New Roman" w:eastAsia="SimSun" w:hAnsi="Times New Roman" w:hint="default"/>
          <w:lang w:eastAsia="zh-CN"/>
        </w:rPr>
        <w:t xml:space="preserve"> krok v </w:t>
      </w:r>
      <w:r w:rsidR="009C1F3F">
        <w:rPr>
          <w:rFonts w:ascii="Times New Roman" w:eastAsia="SimSun" w:hAnsi="Times New Roman" w:hint="default"/>
          <w:lang w:eastAsia="zh-CN"/>
        </w:rPr>
        <w:t>rá</w:t>
      </w:r>
      <w:r w:rsidR="009C1F3F">
        <w:rPr>
          <w:rFonts w:ascii="Times New Roman" w:eastAsia="SimSun" w:hAnsi="Times New Roman" w:hint="default"/>
          <w:lang w:eastAsia="zh-CN"/>
        </w:rPr>
        <w:t>mci š</w:t>
      </w:r>
      <w:r w:rsidR="009C1F3F">
        <w:rPr>
          <w:rFonts w:ascii="Times New Roman" w:eastAsia="SimSun" w:hAnsi="Times New Roman" w:hint="default"/>
          <w:lang w:eastAsia="zh-CN"/>
        </w:rPr>
        <w:t>irš</w:t>
      </w:r>
      <w:r w:rsidR="009C1F3F">
        <w:rPr>
          <w:rFonts w:ascii="Times New Roman" w:eastAsia="SimSun" w:hAnsi="Times New Roman" w:hint="default"/>
          <w:lang w:eastAsia="zh-CN"/>
        </w:rPr>
        <w:t>ej koncepcie ú</w:t>
      </w:r>
      <w:r w:rsidR="009C1F3F">
        <w:rPr>
          <w:rFonts w:ascii="Times New Roman" w:eastAsia="SimSun" w:hAnsi="Times New Roman" w:hint="default"/>
          <w:lang w:eastAsia="zh-CN"/>
        </w:rPr>
        <w:t>pravy rež</w:t>
      </w:r>
      <w:r w:rsidR="009C1F3F">
        <w:rPr>
          <w:rFonts w:ascii="Times New Roman" w:eastAsia="SimSun" w:hAnsi="Times New Roman" w:hint="default"/>
          <w:lang w:eastAsia="zh-CN"/>
        </w:rPr>
        <w:t>imu vedenia zoznamu akcioná</w:t>
      </w:r>
      <w:r w:rsidR="009C1F3F">
        <w:rPr>
          <w:rFonts w:ascii="Times New Roman" w:eastAsia="SimSun" w:hAnsi="Times New Roman" w:hint="default"/>
          <w:lang w:eastAsia="zh-CN"/>
        </w:rPr>
        <w:t>rov. Po</w:t>
      </w:r>
      <w:r w:rsidR="009C1F3F">
        <w:rPr>
          <w:rFonts w:ascii="Times New Roman" w:eastAsia="SimSun" w:hAnsi="Times New Roman" w:hint="default"/>
          <w:lang w:eastAsia="zh-CN"/>
        </w:rPr>
        <w:t xml:space="preserve"> zavedení</w:t>
      </w:r>
      <w:r w:rsidR="009C1F3F">
        <w:rPr>
          <w:rFonts w:ascii="Times New Roman" w:eastAsia="SimSun" w:hAnsi="Times New Roman" w:hint="default"/>
          <w:lang w:eastAsia="zh-CN"/>
        </w:rPr>
        <w:t xml:space="preserve"> plné</w:t>
      </w:r>
      <w:r w:rsidR="009C1F3F">
        <w:rPr>
          <w:rFonts w:ascii="Times New Roman" w:eastAsia="SimSun" w:hAnsi="Times New Roman" w:hint="default"/>
          <w:lang w:eastAsia="zh-CN"/>
        </w:rPr>
        <w:t>ho č</w:t>
      </w:r>
      <w:r w:rsidR="009C1F3F">
        <w:rPr>
          <w:rFonts w:ascii="Times New Roman" w:eastAsia="SimSun" w:hAnsi="Times New Roman" w:hint="default"/>
          <w:lang w:eastAsia="zh-CN"/>
        </w:rPr>
        <w:t>lenské</w:t>
      </w:r>
      <w:r w:rsidR="009C1F3F">
        <w:rPr>
          <w:rFonts w:ascii="Times New Roman" w:eastAsia="SimSun" w:hAnsi="Times New Roman" w:hint="default"/>
          <w:lang w:eastAsia="zh-CN"/>
        </w:rPr>
        <w:t>ho princí</w:t>
      </w:r>
      <w:r w:rsidR="009C1F3F">
        <w:rPr>
          <w:rFonts w:ascii="Times New Roman" w:eastAsia="SimSun" w:hAnsi="Times New Roman" w:hint="default"/>
          <w:lang w:eastAsia="zh-CN"/>
        </w:rPr>
        <w:t>pu Centrá</w:t>
      </w:r>
      <w:r w:rsidR="009C1F3F">
        <w:rPr>
          <w:rFonts w:ascii="Times New Roman" w:eastAsia="SimSun" w:hAnsi="Times New Roman" w:hint="default"/>
          <w:lang w:eastAsia="zh-CN"/>
        </w:rPr>
        <w:t>lny depozitá</w:t>
      </w:r>
      <w:r w:rsidR="009C1F3F">
        <w:rPr>
          <w:rFonts w:ascii="Times New Roman" w:eastAsia="SimSun" w:hAnsi="Times New Roman" w:hint="default"/>
          <w:lang w:eastAsia="zh-CN"/>
        </w:rPr>
        <w:t>r cenný</w:t>
      </w:r>
      <w:r w:rsidR="009C1F3F">
        <w:rPr>
          <w:rFonts w:ascii="Times New Roman" w:eastAsia="SimSun" w:hAnsi="Times New Roman" w:hint="default"/>
          <w:lang w:eastAsia="zh-CN"/>
        </w:rPr>
        <w:t>ch papierov SR, a.s. pristú</w:t>
      </w:r>
      <w:r w:rsidR="009C1F3F">
        <w:rPr>
          <w:rFonts w:ascii="Times New Roman" w:eastAsia="SimSun" w:hAnsi="Times New Roman" w:hint="default"/>
          <w:lang w:eastAsia="zh-CN"/>
        </w:rPr>
        <w:t>pi k </w:t>
      </w:r>
      <w:r w:rsidR="009C1F3F">
        <w:rPr>
          <w:rFonts w:ascii="Times New Roman" w:eastAsia="SimSun" w:hAnsi="Times New Roman" w:hint="default"/>
          <w:lang w:eastAsia="zh-CN"/>
        </w:rPr>
        <w:t>vytvoreniu systé</w:t>
      </w:r>
      <w:r w:rsidR="009C1F3F">
        <w:rPr>
          <w:rFonts w:ascii="Times New Roman" w:eastAsia="SimSun" w:hAnsi="Times New Roman" w:hint="default"/>
          <w:lang w:eastAsia="zh-CN"/>
        </w:rPr>
        <w:t>mu pre centrá</w:t>
      </w:r>
      <w:r w:rsidR="009C1F3F">
        <w:rPr>
          <w:rFonts w:ascii="Times New Roman" w:eastAsia="SimSun" w:hAnsi="Times New Roman" w:hint="default"/>
          <w:lang w:eastAsia="zh-CN"/>
        </w:rPr>
        <w:t>lne poskytovanie ú</w:t>
      </w:r>
      <w:r w:rsidR="009C1F3F">
        <w:rPr>
          <w:rFonts w:ascii="Times New Roman" w:eastAsia="SimSun" w:hAnsi="Times New Roman" w:hint="default"/>
          <w:lang w:eastAsia="zh-CN"/>
        </w:rPr>
        <w:t>dajov zo zoznamu akcioná</w:t>
      </w:r>
      <w:r w:rsidR="009C1F3F">
        <w:rPr>
          <w:rFonts w:ascii="Times New Roman" w:eastAsia="SimSun" w:hAnsi="Times New Roman" w:hint="default"/>
          <w:lang w:eastAsia="zh-CN"/>
        </w:rPr>
        <w:t>rov a </w:t>
      </w:r>
      <w:r w:rsidR="009C1F3F">
        <w:rPr>
          <w:rFonts w:ascii="Times New Roman" w:eastAsia="SimSun" w:hAnsi="Times New Roman" w:hint="default"/>
          <w:lang w:eastAsia="zh-CN"/>
        </w:rPr>
        <w:t>ná</w:t>
      </w:r>
      <w:r w:rsidR="009C1F3F">
        <w:rPr>
          <w:rFonts w:ascii="Times New Roman" w:eastAsia="SimSun" w:hAnsi="Times New Roman" w:hint="default"/>
          <w:lang w:eastAsia="zh-CN"/>
        </w:rPr>
        <w:t>sledne bude mož</w:t>
      </w:r>
      <w:r w:rsidR="009C1F3F">
        <w:rPr>
          <w:rFonts w:ascii="Times New Roman" w:eastAsia="SimSun" w:hAnsi="Times New Roman" w:hint="default"/>
          <w:lang w:eastAsia="zh-CN"/>
        </w:rPr>
        <w:t>né</w:t>
      </w:r>
      <w:r w:rsidR="009C1F3F">
        <w:rPr>
          <w:rFonts w:ascii="Times New Roman" w:eastAsia="SimSun" w:hAnsi="Times New Roman" w:hint="default"/>
          <w:lang w:eastAsia="zh-CN"/>
        </w:rPr>
        <w:t xml:space="preserve"> decentralizovať</w:t>
      </w:r>
      <w:r w:rsidR="009C1F3F">
        <w:rPr>
          <w:rFonts w:ascii="Times New Roman" w:eastAsia="SimSun" w:hAnsi="Times New Roman" w:hint="default"/>
          <w:lang w:eastAsia="zh-CN"/>
        </w:rPr>
        <w:t xml:space="preserve"> vedenie zoznamu akcioná</w:t>
      </w:r>
      <w:r w:rsidR="009C1F3F">
        <w:rPr>
          <w:rFonts w:ascii="Times New Roman" w:eastAsia="SimSun" w:hAnsi="Times New Roman" w:hint="default"/>
          <w:lang w:eastAsia="zh-CN"/>
        </w:rPr>
        <w:t>rov.</w:t>
      </w:r>
    </w:p>
    <w:p w:rsidR="00E57B77" w:rsidP="00D85F5C">
      <w:pPr>
        <w:suppressAutoHyphens/>
        <w:autoSpaceDE w:val="0"/>
        <w:autoSpaceDN w:val="0"/>
        <w:bidi w:val="0"/>
        <w:adjustRightInd w:val="0"/>
        <w:spacing w:line="260" w:lineRule="atLeast"/>
        <w:jc w:val="both"/>
        <w:rPr>
          <w:rFonts w:ascii="Times New Roman" w:hAnsi="Times New Roman"/>
        </w:rPr>
      </w:pPr>
    </w:p>
    <w:p w:rsidR="000F6F1D" w:rsidP="00D85F5C">
      <w:pPr>
        <w:suppressAutoHyphens/>
        <w:autoSpaceDE w:val="0"/>
        <w:autoSpaceDN w:val="0"/>
        <w:bidi w:val="0"/>
        <w:adjustRightInd w:val="0"/>
        <w:spacing w:line="260" w:lineRule="atLeast"/>
        <w:jc w:val="both"/>
        <w:rPr>
          <w:rFonts w:ascii="Times New Roman" w:hAnsi="Times New Roman"/>
          <w:b/>
        </w:rPr>
      </w:pPr>
      <w:r w:rsidRPr="000F6F1D">
        <w:rPr>
          <w:rFonts w:ascii="Times New Roman" w:hAnsi="Times New Roman"/>
          <w:b/>
        </w:rPr>
        <w:t>K Čl. IV</w:t>
      </w:r>
    </w:p>
    <w:p w:rsidR="00004383" w:rsidP="00D85F5C">
      <w:pPr>
        <w:suppressAutoHyphens/>
        <w:autoSpaceDE w:val="0"/>
        <w:autoSpaceDN w:val="0"/>
        <w:bidi w:val="0"/>
        <w:adjustRightInd w:val="0"/>
        <w:spacing w:line="260" w:lineRule="atLeast"/>
        <w:jc w:val="both"/>
        <w:rPr>
          <w:rFonts w:ascii="Times New Roman" w:hAnsi="Times New Roman"/>
          <w:b/>
        </w:rPr>
      </w:pPr>
    </w:p>
    <w:p w:rsidR="00004383" w:rsidP="00D85F5C">
      <w:pPr>
        <w:suppressAutoHyphens/>
        <w:autoSpaceDE w:val="0"/>
        <w:autoSpaceDN w:val="0"/>
        <w:bidi w:val="0"/>
        <w:adjustRightInd w:val="0"/>
        <w:spacing w:line="260" w:lineRule="atLeast"/>
        <w:jc w:val="both"/>
        <w:rPr>
          <w:rFonts w:ascii="Times New Roman" w:hAnsi="Times New Roman"/>
          <w:b/>
        </w:rPr>
      </w:pPr>
      <w:r>
        <w:rPr>
          <w:rFonts w:ascii="Times New Roman" w:hAnsi="Times New Roman"/>
          <w:b/>
        </w:rPr>
        <w:t>K bodu 1</w:t>
      </w:r>
    </w:p>
    <w:p w:rsidR="00592BA0" w:rsidRPr="00592BA0" w:rsidP="00D85F5C">
      <w:pPr>
        <w:suppressAutoHyphens/>
        <w:autoSpaceDE w:val="0"/>
        <w:autoSpaceDN w:val="0"/>
        <w:bidi w:val="0"/>
        <w:adjustRightInd w:val="0"/>
        <w:spacing w:line="260" w:lineRule="atLeast"/>
        <w:jc w:val="both"/>
        <w:rPr>
          <w:rFonts w:ascii="Times New Roman" w:hAnsi="Times New Roman"/>
        </w:rPr>
      </w:pPr>
      <w:r w:rsidRPr="00592BA0">
        <w:rPr>
          <w:rFonts w:ascii="Times New Roman" w:hAnsi="Times New Roman"/>
        </w:rPr>
        <w:t xml:space="preserve">Ide o legislatívno-technickú </w:t>
      </w:r>
      <w:r w:rsidR="00662295">
        <w:rPr>
          <w:rFonts w:ascii="Times New Roman" w:hAnsi="Times New Roman"/>
        </w:rPr>
        <w:t>úpravu</w:t>
      </w:r>
      <w:r w:rsidRPr="00592BA0">
        <w:rPr>
          <w:rFonts w:ascii="Times New Roman" w:hAnsi="Times New Roman"/>
        </w:rPr>
        <w:t>.</w:t>
      </w:r>
    </w:p>
    <w:p w:rsidR="001277D4" w:rsidRPr="000F6F1D" w:rsidP="00D85F5C">
      <w:pPr>
        <w:suppressAutoHyphens/>
        <w:autoSpaceDE w:val="0"/>
        <w:autoSpaceDN w:val="0"/>
        <w:bidi w:val="0"/>
        <w:adjustRightInd w:val="0"/>
        <w:spacing w:line="260" w:lineRule="atLeast"/>
        <w:jc w:val="both"/>
        <w:rPr>
          <w:rFonts w:ascii="Times New Roman" w:eastAsia="SimSun" w:hAnsi="Times New Roman"/>
          <w:b/>
          <w:lang w:eastAsia="zh-CN"/>
        </w:rPr>
      </w:pPr>
    </w:p>
    <w:p w:rsidR="008B7772" w:rsidRPr="00C77FC6" w:rsidP="008B7772">
      <w:pPr>
        <w:suppressAutoHyphens/>
        <w:autoSpaceDE w:val="0"/>
        <w:autoSpaceDN w:val="0"/>
        <w:bidi w:val="0"/>
        <w:adjustRightInd w:val="0"/>
        <w:spacing w:line="260" w:lineRule="atLeast"/>
        <w:jc w:val="both"/>
        <w:rPr>
          <w:rFonts w:ascii="Times New Roman" w:hAnsi="Times New Roman"/>
          <w:b/>
        </w:rPr>
      </w:pPr>
      <w:r w:rsidRPr="00C77FC6">
        <w:rPr>
          <w:rFonts w:ascii="Times New Roman" w:hAnsi="Times New Roman"/>
          <w:b/>
        </w:rPr>
        <w:t>K bod</w:t>
      </w:r>
      <w:r w:rsidR="00662295">
        <w:rPr>
          <w:rFonts w:ascii="Times New Roman" w:hAnsi="Times New Roman"/>
          <w:b/>
        </w:rPr>
        <w:t>u</w:t>
      </w:r>
      <w:r w:rsidRPr="00C77FC6">
        <w:rPr>
          <w:rFonts w:ascii="Times New Roman" w:hAnsi="Times New Roman"/>
          <w:b/>
        </w:rPr>
        <w:t xml:space="preserve"> </w:t>
      </w:r>
      <w:r w:rsidR="006C27E1">
        <w:rPr>
          <w:rFonts w:ascii="Times New Roman" w:hAnsi="Times New Roman"/>
          <w:b/>
        </w:rPr>
        <w:t>2</w:t>
      </w:r>
      <w:r w:rsidRPr="00C77FC6">
        <w:rPr>
          <w:rFonts w:ascii="Times New Roman" w:hAnsi="Times New Roman"/>
          <w:b/>
        </w:rPr>
        <w:t xml:space="preserve"> </w:t>
      </w:r>
    </w:p>
    <w:p w:rsidR="00592BA0" w:rsidRPr="009C1F3F" w:rsidP="00592BA0">
      <w:pPr>
        <w:suppressAutoHyphens/>
        <w:autoSpaceDE w:val="0"/>
        <w:autoSpaceDN w:val="0"/>
        <w:bidi w:val="0"/>
        <w:adjustRightInd w:val="0"/>
        <w:spacing w:line="260" w:lineRule="atLeast"/>
        <w:jc w:val="both"/>
        <w:rPr>
          <w:rFonts w:ascii="Times New Roman" w:hAnsi="Times New Roman" w:cs="Calibri"/>
        </w:rPr>
      </w:pPr>
      <w:r w:rsidRPr="009C1F3F">
        <w:rPr>
          <w:rFonts w:ascii="Times New Roman" w:hAnsi="Times New Roman" w:cs="Calibri"/>
        </w:rPr>
        <w:t xml:space="preserve">Ide o zosúladenie s platnými a tiež s navrhnutými ustanoveniami zákona o konkurze. </w:t>
      </w:r>
    </w:p>
    <w:p w:rsidR="008B7772" w:rsidRPr="00C77FC6" w:rsidP="008B7772">
      <w:pPr>
        <w:suppressAutoHyphens/>
        <w:autoSpaceDE w:val="0"/>
        <w:autoSpaceDN w:val="0"/>
        <w:bidi w:val="0"/>
        <w:adjustRightInd w:val="0"/>
        <w:spacing w:line="260" w:lineRule="atLeast"/>
        <w:jc w:val="both"/>
        <w:rPr>
          <w:rFonts w:ascii="Times New Roman" w:hAnsi="Times New Roman"/>
        </w:rPr>
      </w:pPr>
    </w:p>
    <w:p w:rsidR="008B7772" w:rsidRPr="00C77FC6" w:rsidP="008B7772">
      <w:pPr>
        <w:bidi w:val="0"/>
        <w:jc w:val="both"/>
        <w:rPr>
          <w:rFonts w:ascii="Times New Roman" w:hAnsi="Times New Roman"/>
          <w:b/>
        </w:rPr>
      </w:pPr>
      <w:r w:rsidRPr="00C77FC6">
        <w:rPr>
          <w:rFonts w:ascii="Times New Roman" w:hAnsi="Times New Roman"/>
          <w:b/>
        </w:rPr>
        <w:t xml:space="preserve">K bodom </w:t>
      </w:r>
      <w:r w:rsidR="00662295">
        <w:rPr>
          <w:rFonts w:ascii="Times New Roman" w:hAnsi="Times New Roman"/>
          <w:b/>
        </w:rPr>
        <w:t>3</w:t>
      </w:r>
      <w:r w:rsidRPr="00C77FC6">
        <w:rPr>
          <w:rFonts w:ascii="Times New Roman" w:hAnsi="Times New Roman"/>
          <w:b/>
        </w:rPr>
        <w:t xml:space="preserve"> a </w:t>
      </w:r>
      <w:r w:rsidR="00662295">
        <w:rPr>
          <w:rFonts w:ascii="Times New Roman" w:hAnsi="Times New Roman"/>
          <w:b/>
        </w:rPr>
        <w:t>4</w:t>
      </w:r>
    </w:p>
    <w:p w:rsidR="00592BA0" w:rsidRPr="00C77FC6" w:rsidP="00592BA0">
      <w:pPr>
        <w:suppressAutoHyphens/>
        <w:autoSpaceDE w:val="0"/>
        <w:autoSpaceDN w:val="0"/>
        <w:bidi w:val="0"/>
        <w:adjustRightInd w:val="0"/>
        <w:spacing w:line="260" w:lineRule="atLeast"/>
        <w:jc w:val="both"/>
        <w:rPr>
          <w:rFonts w:ascii="Times New Roman" w:eastAsia="SimSun" w:hAnsi="Times New Roman" w:hint="default"/>
          <w:lang w:eastAsia="zh-CN"/>
        </w:rPr>
      </w:pPr>
      <w:r w:rsidRPr="00C77FC6">
        <w:rPr>
          <w:rFonts w:ascii="Times New Roman" w:eastAsia="SimSun" w:hAnsi="Times New Roman" w:hint="default"/>
          <w:lang w:eastAsia="zh-CN"/>
        </w:rPr>
        <w:t>Zmena ná</w:t>
      </w:r>
      <w:r w:rsidRPr="00C77FC6">
        <w:rPr>
          <w:rFonts w:ascii="Times New Roman" w:eastAsia="SimSun" w:hAnsi="Times New Roman" w:hint="default"/>
          <w:lang w:eastAsia="zh-CN"/>
        </w:rPr>
        <w:t>zvu reaguje na skutoč</w:t>
      </w:r>
      <w:r w:rsidRPr="00C77FC6">
        <w:rPr>
          <w:rFonts w:ascii="Times New Roman" w:eastAsia="SimSun" w:hAnsi="Times New Roman" w:hint="default"/>
          <w:lang w:eastAsia="zh-CN"/>
        </w:rPr>
        <w:t>nosť</w:t>
      </w:r>
      <w:r w:rsidRPr="00C77FC6">
        <w:rPr>
          <w:rFonts w:ascii="Times New Roman" w:eastAsia="SimSun" w:hAnsi="Times New Roman" w:hint="default"/>
          <w:lang w:eastAsia="zh-CN"/>
        </w:rPr>
        <w:t>, ž</w:t>
      </w:r>
      <w:r w:rsidRPr="00C77FC6">
        <w:rPr>
          <w:rFonts w:ascii="Times New Roman" w:eastAsia="SimSun" w:hAnsi="Times New Roman" w:hint="default"/>
          <w:lang w:eastAsia="zh-CN"/>
        </w:rPr>
        <w:t>e dotknuté</w:t>
      </w:r>
      <w:r w:rsidRPr="00C77FC6">
        <w:rPr>
          <w:rFonts w:ascii="Times New Roman" w:eastAsia="SimSun" w:hAnsi="Times New Roman" w:hint="default"/>
          <w:lang w:eastAsia="zh-CN"/>
        </w:rPr>
        <w:t xml:space="preserve"> ustanovenia, najmä</w:t>
      </w:r>
      <w:r w:rsidRPr="00C77FC6">
        <w:rPr>
          <w:rFonts w:ascii="Times New Roman" w:eastAsia="SimSun" w:hAnsi="Times New Roman" w:hint="default"/>
          <w:lang w:eastAsia="zh-CN"/>
        </w:rPr>
        <w:t xml:space="preserve"> §</w:t>
      </w:r>
      <w:r w:rsidRPr="00C77FC6">
        <w:rPr>
          <w:rFonts w:ascii="Times New Roman" w:eastAsia="SimSun" w:hAnsi="Times New Roman" w:hint="default"/>
          <w:lang w:eastAsia="zh-CN"/>
        </w:rPr>
        <w:t xml:space="preserve"> 180, sa budú</w:t>
      </w:r>
      <w:r w:rsidRPr="00C77FC6">
        <w:rPr>
          <w:rFonts w:ascii="Times New Roman" w:eastAsia="SimSun" w:hAnsi="Times New Roman" w:hint="default"/>
          <w:lang w:eastAsia="zh-CN"/>
        </w:rPr>
        <w:t xml:space="preserve"> aplikovať</w:t>
      </w:r>
      <w:r w:rsidRPr="00C77FC6">
        <w:rPr>
          <w:rFonts w:ascii="Times New Roman" w:eastAsia="SimSun" w:hAnsi="Times New Roman" w:hint="default"/>
          <w:lang w:eastAsia="zh-CN"/>
        </w:rPr>
        <w:t xml:space="preserve"> nielen v konkurze </w:t>
      </w:r>
      <w:r w:rsidRPr="00C77FC6">
        <w:rPr>
          <w:rFonts w:ascii="Times New Roman" w:eastAsia="SimSun" w:hAnsi="Times New Roman" w:hint="default"/>
          <w:lang w:eastAsia="zh-CN"/>
        </w:rPr>
        <w:t>finanč</w:t>
      </w:r>
      <w:r w:rsidRPr="00C77FC6">
        <w:rPr>
          <w:rFonts w:ascii="Times New Roman" w:eastAsia="SimSun" w:hAnsi="Times New Roman" w:hint="default"/>
          <w:lang w:eastAsia="zh-CN"/>
        </w:rPr>
        <w:t>ný</w:t>
      </w:r>
      <w:r w:rsidRPr="00C77FC6">
        <w:rPr>
          <w:rFonts w:ascii="Times New Roman" w:eastAsia="SimSun" w:hAnsi="Times New Roman" w:hint="default"/>
          <w:lang w:eastAsia="zh-CN"/>
        </w:rPr>
        <w:t>ch inš</w:t>
      </w:r>
      <w:r w:rsidRPr="00C77FC6">
        <w:rPr>
          <w:rFonts w:ascii="Times New Roman" w:eastAsia="SimSun" w:hAnsi="Times New Roman" w:hint="default"/>
          <w:lang w:eastAsia="zh-CN"/>
        </w:rPr>
        <w:t>titú</w:t>
      </w:r>
      <w:r w:rsidRPr="00C77FC6">
        <w:rPr>
          <w:rFonts w:ascii="Times New Roman" w:eastAsia="SimSun" w:hAnsi="Times New Roman" w:hint="default"/>
          <w:lang w:eastAsia="zh-CN"/>
        </w:rPr>
        <w:t>cií</w:t>
      </w:r>
      <w:r w:rsidRPr="00C77FC6">
        <w:rPr>
          <w:rFonts w:ascii="Times New Roman" w:eastAsia="SimSun" w:hAnsi="Times New Roman" w:hint="default"/>
          <w:lang w:eastAsia="zh-CN"/>
        </w:rPr>
        <w:t xml:space="preserve">. </w:t>
      </w:r>
    </w:p>
    <w:p w:rsidR="00662295" w:rsidP="008B7772">
      <w:pPr>
        <w:bidi w:val="0"/>
        <w:jc w:val="both"/>
        <w:rPr>
          <w:rFonts w:ascii="Times New Roman" w:eastAsia="SimSun" w:hAnsi="Times New Roman"/>
          <w:lang w:eastAsia="zh-CN"/>
        </w:rPr>
      </w:pPr>
    </w:p>
    <w:p w:rsidR="00662295" w:rsidRPr="00662295" w:rsidP="008B7772">
      <w:pPr>
        <w:bidi w:val="0"/>
        <w:jc w:val="both"/>
        <w:rPr>
          <w:rFonts w:ascii="Times New Roman" w:eastAsia="SimSun" w:hAnsi="Times New Roman"/>
          <w:b/>
          <w:lang w:eastAsia="zh-CN"/>
        </w:rPr>
      </w:pPr>
      <w:r w:rsidRPr="00662295">
        <w:rPr>
          <w:rFonts w:ascii="Times New Roman" w:eastAsia="SimSun" w:hAnsi="Times New Roman"/>
          <w:b/>
          <w:lang w:eastAsia="zh-CN"/>
        </w:rPr>
        <w:t>K bodom 5 a 6</w:t>
      </w:r>
    </w:p>
    <w:p w:rsidR="008B7772" w:rsidRPr="00C77FC6" w:rsidP="008B7772">
      <w:pPr>
        <w:bidi w:val="0"/>
        <w:jc w:val="both"/>
        <w:rPr>
          <w:rFonts w:ascii="Times New Roman" w:eastAsia="SimSun" w:hAnsi="Times New Roman" w:hint="default"/>
          <w:lang w:eastAsia="zh-CN"/>
        </w:rPr>
      </w:pPr>
      <w:r w:rsidRPr="00C77FC6">
        <w:rPr>
          <w:rFonts w:ascii="Times New Roman" w:eastAsia="SimSun" w:hAnsi="Times New Roman"/>
          <w:lang w:eastAsia="zh-CN"/>
        </w:rPr>
        <w:t>Ide o </w:t>
      </w:r>
      <w:r w:rsidRPr="00C77FC6">
        <w:rPr>
          <w:rFonts w:ascii="Times New Roman" w:eastAsia="SimSun" w:hAnsi="Times New Roman" w:hint="default"/>
          <w:lang w:eastAsia="zh-CN"/>
        </w:rPr>
        <w:t>spresnenie implementá</w:t>
      </w:r>
      <w:r w:rsidRPr="00C77FC6">
        <w:rPr>
          <w:rFonts w:ascii="Times New Roman" w:eastAsia="SimSun" w:hAnsi="Times New Roman" w:hint="default"/>
          <w:lang w:eastAsia="zh-CN"/>
        </w:rPr>
        <w:t>ciu č</w:t>
      </w:r>
      <w:r w:rsidRPr="00C77FC6">
        <w:rPr>
          <w:rFonts w:ascii="Times New Roman" w:eastAsia="SimSun" w:hAnsi="Times New Roman" w:hint="default"/>
          <w:lang w:eastAsia="zh-CN"/>
        </w:rPr>
        <w:t>lá</w:t>
      </w:r>
      <w:r w:rsidRPr="00C77FC6">
        <w:rPr>
          <w:rFonts w:ascii="Times New Roman" w:eastAsia="SimSun" w:hAnsi="Times New Roman" w:hint="default"/>
          <w:lang w:eastAsia="zh-CN"/>
        </w:rPr>
        <w:t>nku 8 smernice 2002/47/EC  upravujú</w:t>
      </w:r>
      <w:r w:rsidRPr="00C77FC6">
        <w:rPr>
          <w:rFonts w:ascii="Times New Roman" w:eastAsia="SimSun" w:hAnsi="Times New Roman" w:hint="default"/>
          <w:lang w:eastAsia="zh-CN"/>
        </w:rPr>
        <w:t xml:space="preserve">ceho </w:t>
      </w:r>
      <w:r w:rsidRPr="00C77FC6">
        <w:rPr>
          <w:rFonts w:ascii="Times New Roman" w:hAnsi="Times New Roman"/>
          <w:lang w:eastAsia="en-US"/>
        </w:rPr>
        <w:t xml:space="preserve">neplatnosť  niektorých ustanovení o platobnej neschopnosti. </w:t>
      </w:r>
      <w:r w:rsidRPr="00C77FC6">
        <w:rPr>
          <w:rFonts w:ascii="Times New Roman" w:eastAsia="SimSun" w:hAnsi="Times New Roman"/>
          <w:lang w:eastAsia="zh-CN"/>
        </w:rPr>
        <w:t>V </w:t>
      </w:r>
      <w:r w:rsidRPr="00C77FC6">
        <w:rPr>
          <w:rFonts w:ascii="Times New Roman" w:eastAsia="SimSun" w:hAnsi="Times New Roman" w:hint="default"/>
          <w:lang w:eastAsia="zh-CN"/>
        </w:rPr>
        <w:t>sú</w:t>
      </w:r>
      <w:r w:rsidRPr="00C77FC6">
        <w:rPr>
          <w:rFonts w:ascii="Times New Roman" w:eastAsia="SimSun" w:hAnsi="Times New Roman" w:hint="default"/>
          <w:lang w:eastAsia="zh-CN"/>
        </w:rPr>
        <w:t>lade so smernicou sa dopĺň</w:t>
      </w:r>
      <w:r w:rsidRPr="00C77FC6">
        <w:rPr>
          <w:rFonts w:ascii="Times New Roman" w:eastAsia="SimSun" w:hAnsi="Times New Roman" w:hint="default"/>
          <w:lang w:eastAsia="zh-CN"/>
        </w:rPr>
        <w:t>a ochrana pre finanč</w:t>
      </w:r>
      <w:r w:rsidRPr="00C77FC6">
        <w:rPr>
          <w:rFonts w:ascii="Times New Roman" w:eastAsia="SimSun" w:hAnsi="Times New Roman" w:hint="default"/>
          <w:lang w:eastAsia="zh-CN"/>
        </w:rPr>
        <w:t>né</w:t>
      </w:r>
      <w:r w:rsidRPr="00C77FC6">
        <w:rPr>
          <w:rFonts w:ascii="Times New Roman" w:eastAsia="SimSun" w:hAnsi="Times New Roman" w:hint="default"/>
          <w:lang w:eastAsia="zh-CN"/>
        </w:rPr>
        <w:t xml:space="preserve"> zá</w:t>
      </w:r>
      <w:r w:rsidRPr="00C77FC6">
        <w:rPr>
          <w:rFonts w:ascii="Times New Roman" w:eastAsia="SimSun" w:hAnsi="Times New Roman" w:hint="default"/>
          <w:lang w:eastAsia="zh-CN"/>
        </w:rPr>
        <w:t>ruky vo forme ú</w:t>
      </w:r>
      <w:r w:rsidRPr="00C77FC6">
        <w:rPr>
          <w:rFonts w:ascii="Times New Roman" w:eastAsia="SimSun" w:hAnsi="Times New Roman" w:hint="default"/>
          <w:lang w:eastAsia="zh-CN"/>
        </w:rPr>
        <w:t>verový</w:t>
      </w:r>
      <w:r w:rsidRPr="00C77FC6">
        <w:rPr>
          <w:rFonts w:ascii="Times New Roman" w:eastAsia="SimSun" w:hAnsi="Times New Roman" w:hint="default"/>
          <w:lang w:eastAsia="zh-CN"/>
        </w:rPr>
        <w:t>ch pohľ</w:t>
      </w:r>
      <w:r w:rsidRPr="00C77FC6">
        <w:rPr>
          <w:rFonts w:ascii="Times New Roman" w:eastAsia="SimSun" w:hAnsi="Times New Roman" w:hint="default"/>
          <w:lang w:eastAsia="zh-CN"/>
        </w:rPr>
        <w:t>adá</w:t>
      </w:r>
      <w:r w:rsidRPr="00C77FC6">
        <w:rPr>
          <w:rFonts w:ascii="Times New Roman" w:eastAsia="SimSun" w:hAnsi="Times New Roman" w:hint="default"/>
          <w:lang w:eastAsia="zh-CN"/>
        </w:rPr>
        <w:t>vok a spresň</w:t>
      </w:r>
      <w:r w:rsidRPr="00C77FC6">
        <w:rPr>
          <w:rFonts w:ascii="Times New Roman" w:eastAsia="SimSun" w:hAnsi="Times New Roman" w:hint="default"/>
          <w:lang w:eastAsia="zh-CN"/>
        </w:rPr>
        <w:t>uje sa ochrana aj pre prí</w:t>
      </w:r>
      <w:r w:rsidRPr="00C77FC6">
        <w:rPr>
          <w:rFonts w:ascii="Times New Roman" w:eastAsia="SimSun" w:hAnsi="Times New Roman" w:hint="default"/>
          <w:lang w:eastAsia="zh-CN"/>
        </w:rPr>
        <w:t>pad poskytnutia dodatoč</w:t>
      </w:r>
      <w:r w:rsidRPr="00C77FC6">
        <w:rPr>
          <w:rFonts w:ascii="Times New Roman" w:eastAsia="SimSun" w:hAnsi="Times New Roman" w:hint="default"/>
          <w:lang w:eastAsia="zh-CN"/>
        </w:rPr>
        <w:t>né</w:t>
      </w:r>
      <w:r w:rsidRPr="00C77FC6">
        <w:rPr>
          <w:rFonts w:ascii="Times New Roman" w:eastAsia="SimSun" w:hAnsi="Times New Roman" w:hint="default"/>
          <w:lang w:eastAsia="zh-CN"/>
        </w:rPr>
        <w:t>ho alebo ná</w:t>
      </w:r>
      <w:r w:rsidRPr="00C77FC6">
        <w:rPr>
          <w:rFonts w:ascii="Times New Roman" w:eastAsia="SimSun" w:hAnsi="Times New Roman" w:hint="default"/>
          <w:lang w:eastAsia="zh-CN"/>
        </w:rPr>
        <w:t>hradné</w:t>
      </w:r>
      <w:r w:rsidRPr="00C77FC6">
        <w:rPr>
          <w:rFonts w:ascii="Times New Roman" w:eastAsia="SimSun" w:hAnsi="Times New Roman" w:hint="default"/>
          <w:lang w:eastAsia="zh-CN"/>
        </w:rPr>
        <w:t>ho finanč</w:t>
      </w:r>
      <w:r w:rsidRPr="00C77FC6">
        <w:rPr>
          <w:rFonts w:ascii="Times New Roman" w:eastAsia="SimSun" w:hAnsi="Times New Roman" w:hint="default"/>
          <w:lang w:eastAsia="zh-CN"/>
        </w:rPr>
        <w:t>né</w:t>
      </w:r>
      <w:r w:rsidRPr="00C77FC6">
        <w:rPr>
          <w:rFonts w:ascii="Times New Roman" w:eastAsia="SimSun" w:hAnsi="Times New Roman" w:hint="default"/>
          <w:lang w:eastAsia="zh-CN"/>
        </w:rPr>
        <w:t>ho kolaterá</w:t>
      </w:r>
      <w:r w:rsidRPr="00C77FC6">
        <w:rPr>
          <w:rFonts w:ascii="Times New Roman" w:eastAsia="SimSun" w:hAnsi="Times New Roman" w:hint="default"/>
          <w:lang w:eastAsia="zh-CN"/>
        </w:rPr>
        <w:t>lu.</w:t>
      </w:r>
    </w:p>
    <w:p w:rsidR="0022646B" w:rsidRPr="00C77FC6" w:rsidP="008B7772">
      <w:pPr>
        <w:suppressAutoHyphens/>
        <w:autoSpaceDE w:val="0"/>
        <w:autoSpaceDN w:val="0"/>
        <w:bidi w:val="0"/>
        <w:adjustRightInd w:val="0"/>
        <w:spacing w:line="260" w:lineRule="atLeast"/>
        <w:jc w:val="both"/>
        <w:rPr>
          <w:rFonts w:ascii="Times New Roman" w:eastAsia="SimSun" w:hAnsi="Times New Roman"/>
          <w:lang w:eastAsia="zh-CN"/>
        </w:rPr>
      </w:pPr>
    </w:p>
    <w:p w:rsidR="000F6F1D" w:rsidRPr="000F6F1D" w:rsidP="000F6F1D">
      <w:pPr>
        <w:suppressAutoHyphens/>
        <w:autoSpaceDE w:val="0"/>
        <w:autoSpaceDN w:val="0"/>
        <w:bidi w:val="0"/>
        <w:adjustRightInd w:val="0"/>
        <w:spacing w:line="260" w:lineRule="atLeast"/>
        <w:jc w:val="both"/>
        <w:rPr>
          <w:rFonts w:ascii="Times New Roman" w:eastAsia="SimSun" w:hAnsi="Times New Roman"/>
          <w:b/>
          <w:lang w:eastAsia="zh-CN"/>
        </w:rPr>
      </w:pPr>
      <w:r w:rsidRPr="000F6F1D">
        <w:rPr>
          <w:rFonts w:ascii="Times New Roman" w:eastAsia="SimSun" w:hAnsi="Times New Roman"/>
          <w:b/>
          <w:lang w:eastAsia="zh-CN"/>
        </w:rPr>
        <w:t xml:space="preserve">K bodom </w:t>
      </w:r>
      <w:r w:rsidR="006C27E1">
        <w:rPr>
          <w:rFonts w:ascii="Times New Roman" w:eastAsia="SimSun" w:hAnsi="Times New Roman"/>
          <w:b/>
          <w:lang w:eastAsia="zh-CN"/>
        </w:rPr>
        <w:t>7</w:t>
      </w:r>
      <w:r w:rsidRPr="000F6F1D">
        <w:rPr>
          <w:rFonts w:ascii="Times New Roman" w:eastAsia="SimSun" w:hAnsi="Times New Roman"/>
          <w:b/>
          <w:lang w:eastAsia="zh-CN"/>
        </w:rPr>
        <w:t xml:space="preserve"> a </w:t>
      </w:r>
      <w:r w:rsidR="006C27E1">
        <w:rPr>
          <w:rFonts w:ascii="Times New Roman" w:eastAsia="SimSun" w:hAnsi="Times New Roman"/>
          <w:b/>
          <w:lang w:eastAsia="zh-CN"/>
        </w:rPr>
        <w:t>8</w:t>
      </w:r>
    </w:p>
    <w:p w:rsidR="00592BA0" w:rsidRPr="00C77FC6" w:rsidP="00592BA0">
      <w:pPr>
        <w:suppressAutoHyphens/>
        <w:autoSpaceDE w:val="0"/>
        <w:autoSpaceDN w:val="0"/>
        <w:bidi w:val="0"/>
        <w:adjustRightInd w:val="0"/>
        <w:spacing w:line="260" w:lineRule="atLeast"/>
        <w:jc w:val="both"/>
        <w:rPr>
          <w:rFonts w:ascii="Times New Roman" w:eastAsia="SimSun" w:hAnsi="Times New Roman" w:hint="default"/>
          <w:lang w:eastAsia="zh-CN"/>
        </w:rPr>
      </w:pPr>
      <w:r w:rsidRPr="00C77FC6">
        <w:rPr>
          <w:rFonts w:ascii="Times New Roman" w:eastAsia="SimSun" w:hAnsi="Times New Roman"/>
          <w:lang w:eastAsia="zh-CN"/>
        </w:rPr>
        <w:t>V </w:t>
      </w:r>
      <w:r w:rsidRPr="00C77FC6">
        <w:rPr>
          <w:rFonts w:ascii="Times New Roman" w:eastAsia="SimSun" w:hAnsi="Times New Roman" w:hint="default"/>
          <w:lang w:eastAsia="zh-CN"/>
        </w:rPr>
        <w:t>zá</w:t>
      </w:r>
      <w:r w:rsidRPr="00C77FC6">
        <w:rPr>
          <w:rFonts w:ascii="Times New Roman" w:eastAsia="SimSun" w:hAnsi="Times New Roman" w:hint="default"/>
          <w:lang w:eastAsia="zh-CN"/>
        </w:rPr>
        <w:t>ujme posilnenia prá</w:t>
      </w:r>
      <w:r w:rsidRPr="00C77FC6">
        <w:rPr>
          <w:rFonts w:ascii="Times New Roman" w:eastAsia="SimSun" w:hAnsi="Times New Roman" w:hint="default"/>
          <w:lang w:eastAsia="zh-CN"/>
        </w:rPr>
        <w:t>vnej istoty úč</w:t>
      </w:r>
      <w:r w:rsidRPr="00C77FC6">
        <w:rPr>
          <w:rFonts w:ascii="Times New Roman" w:eastAsia="SimSun" w:hAnsi="Times New Roman" w:hint="default"/>
          <w:lang w:eastAsia="zh-CN"/>
        </w:rPr>
        <w:t>astní</w:t>
      </w:r>
      <w:r w:rsidRPr="00C77FC6">
        <w:rPr>
          <w:rFonts w:ascii="Times New Roman" w:eastAsia="SimSun" w:hAnsi="Times New Roman" w:hint="default"/>
          <w:lang w:eastAsia="zh-CN"/>
        </w:rPr>
        <w:t>kov finanč</w:t>
      </w:r>
      <w:r w:rsidRPr="00C77FC6">
        <w:rPr>
          <w:rFonts w:ascii="Times New Roman" w:eastAsia="SimSun" w:hAnsi="Times New Roman" w:hint="default"/>
          <w:lang w:eastAsia="zh-CN"/>
        </w:rPr>
        <w:t>né</w:t>
      </w:r>
      <w:r w:rsidRPr="00C77FC6">
        <w:rPr>
          <w:rFonts w:ascii="Times New Roman" w:eastAsia="SimSun" w:hAnsi="Times New Roman" w:hint="default"/>
          <w:lang w:eastAsia="zh-CN"/>
        </w:rPr>
        <w:t>ho trhu sa spresň</w:t>
      </w:r>
      <w:r w:rsidRPr="00C77FC6">
        <w:rPr>
          <w:rFonts w:ascii="Times New Roman" w:eastAsia="SimSun" w:hAnsi="Times New Roman" w:hint="default"/>
          <w:lang w:eastAsia="zh-CN"/>
        </w:rPr>
        <w:t>uje, ž</w:t>
      </w:r>
      <w:r w:rsidRPr="00C77FC6">
        <w:rPr>
          <w:rFonts w:ascii="Times New Roman" w:eastAsia="SimSun" w:hAnsi="Times New Roman" w:hint="default"/>
          <w:lang w:eastAsia="zh-CN"/>
        </w:rPr>
        <w:t>e zmluva o </w:t>
      </w:r>
      <w:r w:rsidRPr="00C77FC6">
        <w:rPr>
          <w:rFonts w:ascii="Times New Roman" w:eastAsia="SimSun" w:hAnsi="Times New Roman" w:hint="default"/>
          <w:lang w:eastAsia="zh-CN"/>
        </w:rPr>
        <w:t>zá</w:t>
      </w:r>
      <w:r w:rsidRPr="00C77FC6">
        <w:rPr>
          <w:rFonts w:ascii="Times New Roman" w:eastAsia="SimSun" w:hAnsi="Times New Roman" w:hint="default"/>
          <w:lang w:eastAsia="zh-CN"/>
        </w:rPr>
        <w:t>vereč</w:t>
      </w:r>
      <w:r w:rsidRPr="00C77FC6">
        <w:rPr>
          <w:rFonts w:ascii="Times New Roman" w:eastAsia="SimSun" w:hAnsi="Times New Roman" w:hint="default"/>
          <w:lang w:eastAsia="zh-CN"/>
        </w:rPr>
        <w:t>nom vyrovnaní</w:t>
      </w:r>
      <w:r w:rsidRPr="00C77FC6">
        <w:rPr>
          <w:rFonts w:ascii="Times New Roman" w:eastAsia="SimSun" w:hAnsi="Times New Roman" w:hint="default"/>
          <w:lang w:eastAsia="zh-CN"/>
        </w:rPr>
        <w:t xml:space="preserve"> ziskov a </w:t>
      </w:r>
      <w:r w:rsidRPr="00C77FC6">
        <w:rPr>
          <w:rFonts w:ascii="Times New Roman" w:eastAsia="SimSun" w:hAnsi="Times New Roman" w:hint="default"/>
          <w:lang w:eastAsia="zh-CN"/>
        </w:rPr>
        <w:t>strá</w:t>
      </w:r>
      <w:r w:rsidRPr="00C77FC6">
        <w:rPr>
          <w:rFonts w:ascii="Times New Roman" w:eastAsia="SimSun" w:hAnsi="Times New Roman" w:hint="default"/>
          <w:lang w:eastAsia="zh-CN"/>
        </w:rPr>
        <w:t>t môž</w:t>
      </w:r>
      <w:r w:rsidRPr="00C77FC6">
        <w:rPr>
          <w:rFonts w:ascii="Times New Roman" w:eastAsia="SimSun" w:hAnsi="Times New Roman" w:hint="default"/>
          <w:lang w:eastAsia="zh-CN"/>
        </w:rPr>
        <w:t>e byť</w:t>
      </w:r>
      <w:r w:rsidRPr="00C77FC6">
        <w:rPr>
          <w:rFonts w:ascii="Times New Roman" w:eastAsia="SimSun" w:hAnsi="Times New Roman" w:hint="default"/>
          <w:lang w:eastAsia="zh-CN"/>
        </w:rPr>
        <w:t xml:space="preserve"> uzavretá</w:t>
      </w:r>
      <w:r w:rsidRPr="00C77FC6">
        <w:rPr>
          <w:rFonts w:ascii="Times New Roman" w:eastAsia="SimSun" w:hAnsi="Times New Roman" w:hint="default"/>
          <w:lang w:eastAsia="zh-CN"/>
        </w:rPr>
        <w:t xml:space="preserve"> aj podľ</w:t>
      </w:r>
      <w:r w:rsidRPr="00C77FC6">
        <w:rPr>
          <w:rFonts w:ascii="Times New Roman" w:eastAsia="SimSun" w:hAnsi="Times New Roman" w:hint="default"/>
          <w:lang w:eastAsia="zh-CN"/>
        </w:rPr>
        <w:t>a cudzieho prá</w:t>
      </w:r>
      <w:r w:rsidRPr="00C77FC6">
        <w:rPr>
          <w:rFonts w:ascii="Times New Roman" w:eastAsia="SimSun" w:hAnsi="Times New Roman" w:hint="default"/>
          <w:lang w:eastAsia="zh-CN"/>
        </w:rPr>
        <w:t>va. Napr. najrozší</w:t>
      </w:r>
      <w:r w:rsidRPr="00C77FC6">
        <w:rPr>
          <w:rFonts w:ascii="Times New Roman" w:eastAsia="SimSun" w:hAnsi="Times New Roman" w:hint="default"/>
          <w:lang w:eastAsia="zh-CN"/>
        </w:rPr>
        <w:t>renejš</w:t>
      </w:r>
      <w:r w:rsidRPr="00C77FC6">
        <w:rPr>
          <w:rFonts w:ascii="Times New Roman" w:eastAsia="SimSun" w:hAnsi="Times New Roman" w:hint="default"/>
          <w:lang w:eastAsia="zh-CN"/>
        </w:rPr>
        <w:t>ia zmluva tohto typu ISDA Master Agreement sa obvykle spravuje anglický</w:t>
      </w:r>
      <w:r w:rsidRPr="00C77FC6">
        <w:rPr>
          <w:rFonts w:ascii="Times New Roman" w:eastAsia="SimSun" w:hAnsi="Times New Roman" w:hint="default"/>
          <w:lang w:eastAsia="zh-CN"/>
        </w:rPr>
        <w:t>m prá</w:t>
      </w:r>
      <w:r w:rsidRPr="00C77FC6">
        <w:rPr>
          <w:rFonts w:ascii="Times New Roman" w:eastAsia="SimSun" w:hAnsi="Times New Roman" w:hint="default"/>
          <w:lang w:eastAsia="zh-CN"/>
        </w:rPr>
        <w:t>vom alebo prá</w:t>
      </w:r>
      <w:r w:rsidRPr="00C77FC6">
        <w:rPr>
          <w:rFonts w:ascii="Times New Roman" w:eastAsia="SimSun" w:hAnsi="Times New Roman" w:hint="default"/>
          <w:lang w:eastAsia="zh-CN"/>
        </w:rPr>
        <w:t>vom š</w:t>
      </w:r>
      <w:r w:rsidRPr="00C77FC6">
        <w:rPr>
          <w:rFonts w:ascii="Times New Roman" w:eastAsia="SimSun" w:hAnsi="Times New Roman" w:hint="default"/>
          <w:lang w:eastAsia="zh-CN"/>
        </w:rPr>
        <w:t>tá</w:t>
      </w:r>
      <w:r w:rsidRPr="00C77FC6">
        <w:rPr>
          <w:rFonts w:ascii="Times New Roman" w:eastAsia="SimSun" w:hAnsi="Times New Roman" w:hint="default"/>
          <w:lang w:eastAsia="zh-CN"/>
        </w:rPr>
        <w:t>tu New York. Podobne rá</w:t>
      </w:r>
      <w:r w:rsidRPr="00C77FC6">
        <w:rPr>
          <w:rFonts w:ascii="Times New Roman" w:eastAsia="SimSun" w:hAnsi="Times New Roman" w:hint="default"/>
          <w:lang w:eastAsia="zh-CN"/>
        </w:rPr>
        <w:t>mcová</w:t>
      </w:r>
      <w:r w:rsidRPr="00C77FC6">
        <w:rPr>
          <w:rFonts w:ascii="Times New Roman" w:eastAsia="SimSun" w:hAnsi="Times New Roman" w:hint="default"/>
          <w:lang w:eastAsia="zh-CN"/>
        </w:rPr>
        <w:t xml:space="preserve"> zmluva EFET (obchody z derivá</w:t>
      </w:r>
      <w:r w:rsidRPr="00C77FC6">
        <w:rPr>
          <w:rFonts w:ascii="Times New Roman" w:eastAsia="SimSun" w:hAnsi="Times New Roman" w:hint="default"/>
          <w:lang w:eastAsia="zh-CN"/>
        </w:rPr>
        <w:t>tmi energií</w:t>
      </w:r>
      <w:r w:rsidRPr="00C77FC6">
        <w:rPr>
          <w:rFonts w:ascii="Times New Roman" w:eastAsia="SimSun" w:hAnsi="Times New Roman" w:hint="default"/>
          <w:lang w:eastAsia="zh-CN"/>
        </w:rPr>
        <w:t>) sa spravuje š</w:t>
      </w:r>
      <w:r w:rsidRPr="00C77FC6">
        <w:rPr>
          <w:rFonts w:ascii="Times New Roman" w:eastAsia="SimSun" w:hAnsi="Times New Roman" w:hint="default"/>
          <w:lang w:eastAsia="zh-CN"/>
        </w:rPr>
        <w:t>tandardne nemecký</w:t>
      </w:r>
      <w:r w:rsidRPr="00C77FC6">
        <w:rPr>
          <w:rFonts w:ascii="Times New Roman" w:eastAsia="SimSun" w:hAnsi="Times New Roman" w:hint="default"/>
          <w:lang w:eastAsia="zh-CN"/>
        </w:rPr>
        <w:t>m a</w:t>
      </w:r>
      <w:r w:rsidRPr="00C77FC6">
        <w:rPr>
          <w:rFonts w:ascii="Times New Roman" w:eastAsia="SimSun" w:hAnsi="Times New Roman" w:hint="default"/>
          <w:lang w:eastAsia="zh-CN"/>
        </w:rPr>
        <w:t>l</w:t>
      </w:r>
      <w:r w:rsidRPr="00C77FC6">
        <w:rPr>
          <w:rFonts w:ascii="Times New Roman" w:eastAsia="SimSun" w:hAnsi="Times New Roman" w:hint="default"/>
          <w:lang w:eastAsia="zh-CN"/>
        </w:rPr>
        <w:t>ebo anglický</w:t>
      </w:r>
      <w:r w:rsidRPr="00C77FC6">
        <w:rPr>
          <w:rFonts w:ascii="Times New Roman" w:eastAsia="SimSun" w:hAnsi="Times New Roman" w:hint="default"/>
          <w:lang w:eastAsia="zh-CN"/>
        </w:rPr>
        <w:t>m prá</w:t>
      </w:r>
      <w:r w:rsidRPr="00C77FC6">
        <w:rPr>
          <w:rFonts w:ascii="Times New Roman" w:eastAsia="SimSun" w:hAnsi="Times New Roman" w:hint="default"/>
          <w:lang w:eastAsia="zh-CN"/>
        </w:rPr>
        <w:t>vom. Pož</w:t>
      </w:r>
      <w:r w:rsidRPr="00C77FC6">
        <w:rPr>
          <w:rFonts w:ascii="Times New Roman" w:eastAsia="SimSun" w:hAnsi="Times New Roman" w:hint="default"/>
          <w:lang w:eastAsia="zh-CN"/>
        </w:rPr>
        <w:t>iadavka rozpoznať</w:t>
      </w:r>
      <w:r w:rsidRPr="00C77FC6">
        <w:rPr>
          <w:rFonts w:ascii="Times New Roman" w:eastAsia="SimSun" w:hAnsi="Times New Roman" w:hint="default"/>
          <w:lang w:eastAsia="zh-CN"/>
        </w:rPr>
        <w:t xml:space="preserve"> aj zmluvy podľ</w:t>
      </w:r>
      <w:r w:rsidRPr="00C77FC6">
        <w:rPr>
          <w:rFonts w:ascii="Times New Roman" w:eastAsia="SimSun" w:hAnsi="Times New Roman" w:hint="default"/>
          <w:lang w:eastAsia="zh-CN"/>
        </w:rPr>
        <w:t>a cudzieho prá</w:t>
      </w:r>
      <w:r w:rsidRPr="00C77FC6">
        <w:rPr>
          <w:rFonts w:ascii="Times New Roman" w:eastAsia="SimSun" w:hAnsi="Times New Roman" w:hint="default"/>
          <w:lang w:eastAsia="zh-CN"/>
        </w:rPr>
        <w:t>va vyplý</w:t>
      </w:r>
      <w:r w:rsidRPr="00C77FC6">
        <w:rPr>
          <w:rFonts w:ascii="Times New Roman" w:eastAsia="SimSun" w:hAnsi="Times New Roman" w:hint="default"/>
          <w:lang w:eastAsia="zh-CN"/>
        </w:rPr>
        <w:t>va aj zo smernice 2002/47/EC.</w:t>
      </w:r>
    </w:p>
    <w:p w:rsidR="00662295" w:rsidP="00662295">
      <w:pPr>
        <w:bidi w:val="0"/>
        <w:spacing w:line="260" w:lineRule="atLeast"/>
        <w:jc w:val="both"/>
        <w:rPr>
          <w:rFonts w:ascii="Times New Roman" w:eastAsia="SimSun" w:hAnsi="Times New Roman"/>
          <w:lang w:eastAsia="zh-CN"/>
        </w:rPr>
      </w:pPr>
      <w:r w:rsidRPr="00C77FC6" w:rsidR="00592BA0">
        <w:rPr>
          <w:rFonts w:ascii="Times New Roman" w:eastAsia="SimSun" w:hAnsi="Times New Roman"/>
          <w:lang w:eastAsia="zh-CN"/>
        </w:rPr>
        <w:t>Rovnako z </w:t>
      </w:r>
      <w:r w:rsidRPr="00C77FC6" w:rsidR="00592BA0">
        <w:rPr>
          <w:rFonts w:ascii="Times New Roman" w:eastAsia="SimSun" w:hAnsi="Times New Roman" w:hint="default"/>
          <w:lang w:eastAsia="zh-CN"/>
        </w:rPr>
        <w:t>dô</w:t>
      </w:r>
      <w:r w:rsidRPr="00C77FC6" w:rsidR="00592BA0">
        <w:rPr>
          <w:rFonts w:ascii="Times New Roman" w:eastAsia="SimSun" w:hAnsi="Times New Roman" w:hint="default"/>
          <w:lang w:eastAsia="zh-CN"/>
        </w:rPr>
        <w:t>vodu posilnenia prá</w:t>
      </w:r>
      <w:r w:rsidRPr="00C77FC6" w:rsidR="00592BA0">
        <w:rPr>
          <w:rFonts w:ascii="Times New Roman" w:eastAsia="SimSun" w:hAnsi="Times New Roman" w:hint="default"/>
          <w:lang w:eastAsia="zh-CN"/>
        </w:rPr>
        <w:t>vnej istoty úč</w:t>
      </w:r>
      <w:r w:rsidRPr="00C77FC6" w:rsidR="00592BA0">
        <w:rPr>
          <w:rFonts w:ascii="Times New Roman" w:eastAsia="SimSun" w:hAnsi="Times New Roman" w:hint="default"/>
          <w:lang w:eastAsia="zh-CN"/>
        </w:rPr>
        <w:t>astní</w:t>
      </w:r>
      <w:r w:rsidRPr="00C77FC6" w:rsidR="00592BA0">
        <w:rPr>
          <w:rFonts w:ascii="Times New Roman" w:eastAsia="SimSun" w:hAnsi="Times New Roman" w:hint="default"/>
          <w:lang w:eastAsia="zh-CN"/>
        </w:rPr>
        <w:t>kov finanč</w:t>
      </w:r>
      <w:r w:rsidRPr="00C77FC6" w:rsidR="00592BA0">
        <w:rPr>
          <w:rFonts w:ascii="Times New Roman" w:eastAsia="SimSun" w:hAnsi="Times New Roman" w:hint="default"/>
          <w:lang w:eastAsia="zh-CN"/>
        </w:rPr>
        <w:t>né</w:t>
      </w:r>
      <w:r w:rsidRPr="00C77FC6" w:rsidR="00592BA0">
        <w:rPr>
          <w:rFonts w:ascii="Times New Roman" w:eastAsia="SimSun" w:hAnsi="Times New Roman" w:hint="default"/>
          <w:lang w:eastAsia="zh-CN"/>
        </w:rPr>
        <w:t>ho trhu a </w:t>
      </w:r>
      <w:r w:rsidRPr="00C77FC6" w:rsidR="00592BA0">
        <w:rPr>
          <w:rFonts w:ascii="Times New Roman" w:eastAsia="SimSun" w:hAnsi="Times New Roman" w:hint="default"/>
          <w:lang w:eastAsia="zh-CN"/>
        </w:rPr>
        <w:t>reagujú</w:t>
      </w:r>
      <w:r w:rsidRPr="00C77FC6" w:rsidR="00592BA0">
        <w:rPr>
          <w:rFonts w:ascii="Times New Roman" w:eastAsia="SimSun" w:hAnsi="Times New Roman" w:hint="default"/>
          <w:lang w:eastAsia="zh-CN"/>
        </w:rPr>
        <w:t>c na pož</w:t>
      </w:r>
      <w:r w:rsidRPr="00C77FC6" w:rsidR="00592BA0">
        <w:rPr>
          <w:rFonts w:ascii="Times New Roman" w:eastAsia="SimSun" w:hAnsi="Times New Roman" w:hint="default"/>
          <w:lang w:eastAsia="zh-CN"/>
        </w:rPr>
        <w:t>iadavky aplikač</w:t>
      </w:r>
      <w:r w:rsidRPr="00C77FC6" w:rsidR="00592BA0">
        <w:rPr>
          <w:rFonts w:ascii="Times New Roman" w:eastAsia="SimSun" w:hAnsi="Times New Roman" w:hint="default"/>
          <w:lang w:eastAsia="zh-CN"/>
        </w:rPr>
        <w:t>nej praxe sa spresň</w:t>
      </w:r>
      <w:r w:rsidRPr="00C77FC6" w:rsidR="00592BA0">
        <w:rPr>
          <w:rFonts w:ascii="Times New Roman" w:eastAsia="SimSun" w:hAnsi="Times New Roman" w:hint="default"/>
          <w:lang w:eastAsia="zh-CN"/>
        </w:rPr>
        <w:t>uje rozsah obchodov, ktoré</w:t>
      </w:r>
      <w:r w:rsidRPr="00C77FC6" w:rsidR="00592BA0">
        <w:rPr>
          <w:rFonts w:ascii="Times New Roman" w:eastAsia="SimSun" w:hAnsi="Times New Roman" w:hint="default"/>
          <w:lang w:eastAsia="zh-CN"/>
        </w:rPr>
        <w:t xml:space="preserve"> môž</w:t>
      </w:r>
      <w:r w:rsidRPr="00C77FC6" w:rsidR="00592BA0">
        <w:rPr>
          <w:rFonts w:ascii="Times New Roman" w:eastAsia="SimSun" w:hAnsi="Times New Roman" w:hint="default"/>
          <w:lang w:eastAsia="zh-CN"/>
        </w:rPr>
        <w:t>u byť</w:t>
      </w:r>
      <w:r w:rsidRPr="00C77FC6" w:rsidR="00592BA0">
        <w:rPr>
          <w:rFonts w:ascii="Times New Roman" w:eastAsia="SimSun" w:hAnsi="Times New Roman" w:hint="default"/>
          <w:lang w:eastAsia="zh-CN"/>
        </w:rPr>
        <w:t xml:space="preserve"> predmetom zá</w:t>
      </w:r>
      <w:r w:rsidRPr="00C77FC6" w:rsidR="00592BA0">
        <w:rPr>
          <w:rFonts w:ascii="Times New Roman" w:eastAsia="SimSun" w:hAnsi="Times New Roman" w:hint="default"/>
          <w:lang w:eastAsia="zh-CN"/>
        </w:rPr>
        <w:t>vereč</w:t>
      </w:r>
      <w:r w:rsidRPr="00C77FC6" w:rsidR="00592BA0">
        <w:rPr>
          <w:rFonts w:ascii="Times New Roman" w:eastAsia="SimSun" w:hAnsi="Times New Roman" w:hint="default"/>
          <w:lang w:eastAsia="zh-CN"/>
        </w:rPr>
        <w:t>né</w:t>
      </w:r>
      <w:r w:rsidRPr="00C77FC6" w:rsidR="00592BA0">
        <w:rPr>
          <w:rFonts w:ascii="Times New Roman" w:eastAsia="SimSun" w:hAnsi="Times New Roman" w:hint="default"/>
          <w:lang w:eastAsia="zh-CN"/>
        </w:rPr>
        <w:t>ho vyrovnania. Bež</w:t>
      </w:r>
      <w:r w:rsidRPr="00C77FC6" w:rsidR="00592BA0">
        <w:rPr>
          <w:rFonts w:ascii="Times New Roman" w:eastAsia="SimSun" w:hAnsi="Times New Roman" w:hint="default"/>
          <w:lang w:eastAsia="zh-CN"/>
        </w:rPr>
        <w:t>ne sú</w:t>
      </w:r>
      <w:r w:rsidRPr="00C77FC6" w:rsidR="00592BA0">
        <w:rPr>
          <w:rFonts w:ascii="Times New Roman" w:eastAsia="SimSun" w:hAnsi="Times New Roman" w:hint="default"/>
          <w:lang w:eastAsia="zh-CN"/>
        </w:rPr>
        <w:t xml:space="preserve"> úč</w:t>
      </w:r>
      <w:r w:rsidRPr="00C77FC6" w:rsidR="00592BA0">
        <w:rPr>
          <w:rFonts w:ascii="Times New Roman" w:eastAsia="SimSun" w:hAnsi="Times New Roman" w:hint="default"/>
          <w:lang w:eastAsia="zh-CN"/>
        </w:rPr>
        <w:t>astní</w:t>
      </w:r>
      <w:r w:rsidRPr="00C77FC6" w:rsidR="00592BA0">
        <w:rPr>
          <w:rFonts w:ascii="Times New Roman" w:eastAsia="SimSun" w:hAnsi="Times New Roman" w:hint="default"/>
          <w:lang w:eastAsia="zh-CN"/>
        </w:rPr>
        <w:t>kmi trhu obchodované</w:t>
      </w:r>
      <w:r w:rsidRPr="00C77FC6" w:rsidR="00592BA0">
        <w:rPr>
          <w:rFonts w:ascii="Times New Roman" w:eastAsia="SimSun" w:hAnsi="Times New Roman" w:hint="default"/>
          <w:lang w:eastAsia="zh-CN"/>
        </w:rPr>
        <w:t xml:space="preserve"> pod rá</w:t>
      </w:r>
      <w:r w:rsidRPr="00C77FC6" w:rsidR="00592BA0">
        <w:rPr>
          <w:rFonts w:ascii="Times New Roman" w:eastAsia="SimSun" w:hAnsi="Times New Roman" w:hint="default"/>
          <w:lang w:eastAsia="zh-CN"/>
        </w:rPr>
        <w:t>mcový</w:t>
      </w:r>
      <w:r w:rsidRPr="00C77FC6" w:rsidR="00592BA0">
        <w:rPr>
          <w:rFonts w:ascii="Times New Roman" w:eastAsia="SimSun" w:hAnsi="Times New Roman" w:hint="default"/>
          <w:lang w:eastAsia="zh-CN"/>
        </w:rPr>
        <w:t>mi zmluvami sé</w:t>
      </w:r>
      <w:r w:rsidRPr="00C77FC6" w:rsidR="00592BA0">
        <w:rPr>
          <w:rFonts w:ascii="Times New Roman" w:eastAsia="SimSun" w:hAnsi="Times New Roman" w:hint="default"/>
          <w:lang w:eastAsia="zh-CN"/>
        </w:rPr>
        <w:t>rie obchodov s komoditami (napr. plyn, ropa, elektrina) alebo emisný</w:t>
      </w:r>
      <w:r w:rsidRPr="00C77FC6" w:rsidR="00592BA0">
        <w:rPr>
          <w:rFonts w:ascii="Times New Roman" w:eastAsia="SimSun" w:hAnsi="Times New Roman" w:hint="default"/>
          <w:lang w:eastAsia="zh-CN"/>
        </w:rPr>
        <w:t>mi kvó</w:t>
      </w:r>
      <w:r w:rsidRPr="00C77FC6" w:rsidR="00592BA0">
        <w:rPr>
          <w:rFonts w:ascii="Times New Roman" w:eastAsia="SimSun" w:hAnsi="Times New Roman" w:hint="default"/>
          <w:lang w:eastAsia="zh-CN"/>
        </w:rPr>
        <w:t>tami, ktoré</w:t>
      </w:r>
      <w:r w:rsidRPr="00C77FC6" w:rsidR="00592BA0">
        <w:rPr>
          <w:rFonts w:ascii="Times New Roman" w:eastAsia="SimSun" w:hAnsi="Times New Roman" w:hint="default"/>
          <w:lang w:eastAsia="zh-CN"/>
        </w:rPr>
        <w:t xml:space="preserve"> podľ</w:t>
      </w:r>
      <w:r w:rsidRPr="00C77FC6" w:rsidR="00592BA0">
        <w:rPr>
          <w:rFonts w:ascii="Times New Roman" w:eastAsia="SimSun" w:hAnsi="Times New Roman" w:hint="default"/>
          <w:lang w:eastAsia="zh-CN"/>
        </w:rPr>
        <w:t>a doterajš</w:t>
      </w:r>
      <w:r w:rsidRPr="00C77FC6" w:rsidR="00592BA0">
        <w:rPr>
          <w:rFonts w:ascii="Times New Roman" w:eastAsia="SimSun" w:hAnsi="Times New Roman" w:hint="default"/>
          <w:lang w:eastAsia="zh-CN"/>
        </w:rPr>
        <w:t>ieho znenia nemuseli nevyhnutne spadať</w:t>
      </w:r>
      <w:r w:rsidRPr="00C77FC6" w:rsidR="00592BA0">
        <w:rPr>
          <w:rFonts w:ascii="Times New Roman" w:eastAsia="SimSun" w:hAnsi="Times New Roman" w:hint="default"/>
          <w:lang w:eastAsia="zh-CN"/>
        </w:rPr>
        <w:t xml:space="preserve"> pod vymedz</w:t>
      </w:r>
      <w:r w:rsidRPr="00C77FC6" w:rsidR="00592BA0">
        <w:rPr>
          <w:rFonts w:ascii="Times New Roman" w:eastAsia="SimSun" w:hAnsi="Times New Roman" w:hint="default"/>
          <w:lang w:eastAsia="zh-CN"/>
        </w:rPr>
        <w:t>e</w:t>
      </w:r>
      <w:r w:rsidRPr="00C77FC6" w:rsidR="00592BA0">
        <w:rPr>
          <w:rFonts w:ascii="Times New Roman" w:eastAsia="SimSun" w:hAnsi="Times New Roman" w:hint="default"/>
          <w:lang w:eastAsia="zh-CN"/>
        </w:rPr>
        <w:t>ný</w:t>
      </w:r>
      <w:r w:rsidRPr="00C77FC6" w:rsidR="00592BA0">
        <w:rPr>
          <w:rFonts w:ascii="Times New Roman" w:eastAsia="SimSun" w:hAnsi="Times New Roman" w:hint="default"/>
          <w:lang w:eastAsia="zh-CN"/>
        </w:rPr>
        <w:t xml:space="preserve"> okruh obchodov.</w:t>
      </w:r>
      <w:r w:rsidRPr="00662295">
        <w:rPr>
          <w:rFonts w:ascii="Times New Roman" w:eastAsia="SimSun" w:hAnsi="Times New Roman"/>
          <w:lang w:eastAsia="zh-CN"/>
        </w:rPr>
        <w:t xml:space="preserve"> </w:t>
      </w:r>
      <w:r w:rsidRPr="000F6F1D">
        <w:rPr>
          <w:rFonts w:ascii="Times New Roman" w:eastAsia="SimSun" w:hAnsi="Times New Roman" w:hint="default"/>
          <w:lang w:eastAsia="zh-CN"/>
        </w:rPr>
        <w:t>Hlavné</w:t>
      </w:r>
      <w:r w:rsidRPr="000F6F1D">
        <w:rPr>
          <w:rFonts w:ascii="Times New Roman" w:eastAsia="SimSun" w:hAnsi="Times New Roman" w:hint="default"/>
          <w:lang w:eastAsia="zh-CN"/>
        </w:rPr>
        <w:t xml:space="preserve"> úč</w:t>
      </w:r>
      <w:r w:rsidRPr="000F6F1D">
        <w:rPr>
          <w:rFonts w:ascii="Times New Roman" w:eastAsia="SimSun" w:hAnsi="Times New Roman" w:hint="default"/>
          <w:lang w:eastAsia="zh-CN"/>
        </w:rPr>
        <w:t>inky reš</w:t>
      </w:r>
      <w:r w:rsidRPr="000F6F1D">
        <w:rPr>
          <w:rFonts w:ascii="Times New Roman" w:eastAsia="SimSun" w:hAnsi="Times New Roman" w:hint="default"/>
          <w:lang w:eastAsia="zh-CN"/>
        </w:rPr>
        <w:t>trukturalizá</w:t>
      </w:r>
      <w:r w:rsidRPr="000F6F1D">
        <w:rPr>
          <w:rFonts w:ascii="Times New Roman" w:eastAsia="SimSun" w:hAnsi="Times New Roman" w:hint="default"/>
          <w:lang w:eastAsia="zh-CN"/>
        </w:rPr>
        <w:t>cie vo vzť</w:t>
      </w:r>
      <w:r w:rsidRPr="000F6F1D">
        <w:rPr>
          <w:rFonts w:ascii="Times New Roman" w:eastAsia="SimSun" w:hAnsi="Times New Roman" w:hint="default"/>
          <w:lang w:eastAsia="zh-CN"/>
        </w:rPr>
        <w:t>ahu k </w:t>
      </w:r>
      <w:r w:rsidRPr="000F6F1D">
        <w:rPr>
          <w:rFonts w:ascii="Times New Roman" w:eastAsia="SimSun" w:hAnsi="Times New Roman" w:hint="default"/>
          <w:lang w:eastAsia="zh-CN"/>
        </w:rPr>
        <w:t>veriteľ</w:t>
      </w:r>
      <w:r w:rsidRPr="000F6F1D">
        <w:rPr>
          <w:rFonts w:ascii="Times New Roman" w:eastAsia="SimSun" w:hAnsi="Times New Roman" w:hint="default"/>
          <w:lang w:eastAsia="zh-CN"/>
        </w:rPr>
        <w:t>om nastá</w:t>
      </w:r>
      <w:r w:rsidRPr="000F6F1D">
        <w:rPr>
          <w:rFonts w:ascii="Times New Roman" w:eastAsia="SimSun" w:hAnsi="Times New Roman" w:hint="default"/>
          <w:lang w:eastAsia="zh-CN"/>
        </w:rPr>
        <w:t>vajú</w:t>
      </w:r>
      <w:r w:rsidRPr="000F6F1D">
        <w:rPr>
          <w:rFonts w:ascii="Times New Roman" w:eastAsia="SimSun" w:hAnsi="Times New Roman" w:hint="default"/>
          <w:lang w:eastAsia="zh-CN"/>
        </w:rPr>
        <w:t xml:space="preserve"> už</w:t>
      </w:r>
      <w:r w:rsidRPr="000F6F1D">
        <w:rPr>
          <w:rFonts w:ascii="Times New Roman" w:eastAsia="SimSun" w:hAnsi="Times New Roman" w:hint="default"/>
          <w:lang w:eastAsia="zh-CN"/>
        </w:rPr>
        <w:t xml:space="preserve"> zač</w:t>
      </w:r>
      <w:r w:rsidRPr="000F6F1D">
        <w:rPr>
          <w:rFonts w:ascii="Times New Roman" w:eastAsia="SimSun" w:hAnsi="Times New Roman" w:hint="default"/>
          <w:lang w:eastAsia="zh-CN"/>
        </w:rPr>
        <w:t>atí</w:t>
      </w:r>
      <w:r w:rsidRPr="000F6F1D">
        <w:rPr>
          <w:rFonts w:ascii="Times New Roman" w:eastAsia="SimSun" w:hAnsi="Times New Roman" w:hint="default"/>
          <w:lang w:eastAsia="zh-CN"/>
        </w:rPr>
        <w:t>m reš</w:t>
      </w:r>
      <w:r w:rsidRPr="000F6F1D">
        <w:rPr>
          <w:rFonts w:ascii="Times New Roman" w:eastAsia="SimSun" w:hAnsi="Times New Roman" w:hint="default"/>
          <w:lang w:eastAsia="zh-CN"/>
        </w:rPr>
        <w:t>trukturalizač</w:t>
      </w:r>
      <w:r w:rsidRPr="000F6F1D">
        <w:rPr>
          <w:rFonts w:ascii="Times New Roman" w:eastAsia="SimSun" w:hAnsi="Times New Roman" w:hint="default"/>
          <w:lang w:eastAsia="zh-CN"/>
        </w:rPr>
        <w:t>né</w:t>
      </w:r>
      <w:r w:rsidRPr="000F6F1D">
        <w:rPr>
          <w:rFonts w:ascii="Times New Roman" w:eastAsia="SimSun" w:hAnsi="Times New Roman" w:hint="default"/>
          <w:lang w:eastAsia="zh-CN"/>
        </w:rPr>
        <w:t>ho konania, a </w:t>
      </w:r>
      <w:r w:rsidRPr="000F6F1D">
        <w:rPr>
          <w:rFonts w:ascii="Times New Roman" w:eastAsia="SimSun" w:hAnsi="Times New Roman" w:hint="default"/>
          <w:lang w:eastAsia="zh-CN"/>
        </w:rPr>
        <w:t>preto je potrebné</w:t>
      </w:r>
      <w:r w:rsidRPr="000F6F1D">
        <w:rPr>
          <w:rFonts w:ascii="Times New Roman" w:eastAsia="SimSun" w:hAnsi="Times New Roman" w:hint="default"/>
          <w:lang w:eastAsia="zh-CN"/>
        </w:rPr>
        <w:t xml:space="preserve"> úč</w:t>
      </w:r>
      <w:r w:rsidRPr="000F6F1D">
        <w:rPr>
          <w:rFonts w:ascii="Times New Roman" w:eastAsia="SimSun" w:hAnsi="Times New Roman" w:hint="default"/>
          <w:lang w:eastAsia="zh-CN"/>
        </w:rPr>
        <w:t>inky zmluvy o </w:t>
      </w:r>
      <w:r w:rsidRPr="000F6F1D">
        <w:rPr>
          <w:rFonts w:ascii="Times New Roman" w:eastAsia="SimSun" w:hAnsi="Times New Roman" w:hint="default"/>
          <w:lang w:eastAsia="zh-CN"/>
        </w:rPr>
        <w:t>zá</w:t>
      </w:r>
      <w:r w:rsidRPr="000F6F1D">
        <w:rPr>
          <w:rFonts w:ascii="Times New Roman" w:eastAsia="SimSun" w:hAnsi="Times New Roman" w:hint="default"/>
          <w:lang w:eastAsia="zh-CN"/>
        </w:rPr>
        <w:t>vereč</w:t>
      </w:r>
      <w:r w:rsidRPr="000F6F1D">
        <w:rPr>
          <w:rFonts w:ascii="Times New Roman" w:eastAsia="SimSun" w:hAnsi="Times New Roman" w:hint="default"/>
          <w:lang w:eastAsia="zh-CN"/>
        </w:rPr>
        <w:t>nom vyrovnaní</w:t>
      </w:r>
      <w:r w:rsidRPr="000F6F1D">
        <w:rPr>
          <w:rFonts w:ascii="Times New Roman" w:eastAsia="SimSun" w:hAnsi="Times New Roman" w:hint="default"/>
          <w:lang w:eastAsia="zh-CN"/>
        </w:rPr>
        <w:t xml:space="preserve"> chrá</w:t>
      </w:r>
      <w:r w:rsidRPr="000F6F1D">
        <w:rPr>
          <w:rFonts w:ascii="Times New Roman" w:eastAsia="SimSun" w:hAnsi="Times New Roman" w:hint="default"/>
          <w:lang w:eastAsia="zh-CN"/>
        </w:rPr>
        <w:t>niť</w:t>
      </w:r>
      <w:r w:rsidRPr="000F6F1D">
        <w:rPr>
          <w:rFonts w:ascii="Times New Roman" w:eastAsia="SimSun" w:hAnsi="Times New Roman" w:hint="default"/>
          <w:lang w:eastAsia="zh-CN"/>
        </w:rPr>
        <w:t xml:space="preserve"> už</w:t>
      </w:r>
      <w:r w:rsidRPr="000F6F1D">
        <w:rPr>
          <w:rFonts w:ascii="Times New Roman" w:eastAsia="SimSun" w:hAnsi="Times New Roman" w:hint="default"/>
          <w:lang w:eastAsia="zh-CN"/>
        </w:rPr>
        <w:t xml:space="preserve"> v </w:t>
      </w:r>
      <w:r w:rsidRPr="000F6F1D">
        <w:rPr>
          <w:rFonts w:ascii="Times New Roman" w:eastAsia="SimSun" w:hAnsi="Times New Roman" w:hint="default"/>
          <w:lang w:eastAsia="zh-CN"/>
        </w:rPr>
        <w:t>tomto š</w:t>
      </w:r>
      <w:r w:rsidRPr="000F6F1D">
        <w:rPr>
          <w:rFonts w:ascii="Times New Roman" w:eastAsia="SimSun" w:hAnsi="Times New Roman" w:hint="default"/>
          <w:lang w:eastAsia="zh-CN"/>
        </w:rPr>
        <w:t>tá</w:t>
      </w:r>
      <w:r w:rsidRPr="000F6F1D">
        <w:rPr>
          <w:rFonts w:ascii="Times New Roman" w:eastAsia="SimSun" w:hAnsi="Times New Roman" w:hint="default"/>
          <w:lang w:eastAsia="zh-CN"/>
        </w:rPr>
        <w:t>diu. Doposiaľ</w:t>
      </w:r>
      <w:r w:rsidRPr="000F6F1D">
        <w:rPr>
          <w:rFonts w:ascii="Times New Roman" w:eastAsia="SimSun" w:hAnsi="Times New Roman" w:hint="default"/>
          <w:lang w:eastAsia="zh-CN"/>
        </w:rPr>
        <w:t xml:space="preserve"> to nebolo nevyhnutné</w:t>
      </w:r>
      <w:r w:rsidRPr="000F6F1D">
        <w:rPr>
          <w:rFonts w:ascii="Times New Roman" w:eastAsia="SimSun" w:hAnsi="Times New Roman" w:hint="default"/>
          <w:lang w:eastAsia="zh-CN"/>
        </w:rPr>
        <w:t xml:space="preserve"> pretož</w:t>
      </w:r>
      <w:r w:rsidRPr="000F6F1D">
        <w:rPr>
          <w:rFonts w:ascii="Times New Roman" w:eastAsia="SimSun" w:hAnsi="Times New Roman" w:hint="default"/>
          <w:lang w:eastAsia="zh-CN"/>
        </w:rPr>
        <w:t>e reš</w:t>
      </w:r>
      <w:r w:rsidRPr="000F6F1D">
        <w:rPr>
          <w:rFonts w:ascii="Times New Roman" w:eastAsia="SimSun" w:hAnsi="Times New Roman" w:hint="default"/>
          <w:lang w:eastAsia="zh-CN"/>
        </w:rPr>
        <w:t>truktu</w:t>
      </w:r>
      <w:r w:rsidRPr="000F6F1D">
        <w:rPr>
          <w:rFonts w:ascii="Times New Roman" w:eastAsia="SimSun" w:hAnsi="Times New Roman" w:hint="default"/>
          <w:lang w:eastAsia="zh-CN"/>
        </w:rPr>
        <w:t>ralizá</w:t>
      </w:r>
      <w:r w:rsidRPr="000F6F1D">
        <w:rPr>
          <w:rFonts w:ascii="Times New Roman" w:eastAsia="SimSun" w:hAnsi="Times New Roman" w:hint="default"/>
          <w:lang w:eastAsia="zh-CN"/>
        </w:rPr>
        <w:t>cia podľ</w:t>
      </w:r>
      <w:r w:rsidRPr="000F6F1D">
        <w:rPr>
          <w:rFonts w:ascii="Times New Roman" w:eastAsia="SimSun" w:hAnsi="Times New Roman" w:hint="default"/>
          <w:lang w:eastAsia="zh-CN"/>
        </w:rPr>
        <w:t>a tohto zá</w:t>
      </w:r>
      <w:r w:rsidRPr="000F6F1D">
        <w:rPr>
          <w:rFonts w:ascii="Times New Roman" w:eastAsia="SimSun" w:hAnsi="Times New Roman" w:hint="default"/>
          <w:lang w:eastAsia="zh-CN"/>
        </w:rPr>
        <w:t>kona sa nepouž</w:t>
      </w:r>
      <w:r w:rsidRPr="000F6F1D">
        <w:rPr>
          <w:rFonts w:ascii="Times New Roman" w:eastAsia="SimSun" w:hAnsi="Times New Roman" w:hint="default"/>
          <w:lang w:eastAsia="zh-CN"/>
        </w:rPr>
        <w:t>ila v </w:t>
      </w:r>
      <w:r w:rsidRPr="000F6F1D">
        <w:rPr>
          <w:rFonts w:ascii="Times New Roman" w:eastAsia="SimSun" w:hAnsi="Times New Roman" w:hint="default"/>
          <w:lang w:eastAsia="zh-CN"/>
        </w:rPr>
        <w:t>prí</w:t>
      </w:r>
      <w:r w:rsidRPr="000F6F1D">
        <w:rPr>
          <w:rFonts w:ascii="Times New Roman" w:eastAsia="SimSun" w:hAnsi="Times New Roman" w:hint="default"/>
          <w:lang w:eastAsia="zh-CN"/>
        </w:rPr>
        <w:t>pade finanč</w:t>
      </w:r>
      <w:r w:rsidRPr="000F6F1D">
        <w:rPr>
          <w:rFonts w:ascii="Times New Roman" w:eastAsia="SimSun" w:hAnsi="Times New Roman" w:hint="default"/>
          <w:lang w:eastAsia="zh-CN"/>
        </w:rPr>
        <w:t>ný</w:t>
      </w:r>
      <w:r w:rsidRPr="000F6F1D">
        <w:rPr>
          <w:rFonts w:ascii="Times New Roman" w:eastAsia="SimSun" w:hAnsi="Times New Roman" w:hint="default"/>
          <w:lang w:eastAsia="zh-CN"/>
        </w:rPr>
        <w:t>ch inš</w:t>
      </w:r>
      <w:r w:rsidRPr="000F6F1D">
        <w:rPr>
          <w:rFonts w:ascii="Times New Roman" w:eastAsia="SimSun" w:hAnsi="Times New Roman" w:hint="default"/>
          <w:lang w:eastAsia="zh-CN"/>
        </w:rPr>
        <w:t>titú</w:t>
      </w:r>
      <w:r w:rsidRPr="000F6F1D">
        <w:rPr>
          <w:rFonts w:ascii="Times New Roman" w:eastAsia="SimSun" w:hAnsi="Times New Roman" w:hint="default"/>
          <w:lang w:eastAsia="zh-CN"/>
        </w:rPr>
        <w:t>cií.</w:t>
      </w:r>
    </w:p>
    <w:p w:rsidR="00592BA0" w:rsidP="00592BA0">
      <w:pPr>
        <w:suppressAutoHyphens/>
        <w:autoSpaceDE w:val="0"/>
        <w:autoSpaceDN w:val="0"/>
        <w:bidi w:val="0"/>
        <w:adjustRightInd w:val="0"/>
        <w:spacing w:line="260" w:lineRule="atLeast"/>
        <w:jc w:val="both"/>
        <w:rPr>
          <w:rFonts w:ascii="Times New Roman" w:eastAsia="SimSun" w:hAnsi="Times New Roman"/>
          <w:lang w:eastAsia="zh-CN"/>
        </w:rPr>
      </w:pPr>
    </w:p>
    <w:p w:rsidR="00592BA0" w:rsidRPr="00592BA0" w:rsidP="00592BA0">
      <w:pPr>
        <w:suppressAutoHyphens/>
        <w:autoSpaceDE w:val="0"/>
        <w:autoSpaceDN w:val="0"/>
        <w:bidi w:val="0"/>
        <w:adjustRightInd w:val="0"/>
        <w:spacing w:line="260" w:lineRule="atLeast"/>
        <w:jc w:val="both"/>
        <w:rPr>
          <w:rFonts w:ascii="Times New Roman" w:eastAsia="SimSun" w:hAnsi="Times New Roman"/>
          <w:b/>
          <w:lang w:eastAsia="zh-CN"/>
        </w:rPr>
      </w:pPr>
      <w:r w:rsidRPr="00592BA0">
        <w:rPr>
          <w:rFonts w:ascii="Times New Roman" w:eastAsia="SimSun" w:hAnsi="Times New Roman"/>
          <w:b/>
          <w:lang w:eastAsia="zh-CN"/>
        </w:rPr>
        <w:t>K bodu 9</w:t>
      </w:r>
    </w:p>
    <w:p w:rsidR="00662295" w:rsidP="00662295">
      <w:pPr>
        <w:bidi w:val="0"/>
        <w:spacing w:line="260" w:lineRule="atLeast"/>
        <w:jc w:val="both"/>
        <w:rPr>
          <w:rFonts w:ascii="Times New Roman" w:eastAsia="SimSun" w:hAnsi="Times New Roman" w:hint="default"/>
          <w:lang w:eastAsia="zh-CN"/>
        </w:rPr>
      </w:pPr>
      <w:r>
        <w:rPr>
          <w:rFonts w:ascii="Times New Roman" w:eastAsia="SimSun" w:hAnsi="Times New Roman" w:hint="default"/>
          <w:lang w:eastAsia="zh-CN"/>
        </w:rPr>
        <w:t>Pokiaľ</w:t>
      </w:r>
      <w:r>
        <w:rPr>
          <w:rFonts w:ascii="Times New Roman" w:eastAsia="SimSun" w:hAnsi="Times New Roman" w:hint="default"/>
          <w:lang w:eastAsia="zh-CN"/>
        </w:rPr>
        <w:t xml:space="preserve"> ide o </w:t>
      </w:r>
      <w:r>
        <w:rPr>
          <w:rFonts w:ascii="Times New Roman" w:eastAsia="SimSun" w:hAnsi="Times New Roman" w:hint="default"/>
          <w:lang w:eastAsia="zh-CN"/>
        </w:rPr>
        <w:t>hodnotu predmetu zabezpeč</w:t>
      </w:r>
      <w:r>
        <w:rPr>
          <w:rFonts w:ascii="Times New Roman" w:eastAsia="SimSun" w:hAnsi="Times New Roman" w:hint="default"/>
          <w:lang w:eastAsia="zh-CN"/>
        </w:rPr>
        <w:t>ovacieho prá</w:t>
      </w:r>
      <w:r>
        <w:rPr>
          <w:rFonts w:ascii="Times New Roman" w:eastAsia="SimSun" w:hAnsi="Times New Roman" w:hint="default"/>
          <w:lang w:eastAsia="zh-CN"/>
        </w:rPr>
        <w:t>va, spravidla je urč</w:t>
      </w:r>
      <w:r>
        <w:rPr>
          <w:rFonts w:ascii="Times New Roman" w:eastAsia="SimSun" w:hAnsi="Times New Roman" w:hint="default"/>
          <w:lang w:eastAsia="zh-CN"/>
        </w:rPr>
        <w:t>ená</w:t>
      </w:r>
      <w:r>
        <w:rPr>
          <w:rFonts w:ascii="Times New Roman" w:eastAsia="SimSun" w:hAnsi="Times New Roman" w:hint="default"/>
          <w:lang w:eastAsia="zh-CN"/>
        </w:rPr>
        <w:t xml:space="preserve"> v </w:t>
      </w:r>
      <w:r>
        <w:rPr>
          <w:rFonts w:ascii="Times New Roman" w:eastAsia="SimSun" w:hAnsi="Times New Roman" w:hint="default"/>
          <w:lang w:eastAsia="zh-CN"/>
        </w:rPr>
        <w:t>zmluve ISDA, vrá</w:t>
      </w:r>
      <w:r>
        <w:rPr>
          <w:rFonts w:ascii="Times New Roman" w:eastAsia="SimSun" w:hAnsi="Times New Roman" w:hint="default"/>
          <w:lang w:eastAsia="zh-CN"/>
        </w:rPr>
        <w:t>tane postupu urč</w:t>
      </w:r>
      <w:r>
        <w:rPr>
          <w:rFonts w:ascii="Times New Roman" w:eastAsia="SimSun" w:hAnsi="Times New Roman" w:hint="default"/>
          <w:lang w:eastAsia="zh-CN"/>
        </w:rPr>
        <w:t>enia hodnoty predmetu zabezpeč</w:t>
      </w:r>
      <w:r>
        <w:rPr>
          <w:rFonts w:ascii="Times New Roman" w:eastAsia="SimSun" w:hAnsi="Times New Roman" w:hint="default"/>
          <w:lang w:eastAsia="zh-CN"/>
        </w:rPr>
        <w:t>ovacieho prá</w:t>
      </w:r>
      <w:r>
        <w:rPr>
          <w:rFonts w:ascii="Times New Roman" w:eastAsia="SimSun" w:hAnsi="Times New Roman" w:hint="default"/>
          <w:lang w:eastAsia="zh-CN"/>
        </w:rPr>
        <w:t>va.</w:t>
      </w:r>
    </w:p>
    <w:p w:rsidR="00592BA0" w:rsidRPr="00C77FC6" w:rsidP="00592BA0">
      <w:pPr>
        <w:suppressAutoHyphens/>
        <w:autoSpaceDE w:val="0"/>
        <w:autoSpaceDN w:val="0"/>
        <w:bidi w:val="0"/>
        <w:adjustRightInd w:val="0"/>
        <w:spacing w:line="260" w:lineRule="atLeast"/>
        <w:jc w:val="both"/>
        <w:rPr>
          <w:rFonts w:ascii="Times New Roman" w:eastAsia="SimSun" w:hAnsi="Times New Roman"/>
          <w:lang w:eastAsia="zh-CN"/>
        </w:rPr>
      </w:pPr>
    </w:p>
    <w:p w:rsidR="00393064" w:rsidRPr="00C77FC6" w:rsidP="003577B8">
      <w:pPr>
        <w:pStyle w:val="BodyText"/>
        <w:widowControl/>
        <w:bidi w:val="0"/>
        <w:jc w:val="both"/>
        <w:rPr>
          <w:rFonts w:ascii="Times New Roman" w:hAnsi="Times New Roman"/>
          <w:b/>
        </w:rPr>
      </w:pPr>
      <w:r w:rsidRPr="00C77FC6">
        <w:rPr>
          <w:rFonts w:ascii="Times New Roman" w:hAnsi="Times New Roman"/>
          <w:b/>
        </w:rPr>
        <w:t xml:space="preserve">K Čl. </w:t>
      </w:r>
      <w:r w:rsidRPr="00C77FC6" w:rsidR="00D85F5C">
        <w:rPr>
          <w:rFonts w:ascii="Times New Roman" w:hAnsi="Times New Roman"/>
          <w:b/>
        </w:rPr>
        <w:t>V</w:t>
      </w:r>
    </w:p>
    <w:p w:rsidR="006C27E1" w:rsidRPr="00A24C49" w:rsidP="006C27E1">
      <w:pPr>
        <w:bidi w:val="0"/>
        <w:jc w:val="both"/>
        <w:rPr>
          <w:rFonts w:ascii="Times New Roman" w:eastAsia="SimSun" w:hAnsi="Times New Roman"/>
          <w:lang w:eastAsia="zh-CN"/>
        </w:rPr>
      </w:pPr>
      <w:r w:rsidRPr="008D621D">
        <w:rPr>
          <w:rFonts w:ascii="Times New Roman" w:hAnsi="Times New Roman"/>
          <w:bCs/>
          <w:color w:val="000000"/>
        </w:rPr>
        <w:t xml:space="preserve">Tento zákon nadobúda účinnosť </w:t>
      </w:r>
      <w:r>
        <w:rPr>
          <w:rFonts w:ascii="Times New Roman" w:hAnsi="Times New Roman"/>
          <w:bCs/>
          <w:color w:val="000000"/>
        </w:rPr>
        <w:t>1</w:t>
      </w:r>
      <w:r w:rsidRPr="008D621D">
        <w:rPr>
          <w:rFonts w:ascii="Times New Roman" w:hAnsi="Times New Roman"/>
          <w:bCs/>
          <w:color w:val="000000"/>
        </w:rPr>
        <w:t xml:space="preserve">. </w:t>
      </w:r>
      <w:r>
        <w:rPr>
          <w:rFonts w:ascii="Times New Roman" w:hAnsi="Times New Roman"/>
          <w:bCs/>
          <w:color w:val="000000"/>
        </w:rPr>
        <w:t>júla</w:t>
      </w:r>
      <w:r w:rsidRPr="008D621D">
        <w:rPr>
          <w:rFonts w:ascii="Times New Roman" w:hAnsi="Times New Roman"/>
          <w:bCs/>
          <w:color w:val="000000"/>
        </w:rPr>
        <w:t xml:space="preserve"> 2015 </w:t>
      </w:r>
      <w:r w:rsidRPr="00A24C49">
        <w:rPr>
          <w:rFonts w:ascii="Times New Roman" w:hAnsi="Times New Roman"/>
          <w:bCs/>
          <w:color w:val="000000"/>
        </w:rPr>
        <w:t xml:space="preserve">okrem </w:t>
      </w:r>
      <w:r w:rsidR="00A02502">
        <w:rPr>
          <w:rFonts w:ascii="Times New Roman" w:hAnsi="Times New Roman"/>
          <w:bCs/>
          <w:color w:val="000000"/>
        </w:rPr>
        <w:t xml:space="preserve">ustanovení, ktoré upravujú členský princíp a z dôvodu ponechania doby na prípravu </w:t>
      </w:r>
      <w:r w:rsidR="008C08B4">
        <w:rPr>
          <w:rFonts w:ascii="Times New Roman" w:hAnsi="Times New Roman"/>
          <w:bCs/>
          <w:color w:val="000000"/>
        </w:rPr>
        <w:t>Centrálneho depozitára cenných papierov SR, a.s. a jeho členov, ako aj majiteľov cenných papierov na prechod k plnému členskému princípu</w:t>
      </w:r>
      <w:r w:rsidRPr="00A24C49">
        <w:rPr>
          <w:rFonts w:ascii="Times New Roman" w:hAnsi="Times New Roman"/>
          <w:bCs/>
          <w:color w:val="000000"/>
        </w:rPr>
        <w:t xml:space="preserve">, ktoré nadobúdajú účinnosť  1. </w:t>
      </w:r>
      <w:r>
        <w:rPr>
          <w:rFonts w:ascii="Times New Roman" w:hAnsi="Times New Roman"/>
          <w:bCs/>
          <w:color w:val="000000"/>
        </w:rPr>
        <w:t>októbra</w:t>
      </w:r>
      <w:r w:rsidRPr="00A24C49">
        <w:rPr>
          <w:rFonts w:ascii="Times New Roman" w:hAnsi="Times New Roman"/>
          <w:bCs/>
          <w:color w:val="000000"/>
        </w:rPr>
        <w:t xml:space="preserve">  2015.</w:t>
      </w:r>
    </w:p>
    <w:p w:rsidR="00C43349" w:rsidRPr="00C77FC6" w:rsidP="003577B8">
      <w:pPr>
        <w:pStyle w:val="BodyText"/>
        <w:widowControl/>
        <w:bidi w:val="0"/>
        <w:jc w:val="both"/>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 xml:space="preserve">Robert F i c o, v. r. </w:t>
      </w:r>
    </w:p>
    <w:p w:rsidR="00ED2781" w:rsidP="00ED2781">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predseda vlády</w:t>
      </w:r>
    </w:p>
    <w:p w:rsidR="00ED2781" w:rsidP="00ED2781">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rPr>
      </w:pPr>
    </w:p>
    <w:p w:rsidR="00ED2781" w:rsidP="00ED2781">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Peter K a ž i m í r</w:t>
      </w:r>
      <w:r w:rsidRPr="00504AF7">
        <w:rPr>
          <w:rFonts w:ascii="Times New Roman" w:hAnsi="Times New Roman"/>
          <w:b/>
        </w:rPr>
        <w:t xml:space="preserve">, v. r. </w:t>
      </w:r>
    </w:p>
    <w:p w:rsidR="00ED2781" w:rsidP="00ED2781">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podpredseda vlády a minister financií</w:t>
      </w:r>
    </w:p>
    <w:p w:rsidR="00ED2781" w:rsidRPr="00504AF7" w:rsidP="00ED2781">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3B2877" w:rsidRPr="00C77FC6" w:rsidP="003577B8">
      <w:pPr>
        <w:pStyle w:val="BodyText"/>
        <w:bidi w:val="0"/>
        <w:jc w:val="both"/>
        <w:rPr>
          <w:rFonts w:ascii="Times New Roman" w:hAnsi="Times New Roman"/>
          <w:b/>
          <w:bCs/>
          <w:u w:val="single"/>
        </w:rPr>
      </w:pPr>
    </w:p>
    <w:sectPr>
      <w:footerReference w:type="default" r:id="rId5"/>
      <w:pgSz w:w="11906" w:h="16838"/>
      <w:pgMar w:top="1417" w:right="1417" w:bottom="1417" w:left="1417" w:header="708" w:footer="708" w:gutter="0"/>
      <w:lnNumType w:distance="0"/>
      <w:cols w:space="708"/>
      <w:noEndnote w:val="0"/>
      <w:bidi w:val="0"/>
      <w:rtlGutter/>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3CA">
    <w:pPr>
      <w:pStyle w:val="Footer"/>
      <w:framePr w:w="405" w:h="273" w:hRule="exact" w:vAnchor="text" w:hAnchor="page" w:x="5481" w:y="-415"/>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D2781">
      <w:rPr>
        <w:rStyle w:val="PageNumber"/>
        <w:rFonts w:ascii="Times New Roman" w:hAnsi="Times New Roman"/>
        <w:noProof/>
      </w:rPr>
      <w:t>13</w:t>
    </w:r>
    <w:r>
      <w:rPr>
        <w:rStyle w:val="PageNumber"/>
        <w:rFonts w:ascii="Times New Roman" w:hAnsi="Times New Roman"/>
      </w:rPr>
      <w:fldChar w:fldCharType="end"/>
    </w:r>
  </w:p>
  <w:p w:rsidR="00C533C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3D5"/>
    <w:multiLevelType w:val="hybridMultilevel"/>
    <w:tmpl w:val="645A5FD0"/>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10C349EF"/>
    <w:multiLevelType w:val="hybridMultilevel"/>
    <w:tmpl w:val="35EE77EC"/>
    <w:lvl w:ilvl="0">
      <w:start w:val="6"/>
      <w:numFmt w:val="bullet"/>
      <w:lvlText w:val="-"/>
      <w:lvlJc w:val="left"/>
      <w:pPr>
        <w:ind w:left="1157" w:hanging="360"/>
      </w:pPr>
      <w:rPr>
        <w:rFonts w:ascii="Times New Roman" w:eastAsia="Times New Roman" w:hAnsi="Times New Roman" w:hint="default"/>
      </w:rPr>
    </w:lvl>
    <w:lvl w:ilvl="1">
      <w:start w:val="1"/>
      <w:numFmt w:val="bullet"/>
      <w:lvlText w:val="o"/>
      <w:lvlJc w:val="left"/>
      <w:pPr>
        <w:ind w:left="1877" w:hanging="360"/>
      </w:pPr>
      <w:rPr>
        <w:rFonts w:ascii="Courier New" w:hAnsi="Courier New" w:hint="default"/>
      </w:rPr>
    </w:lvl>
    <w:lvl w:ilvl="2">
      <w:start w:val="1"/>
      <w:numFmt w:val="bullet"/>
      <w:lvlText w:val=""/>
      <w:lvlJc w:val="left"/>
      <w:pPr>
        <w:ind w:left="2597" w:hanging="360"/>
      </w:pPr>
      <w:rPr>
        <w:rFonts w:ascii="Wingdings" w:hAnsi="Wingdings" w:hint="default"/>
      </w:rPr>
    </w:lvl>
    <w:lvl w:ilvl="3">
      <w:start w:val="1"/>
      <w:numFmt w:val="bullet"/>
      <w:lvlText w:val=""/>
      <w:lvlJc w:val="left"/>
      <w:pPr>
        <w:ind w:left="3317" w:hanging="360"/>
      </w:pPr>
      <w:rPr>
        <w:rFonts w:ascii="Symbol" w:hAnsi="Symbol" w:hint="default"/>
      </w:rPr>
    </w:lvl>
    <w:lvl w:ilvl="4">
      <w:start w:val="1"/>
      <w:numFmt w:val="bullet"/>
      <w:lvlText w:val="o"/>
      <w:lvlJc w:val="left"/>
      <w:pPr>
        <w:ind w:left="4037" w:hanging="360"/>
      </w:pPr>
      <w:rPr>
        <w:rFonts w:ascii="Courier New" w:hAnsi="Courier New" w:hint="default"/>
      </w:rPr>
    </w:lvl>
    <w:lvl w:ilvl="5">
      <w:start w:val="1"/>
      <w:numFmt w:val="bullet"/>
      <w:lvlText w:val=""/>
      <w:lvlJc w:val="left"/>
      <w:pPr>
        <w:ind w:left="4757" w:hanging="360"/>
      </w:pPr>
      <w:rPr>
        <w:rFonts w:ascii="Wingdings" w:hAnsi="Wingdings" w:hint="default"/>
      </w:rPr>
    </w:lvl>
    <w:lvl w:ilvl="6">
      <w:start w:val="1"/>
      <w:numFmt w:val="bullet"/>
      <w:lvlText w:val=""/>
      <w:lvlJc w:val="left"/>
      <w:pPr>
        <w:ind w:left="5477" w:hanging="360"/>
      </w:pPr>
      <w:rPr>
        <w:rFonts w:ascii="Symbol" w:hAnsi="Symbol" w:hint="default"/>
      </w:rPr>
    </w:lvl>
    <w:lvl w:ilvl="7">
      <w:start w:val="1"/>
      <w:numFmt w:val="bullet"/>
      <w:lvlText w:val="o"/>
      <w:lvlJc w:val="left"/>
      <w:pPr>
        <w:ind w:left="6197" w:hanging="360"/>
      </w:pPr>
      <w:rPr>
        <w:rFonts w:ascii="Courier New" w:hAnsi="Courier New" w:hint="default"/>
      </w:rPr>
    </w:lvl>
    <w:lvl w:ilvl="8">
      <w:start w:val="1"/>
      <w:numFmt w:val="bullet"/>
      <w:lvlText w:val=""/>
      <w:lvlJc w:val="left"/>
      <w:pPr>
        <w:ind w:left="6917" w:hanging="360"/>
      </w:pPr>
      <w:rPr>
        <w:rFonts w:ascii="Wingdings" w:hAnsi="Wingdings" w:hint="default"/>
      </w:rPr>
    </w:lvl>
  </w:abstractNum>
  <w:abstractNum w:abstractNumId="2">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3245065"/>
    <w:multiLevelType w:val="hybridMultilevel"/>
    <w:tmpl w:val="32D8CEFE"/>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33C07D76"/>
    <w:multiLevelType w:val="hybridMultilevel"/>
    <w:tmpl w:val="B4B0612A"/>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371C7174"/>
    <w:multiLevelType w:val="hybridMultilevel"/>
    <w:tmpl w:val="41526C8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39E53F62"/>
    <w:multiLevelType w:val="hybridMultilevel"/>
    <w:tmpl w:val="E772AD7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44790A35"/>
    <w:multiLevelType w:val="hybridMultilevel"/>
    <w:tmpl w:val="F6FA9034"/>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2">
    <w:nsid w:val="5D0B44FF"/>
    <w:multiLevelType w:val="hybridMultilevel"/>
    <w:tmpl w:val="763A0D0E"/>
    <w:lvl w:ilvl="0">
      <w:start w:val="1"/>
      <w:numFmt w:val="lowerLetter"/>
      <w:lvlText w:val="%1)"/>
      <w:lvlJc w:val="left"/>
      <w:pPr>
        <w:tabs>
          <w:tab w:val="num" w:pos="720"/>
        </w:tabs>
        <w:ind w:left="720" w:hanging="360"/>
      </w:pPr>
      <w:rPr>
        <w:rFonts w:ascii="Arial Narrow" w:eastAsia="Times New Roman" w:hAnsi="Arial Narrow" w:cs="Arial Unicode MS" w:hint="default"/>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BF03261"/>
    <w:multiLevelType w:val="hybridMultilevel"/>
    <w:tmpl w:val="D8A269E6"/>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A306750"/>
    <w:multiLevelType w:val="hybridMultilevel"/>
    <w:tmpl w:val="9BA8F3D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7"/>
  </w:num>
  <w:num w:numId="2">
    <w:abstractNumId w:val="11"/>
  </w:num>
  <w:num w:numId="3">
    <w:abstractNumId w:val="8"/>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12"/>
  </w:num>
  <w:num w:numId="6">
    <w:abstractNumId w:val="4"/>
  </w:num>
  <w:num w:numId="7">
    <w:abstractNumId w:val="6"/>
  </w:num>
  <w:num w:numId="8">
    <w:abstractNumId w:val="14"/>
  </w:num>
  <w:num w:numId="9">
    <w:abstractNumId w:val="3"/>
  </w:num>
  <w:num w:numId="10">
    <w:abstractNumId w:val="0"/>
  </w:num>
  <w:num w:numId="11">
    <w:abstractNumId w:val="5"/>
  </w:num>
  <w:num w:numId="12">
    <w:abstractNumId w:val="1"/>
  </w:num>
  <w:num w:numId="13">
    <w:abstractNumId w:val="2"/>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94C04"/>
    <w:rsid w:val="0000318E"/>
    <w:rsid w:val="00004383"/>
    <w:rsid w:val="0000543C"/>
    <w:rsid w:val="00005B04"/>
    <w:rsid w:val="00010B67"/>
    <w:rsid w:val="00012C2E"/>
    <w:rsid w:val="00023D07"/>
    <w:rsid w:val="00024AF9"/>
    <w:rsid w:val="000275D9"/>
    <w:rsid w:val="000303F6"/>
    <w:rsid w:val="0003229E"/>
    <w:rsid w:val="00035530"/>
    <w:rsid w:val="00044B47"/>
    <w:rsid w:val="00046F84"/>
    <w:rsid w:val="0005220F"/>
    <w:rsid w:val="000529FC"/>
    <w:rsid w:val="00055F91"/>
    <w:rsid w:val="00057EBB"/>
    <w:rsid w:val="0006133B"/>
    <w:rsid w:val="000614E2"/>
    <w:rsid w:val="00063A84"/>
    <w:rsid w:val="00065688"/>
    <w:rsid w:val="00067899"/>
    <w:rsid w:val="00071DCD"/>
    <w:rsid w:val="000755B3"/>
    <w:rsid w:val="00075FB8"/>
    <w:rsid w:val="00076865"/>
    <w:rsid w:val="00085B89"/>
    <w:rsid w:val="000A3360"/>
    <w:rsid w:val="000A497B"/>
    <w:rsid w:val="000C129A"/>
    <w:rsid w:val="000C2229"/>
    <w:rsid w:val="000D4C11"/>
    <w:rsid w:val="000D69C5"/>
    <w:rsid w:val="000E1EDB"/>
    <w:rsid w:val="000E3AB2"/>
    <w:rsid w:val="000E4230"/>
    <w:rsid w:val="000E6D1E"/>
    <w:rsid w:val="000F1065"/>
    <w:rsid w:val="000F6F1D"/>
    <w:rsid w:val="000F7BB7"/>
    <w:rsid w:val="000F7D47"/>
    <w:rsid w:val="00101535"/>
    <w:rsid w:val="001109E8"/>
    <w:rsid w:val="001110C5"/>
    <w:rsid w:val="0011196B"/>
    <w:rsid w:val="00116691"/>
    <w:rsid w:val="00121D5A"/>
    <w:rsid w:val="0012410A"/>
    <w:rsid w:val="0012510B"/>
    <w:rsid w:val="00126DC9"/>
    <w:rsid w:val="001277D4"/>
    <w:rsid w:val="001300EE"/>
    <w:rsid w:val="00132104"/>
    <w:rsid w:val="001376A5"/>
    <w:rsid w:val="00141CAB"/>
    <w:rsid w:val="0014446B"/>
    <w:rsid w:val="00155DDE"/>
    <w:rsid w:val="00166752"/>
    <w:rsid w:val="001672B0"/>
    <w:rsid w:val="00172DFE"/>
    <w:rsid w:val="00180180"/>
    <w:rsid w:val="001807BC"/>
    <w:rsid w:val="001869D6"/>
    <w:rsid w:val="00187EE8"/>
    <w:rsid w:val="00190285"/>
    <w:rsid w:val="001946BB"/>
    <w:rsid w:val="001965B9"/>
    <w:rsid w:val="001A4D36"/>
    <w:rsid w:val="001B03A2"/>
    <w:rsid w:val="001C2B85"/>
    <w:rsid w:val="001C6EA5"/>
    <w:rsid w:val="001D073E"/>
    <w:rsid w:val="001D0B87"/>
    <w:rsid w:val="001D38FE"/>
    <w:rsid w:val="001D4B1D"/>
    <w:rsid w:val="001D5F9D"/>
    <w:rsid w:val="001E1082"/>
    <w:rsid w:val="001E5457"/>
    <w:rsid w:val="001E61A7"/>
    <w:rsid w:val="001E7784"/>
    <w:rsid w:val="001F2566"/>
    <w:rsid w:val="001F5A2A"/>
    <w:rsid w:val="00200F56"/>
    <w:rsid w:val="002012D1"/>
    <w:rsid w:val="002072D5"/>
    <w:rsid w:val="0022646B"/>
    <w:rsid w:val="00227267"/>
    <w:rsid w:val="00231480"/>
    <w:rsid w:val="00234958"/>
    <w:rsid w:val="00240E65"/>
    <w:rsid w:val="00241A0A"/>
    <w:rsid w:val="00241C07"/>
    <w:rsid w:val="0024547E"/>
    <w:rsid w:val="002461F2"/>
    <w:rsid w:val="002729C7"/>
    <w:rsid w:val="002752DB"/>
    <w:rsid w:val="0027626E"/>
    <w:rsid w:val="002850B6"/>
    <w:rsid w:val="002857AB"/>
    <w:rsid w:val="0029000A"/>
    <w:rsid w:val="002930E7"/>
    <w:rsid w:val="00297559"/>
    <w:rsid w:val="002A1126"/>
    <w:rsid w:val="002A2D1E"/>
    <w:rsid w:val="002A32DE"/>
    <w:rsid w:val="002A359C"/>
    <w:rsid w:val="002A4E09"/>
    <w:rsid w:val="002B178A"/>
    <w:rsid w:val="002B4D6A"/>
    <w:rsid w:val="002B586C"/>
    <w:rsid w:val="002C0D30"/>
    <w:rsid w:val="002D4313"/>
    <w:rsid w:val="002D7A64"/>
    <w:rsid w:val="002D7D2A"/>
    <w:rsid w:val="002E7750"/>
    <w:rsid w:val="002F55D4"/>
    <w:rsid w:val="002F72A4"/>
    <w:rsid w:val="00300175"/>
    <w:rsid w:val="003002C3"/>
    <w:rsid w:val="00302233"/>
    <w:rsid w:val="0031526F"/>
    <w:rsid w:val="00316025"/>
    <w:rsid w:val="00317F72"/>
    <w:rsid w:val="00320C8F"/>
    <w:rsid w:val="00324AE3"/>
    <w:rsid w:val="00326292"/>
    <w:rsid w:val="0033118E"/>
    <w:rsid w:val="0033442F"/>
    <w:rsid w:val="00340206"/>
    <w:rsid w:val="00350732"/>
    <w:rsid w:val="00352252"/>
    <w:rsid w:val="003532F8"/>
    <w:rsid w:val="003577B8"/>
    <w:rsid w:val="00375F01"/>
    <w:rsid w:val="00376B62"/>
    <w:rsid w:val="00380F98"/>
    <w:rsid w:val="0038152D"/>
    <w:rsid w:val="00387F01"/>
    <w:rsid w:val="00392D90"/>
    <w:rsid w:val="00393064"/>
    <w:rsid w:val="00394AB2"/>
    <w:rsid w:val="00394C04"/>
    <w:rsid w:val="003A0A3A"/>
    <w:rsid w:val="003A10CC"/>
    <w:rsid w:val="003A182F"/>
    <w:rsid w:val="003A3461"/>
    <w:rsid w:val="003A6EEA"/>
    <w:rsid w:val="003B2877"/>
    <w:rsid w:val="003C0808"/>
    <w:rsid w:val="003C3FE1"/>
    <w:rsid w:val="003D1E89"/>
    <w:rsid w:val="003D2014"/>
    <w:rsid w:val="003D29A3"/>
    <w:rsid w:val="003D72D3"/>
    <w:rsid w:val="003D737D"/>
    <w:rsid w:val="003E0604"/>
    <w:rsid w:val="003E6669"/>
    <w:rsid w:val="003F2EFD"/>
    <w:rsid w:val="003F3862"/>
    <w:rsid w:val="003F6AEC"/>
    <w:rsid w:val="00410B31"/>
    <w:rsid w:val="00420288"/>
    <w:rsid w:val="00420992"/>
    <w:rsid w:val="00433D31"/>
    <w:rsid w:val="00443098"/>
    <w:rsid w:val="00460770"/>
    <w:rsid w:val="00462E19"/>
    <w:rsid w:val="0046303D"/>
    <w:rsid w:val="00464A47"/>
    <w:rsid w:val="00465430"/>
    <w:rsid w:val="004771F4"/>
    <w:rsid w:val="0048306B"/>
    <w:rsid w:val="0048328D"/>
    <w:rsid w:val="004833B5"/>
    <w:rsid w:val="00483E45"/>
    <w:rsid w:val="004865C4"/>
    <w:rsid w:val="0048765C"/>
    <w:rsid w:val="00490650"/>
    <w:rsid w:val="004B2918"/>
    <w:rsid w:val="004B41A8"/>
    <w:rsid w:val="004B5895"/>
    <w:rsid w:val="004D2826"/>
    <w:rsid w:val="004E1795"/>
    <w:rsid w:val="004E5E0A"/>
    <w:rsid w:val="004F0C69"/>
    <w:rsid w:val="004F14F5"/>
    <w:rsid w:val="004F4C16"/>
    <w:rsid w:val="004F78E2"/>
    <w:rsid w:val="00504AF7"/>
    <w:rsid w:val="0050673C"/>
    <w:rsid w:val="00507CDE"/>
    <w:rsid w:val="00511F86"/>
    <w:rsid w:val="005169C2"/>
    <w:rsid w:val="0052329F"/>
    <w:rsid w:val="00523CF4"/>
    <w:rsid w:val="00552F85"/>
    <w:rsid w:val="005549B6"/>
    <w:rsid w:val="005629C1"/>
    <w:rsid w:val="00562FF5"/>
    <w:rsid w:val="005641EE"/>
    <w:rsid w:val="00576187"/>
    <w:rsid w:val="00577BD8"/>
    <w:rsid w:val="00586DF7"/>
    <w:rsid w:val="0059007C"/>
    <w:rsid w:val="00592BA0"/>
    <w:rsid w:val="00594F86"/>
    <w:rsid w:val="00594F9F"/>
    <w:rsid w:val="00596DEB"/>
    <w:rsid w:val="005A03DD"/>
    <w:rsid w:val="005A4ADF"/>
    <w:rsid w:val="005A597D"/>
    <w:rsid w:val="005A6E89"/>
    <w:rsid w:val="005C62A3"/>
    <w:rsid w:val="005D039C"/>
    <w:rsid w:val="005D196C"/>
    <w:rsid w:val="005D3C87"/>
    <w:rsid w:val="005D7AE4"/>
    <w:rsid w:val="005E1780"/>
    <w:rsid w:val="005F2999"/>
    <w:rsid w:val="005F3162"/>
    <w:rsid w:val="00600777"/>
    <w:rsid w:val="0060286F"/>
    <w:rsid w:val="00603AF1"/>
    <w:rsid w:val="00610D22"/>
    <w:rsid w:val="006117C1"/>
    <w:rsid w:val="00620130"/>
    <w:rsid w:val="00630CA1"/>
    <w:rsid w:val="00634F7C"/>
    <w:rsid w:val="006478ED"/>
    <w:rsid w:val="00654DFD"/>
    <w:rsid w:val="00656A60"/>
    <w:rsid w:val="00662295"/>
    <w:rsid w:val="0066657C"/>
    <w:rsid w:val="006715A3"/>
    <w:rsid w:val="006722B3"/>
    <w:rsid w:val="00680CE2"/>
    <w:rsid w:val="006941BB"/>
    <w:rsid w:val="006A216F"/>
    <w:rsid w:val="006A722D"/>
    <w:rsid w:val="006A7AD9"/>
    <w:rsid w:val="006B1DEA"/>
    <w:rsid w:val="006B3C28"/>
    <w:rsid w:val="006B4049"/>
    <w:rsid w:val="006C2341"/>
    <w:rsid w:val="006C27E1"/>
    <w:rsid w:val="006D02CB"/>
    <w:rsid w:val="006D3A26"/>
    <w:rsid w:val="006D5D4A"/>
    <w:rsid w:val="006D722E"/>
    <w:rsid w:val="006E05B4"/>
    <w:rsid w:val="006E3319"/>
    <w:rsid w:val="006E4DFE"/>
    <w:rsid w:val="006E5484"/>
    <w:rsid w:val="006F10E5"/>
    <w:rsid w:val="006F2103"/>
    <w:rsid w:val="006F37AB"/>
    <w:rsid w:val="006F6591"/>
    <w:rsid w:val="006F65EB"/>
    <w:rsid w:val="006F6926"/>
    <w:rsid w:val="007052C0"/>
    <w:rsid w:val="00721A6D"/>
    <w:rsid w:val="00723859"/>
    <w:rsid w:val="00724166"/>
    <w:rsid w:val="007253FB"/>
    <w:rsid w:val="00726473"/>
    <w:rsid w:val="0073752D"/>
    <w:rsid w:val="00740EB2"/>
    <w:rsid w:val="00742A49"/>
    <w:rsid w:val="00762682"/>
    <w:rsid w:val="007700ED"/>
    <w:rsid w:val="00770B14"/>
    <w:rsid w:val="00775856"/>
    <w:rsid w:val="00781CB7"/>
    <w:rsid w:val="00782703"/>
    <w:rsid w:val="0078518E"/>
    <w:rsid w:val="0079298F"/>
    <w:rsid w:val="0079676F"/>
    <w:rsid w:val="007A0DC2"/>
    <w:rsid w:val="007A32EF"/>
    <w:rsid w:val="007A774A"/>
    <w:rsid w:val="007B1E12"/>
    <w:rsid w:val="007C30E0"/>
    <w:rsid w:val="007D03A2"/>
    <w:rsid w:val="007D0C34"/>
    <w:rsid w:val="007D5200"/>
    <w:rsid w:val="007D5437"/>
    <w:rsid w:val="007E599F"/>
    <w:rsid w:val="007F3728"/>
    <w:rsid w:val="007F7AE8"/>
    <w:rsid w:val="00801DE1"/>
    <w:rsid w:val="008045DD"/>
    <w:rsid w:val="00813883"/>
    <w:rsid w:val="008211C6"/>
    <w:rsid w:val="0082172F"/>
    <w:rsid w:val="00823BF5"/>
    <w:rsid w:val="0082660C"/>
    <w:rsid w:val="00826BEC"/>
    <w:rsid w:val="00831AB6"/>
    <w:rsid w:val="00833843"/>
    <w:rsid w:val="008362FA"/>
    <w:rsid w:val="0083685A"/>
    <w:rsid w:val="008421D2"/>
    <w:rsid w:val="0084587F"/>
    <w:rsid w:val="00846792"/>
    <w:rsid w:val="00847685"/>
    <w:rsid w:val="00847EFF"/>
    <w:rsid w:val="0085156C"/>
    <w:rsid w:val="00855637"/>
    <w:rsid w:val="00866CE0"/>
    <w:rsid w:val="00877341"/>
    <w:rsid w:val="00880F19"/>
    <w:rsid w:val="00883F1D"/>
    <w:rsid w:val="00897816"/>
    <w:rsid w:val="008A012F"/>
    <w:rsid w:val="008B393F"/>
    <w:rsid w:val="008B6B95"/>
    <w:rsid w:val="008B7772"/>
    <w:rsid w:val="008C08B4"/>
    <w:rsid w:val="008C5083"/>
    <w:rsid w:val="008C5EA3"/>
    <w:rsid w:val="008D0286"/>
    <w:rsid w:val="008D0AE6"/>
    <w:rsid w:val="008D621D"/>
    <w:rsid w:val="008D6EF1"/>
    <w:rsid w:val="008E3254"/>
    <w:rsid w:val="008E7FEA"/>
    <w:rsid w:val="009019ED"/>
    <w:rsid w:val="00903ACB"/>
    <w:rsid w:val="00913A51"/>
    <w:rsid w:val="00914082"/>
    <w:rsid w:val="00926D7C"/>
    <w:rsid w:val="009345CA"/>
    <w:rsid w:val="0094301A"/>
    <w:rsid w:val="00943418"/>
    <w:rsid w:val="009442A1"/>
    <w:rsid w:val="0094583F"/>
    <w:rsid w:val="0095347B"/>
    <w:rsid w:val="00954480"/>
    <w:rsid w:val="009607D3"/>
    <w:rsid w:val="00964602"/>
    <w:rsid w:val="009741FE"/>
    <w:rsid w:val="00974F9E"/>
    <w:rsid w:val="009837D8"/>
    <w:rsid w:val="00985976"/>
    <w:rsid w:val="009934F5"/>
    <w:rsid w:val="009975CA"/>
    <w:rsid w:val="00997C68"/>
    <w:rsid w:val="009B09D9"/>
    <w:rsid w:val="009B14C5"/>
    <w:rsid w:val="009B4050"/>
    <w:rsid w:val="009B4AA4"/>
    <w:rsid w:val="009B5BD2"/>
    <w:rsid w:val="009C1F3F"/>
    <w:rsid w:val="009C2140"/>
    <w:rsid w:val="009C447A"/>
    <w:rsid w:val="009C57E4"/>
    <w:rsid w:val="009C63C3"/>
    <w:rsid w:val="009D48DD"/>
    <w:rsid w:val="009D4954"/>
    <w:rsid w:val="009F3379"/>
    <w:rsid w:val="00A01F41"/>
    <w:rsid w:val="00A02502"/>
    <w:rsid w:val="00A03BB1"/>
    <w:rsid w:val="00A06B51"/>
    <w:rsid w:val="00A122A2"/>
    <w:rsid w:val="00A1594A"/>
    <w:rsid w:val="00A2196E"/>
    <w:rsid w:val="00A24ADF"/>
    <w:rsid w:val="00A24C49"/>
    <w:rsid w:val="00A250A8"/>
    <w:rsid w:val="00A27359"/>
    <w:rsid w:val="00A27821"/>
    <w:rsid w:val="00A43FD7"/>
    <w:rsid w:val="00A445F7"/>
    <w:rsid w:val="00A512E1"/>
    <w:rsid w:val="00A54FE8"/>
    <w:rsid w:val="00A56FD9"/>
    <w:rsid w:val="00A6114E"/>
    <w:rsid w:val="00A612B7"/>
    <w:rsid w:val="00A63113"/>
    <w:rsid w:val="00A820FC"/>
    <w:rsid w:val="00A828A7"/>
    <w:rsid w:val="00A8548C"/>
    <w:rsid w:val="00A96CA2"/>
    <w:rsid w:val="00AA34F9"/>
    <w:rsid w:val="00AB06C5"/>
    <w:rsid w:val="00AB1681"/>
    <w:rsid w:val="00AB19D4"/>
    <w:rsid w:val="00AB1C6C"/>
    <w:rsid w:val="00AB403D"/>
    <w:rsid w:val="00AB5069"/>
    <w:rsid w:val="00AB54EE"/>
    <w:rsid w:val="00AB57E6"/>
    <w:rsid w:val="00AC1C28"/>
    <w:rsid w:val="00AD65E7"/>
    <w:rsid w:val="00AD7C96"/>
    <w:rsid w:val="00AE303E"/>
    <w:rsid w:val="00AF71EB"/>
    <w:rsid w:val="00B02044"/>
    <w:rsid w:val="00B06994"/>
    <w:rsid w:val="00B06E39"/>
    <w:rsid w:val="00B23DA8"/>
    <w:rsid w:val="00B2770C"/>
    <w:rsid w:val="00B27D2C"/>
    <w:rsid w:val="00B31C7C"/>
    <w:rsid w:val="00B36288"/>
    <w:rsid w:val="00B44810"/>
    <w:rsid w:val="00B5217F"/>
    <w:rsid w:val="00B60280"/>
    <w:rsid w:val="00B61353"/>
    <w:rsid w:val="00B67E9C"/>
    <w:rsid w:val="00B727BE"/>
    <w:rsid w:val="00B746AA"/>
    <w:rsid w:val="00B75E06"/>
    <w:rsid w:val="00B90C9B"/>
    <w:rsid w:val="00B95078"/>
    <w:rsid w:val="00B95D61"/>
    <w:rsid w:val="00BB16B6"/>
    <w:rsid w:val="00BB22A4"/>
    <w:rsid w:val="00BB3D23"/>
    <w:rsid w:val="00BC08F8"/>
    <w:rsid w:val="00BC16C9"/>
    <w:rsid w:val="00BC738A"/>
    <w:rsid w:val="00BD4CF9"/>
    <w:rsid w:val="00BD6B6E"/>
    <w:rsid w:val="00BE4794"/>
    <w:rsid w:val="00BF1268"/>
    <w:rsid w:val="00BF2D0E"/>
    <w:rsid w:val="00BF7D7F"/>
    <w:rsid w:val="00C031E8"/>
    <w:rsid w:val="00C06FF6"/>
    <w:rsid w:val="00C15592"/>
    <w:rsid w:val="00C158F2"/>
    <w:rsid w:val="00C25BAF"/>
    <w:rsid w:val="00C344AC"/>
    <w:rsid w:val="00C43349"/>
    <w:rsid w:val="00C4493E"/>
    <w:rsid w:val="00C533CA"/>
    <w:rsid w:val="00C644D8"/>
    <w:rsid w:val="00C646A8"/>
    <w:rsid w:val="00C73CB0"/>
    <w:rsid w:val="00C75133"/>
    <w:rsid w:val="00C77FC6"/>
    <w:rsid w:val="00C81135"/>
    <w:rsid w:val="00C82C34"/>
    <w:rsid w:val="00C8376E"/>
    <w:rsid w:val="00C94B94"/>
    <w:rsid w:val="00CA043A"/>
    <w:rsid w:val="00CC0140"/>
    <w:rsid w:val="00CC1739"/>
    <w:rsid w:val="00CD0199"/>
    <w:rsid w:val="00CD1455"/>
    <w:rsid w:val="00CD4AE4"/>
    <w:rsid w:val="00CD7766"/>
    <w:rsid w:val="00CE0833"/>
    <w:rsid w:val="00CE4C07"/>
    <w:rsid w:val="00CF35DC"/>
    <w:rsid w:val="00CF399C"/>
    <w:rsid w:val="00CF5A23"/>
    <w:rsid w:val="00D03A1C"/>
    <w:rsid w:val="00D111A3"/>
    <w:rsid w:val="00D116D4"/>
    <w:rsid w:val="00D12CE5"/>
    <w:rsid w:val="00D2172E"/>
    <w:rsid w:val="00D408F3"/>
    <w:rsid w:val="00D5328E"/>
    <w:rsid w:val="00D548C9"/>
    <w:rsid w:val="00D554A6"/>
    <w:rsid w:val="00D57A29"/>
    <w:rsid w:val="00D57CC6"/>
    <w:rsid w:val="00D63EF6"/>
    <w:rsid w:val="00D66ECD"/>
    <w:rsid w:val="00D85F5C"/>
    <w:rsid w:val="00D86DCD"/>
    <w:rsid w:val="00D922FC"/>
    <w:rsid w:val="00D9235D"/>
    <w:rsid w:val="00D93DF3"/>
    <w:rsid w:val="00D9526D"/>
    <w:rsid w:val="00DA5244"/>
    <w:rsid w:val="00DB4769"/>
    <w:rsid w:val="00DB6CE8"/>
    <w:rsid w:val="00DC2A6F"/>
    <w:rsid w:val="00DC39EC"/>
    <w:rsid w:val="00DC530D"/>
    <w:rsid w:val="00DD1840"/>
    <w:rsid w:val="00DD306D"/>
    <w:rsid w:val="00DD6E0A"/>
    <w:rsid w:val="00DF7185"/>
    <w:rsid w:val="00DF777C"/>
    <w:rsid w:val="00E03555"/>
    <w:rsid w:val="00E0470F"/>
    <w:rsid w:val="00E12419"/>
    <w:rsid w:val="00E14EAD"/>
    <w:rsid w:val="00E20F0D"/>
    <w:rsid w:val="00E21F18"/>
    <w:rsid w:val="00E23DC2"/>
    <w:rsid w:val="00E240CC"/>
    <w:rsid w:val="00E30894"/>
    <w:rsid w:val="00E37365"/>
    <w:rsid w:val="00E447D4"/>
    <w:rsid w:val="00E53ABF"/>
    <w:rsid w:val="00E57B77"/>
    <w:rsid w:val="00E6483A"/>
    <w:rsid w:val="00E760FC"/>
    <w:rsid w:val="00E81F4C"/>
    <w:rsid w:val="00E852A8"/>
    <w:rsid w:val="00E87E6E"/>
    <w:rsid w:val="00E91BDF"/>
    <w:rsid w:val="00EA4733"/>
    <w:rsid w:val="00EA58B0"/>
    <w:rsid w:val="00EB3159"/>
    <w:rsid w:val="00EC06FA"/>
    <w:rsid w:val="00EC1B12"/>
    <w:rsid w:val="00EC6F52"/>
    <w:rsid w:val="00ED0DC3"/>
    <w:rsid w:val="00ED2781"/>
    <w:rsid w:val="00ED6D75"/>
    <w:rsid w:val="00ED775F"/>
    <w:rsid w:val="00EE5680"/>
    <w:rsid w:val="00EF2EAA"/>
    <w:rsid w:val="00EF59D0"/>
    <w:rsid w:val="00EF6741"/>
    <w:rsid w:val="00F02640"/>
    <w:rsid w:val="00F11614"/>
    <w:rsid w:val="00F1740B"/>
    <w:rsid w:val="00F23FAD"/>
    <w:rsid w:val="00F25932"/>
    <w:rsid w:val="00F27A21"/>
    <w:rsid w:val="00F32900"/>
    <w:rsid w:val="00F33B1A"/>
    <w:rsid w:val="00F33D30"/>
    <w:rsid w:val="00F349D0"/>
    <w:rsid w:val="00F3525D"/>
    <w:rsid w:val="00F35E5F"/>
    <w:rsid w:val="00F363FB"/>
    <w:rsid w:val="00F41C70"/>
    <w:rsid w:val="00F4240F"/>
    <w:rsid w:val="00F425BE"/>
    <w:rsid w:val="00F43978"/>
    <w:rsid w:val="00F43E02"/>
    <w:rsid w:val="00F448A5"/>
    <w:rsid w:val="00F474D6"/>
    <w:rsid w:val="00F52628"/>
    <w:rsid w:val="00F5556A"/>
    <w:rsid w:val="00F61B25"/>
    <w:rsid w:val="00F630C5"/>
    <w:rsid w:val="00F6344A"/>
    <w:rsid w:val="00F7413C"/>
    <w:rsid w:val="00F7541B"/>
    <w:rsid w:val="00F83601"/>
    <w:rsid w:val="00F85CA2"/>
    <w:rsid w:val="00FB7193"/>
    <w:rsid w:val="00FC4DCB"/>
    <w:rsid w:val="00FD69E3"/>
    <w:rsid w:val="00FE23B6"/>
    <w:rsid w:val="00FE4289"/>
    <w:rsid w:val="00FE440C"/>
    <w:rsid w:val="00FE4790"/>
    <w:rsid w:val="00FE6DCA"/>
    <w:rsid w:val="00FF24B4"/>
    <w:rsid w:val="00FF7A6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before="240" w:after="60"/>
      <w:jc w:val="left"/>
      <w:outlineLvl w:val="0"/>
    </w:pPr>
    <w:rPr>
      <w:rFonts w:ascii="Arial" w:hAnsi="Arial" w:cs="Arial"/>
      <w:b/>
      <w:bCs/>
      <w:kern w:val="28"/>
      <w:sz w:val="28"/>
      <w:szCs w:val="28"/>
    </w:rPr>
  </w:style>
  <w:style w:type="paragraph" w:styleId="Heading2">
    <w:name w:val="heading 2"/>
    <w:basedOn w:val="Normal"/>
    <w:next w:val="Normal"/>
    <w:link w:val="Nadpis2Char"/>
    <w:uiPriority w:val="9"/>
    <w:qFormat/>
    <w:pPr>
      <w:keepNext/>
      <w:jc w:val="left"/>
      <w:outlineLvl w:val="1"/>
    </w:pPr>
    <w:rPr>
      <w:b/>
      <w:bCs/>
    </w:rPr>
  </w:style>
  <w:style w:type="paragraph" w:styleId="Heading3">
    <w:name w:val="heading 3"/>
    <w:basedOn w:val="Normal"/>
    <w:next w:val="Normal"/>
    <w:link w:val="Nadpis3Char"/>
    <w:uiPriority w:val="9"/>
    <w:qFormat/>
    <w:pPr>
      <w:keepNext/>
      <w:spacing w:before="240" w:after="60"/>
      <w:jc w:val="left"/>
      <w:outlineLvl w:val="2"/>
    </w:pPr>
    <w:rPr>
      <w:b/>
      <w:bCs/>
    </w:rPr>
  </w:style>
  <w:style w:type="paragraph" w:styleId="Heading4">
    <w:name w:val="heading 4"/>
    <w:basedOn w:val="Normal"/>
    <w:next w:val="Normal"/>
    <w:link w:val="Nadpis4Char"/>
    <w:uiPriority w:val="9"/>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overflowPunct w:val="0"/>
      <w:autoSpaceDE w:val="0"/>
      <w:autoSpaceDN w:val="0"/>
      <w:adjustRightInd w:val="0"/>
      <w:jc w:val="both"/>
      <w:textAlignment w:val="baseline"/>
      <w:outlineLvl w:val="3"/>
    </w:pPr>
  </w:style>
  <w:style w:type="paragraph" w:styleId="Heading5">
    <w:name w:val="heading 5"/>
    <w:basedOn w:val="Normal"/>
    <w:next w:val="Normal"/>
    <w:link w:val="Nadpis5Char"/>
    <w:uiPriority w:val="9"/>
    <w:qFormat/>
    <w:pPr>
      <w:keepNext/>
      <w:jc w:val="left"/>
      <w:outlineLvl w:val="4"/>
    </w:pPr>
    <w:rPr>
      <w:b/>
      <w:bCs/>
      <w:u w:val="single"/>
    </w:rPr>
  </w:style>
  <w:style w:type="paragraph" w:styleId="Heading7">
    <w:name w:val="heading 7"/>
    <w:basedOn w:val="Normal"/>
    <w:next w:val="Normal"/>
    <w:link w:val="Nadpis7Char"/>
    <w:uiPriority w:val="9"/>
    <w:qFormat/>
    <w:pPr>
      <w:keepNext/>
      <w:jc w:val="both"/>
      <w:outlineLvl w:val="6"/>
    </w:pPr>
    <w:rPr>
      <w:b/>
      <w:bCs/>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paragraph" w:styleId="List2">
    <w:name w:val="List 2"/>
    <w:basedOn w:val="Normal"/>
    <w:uiPriority w:val="99"/>
    <w:semiHidden/>
    <w:pPr>
      <w:widowControl w:val="0"/>
      <w:ind w:left="566" w:hanging="283"/>
      <w:jc w:val="left"/>
    </w:pPr>
    <w:rPr>
      <w:sz w:val="20"/>
      <w:szCs w:val="20"/>
    </w:rPr>
  </w:style>
  <w:style w:type="paragraph" w:styleId="BodyText">
    <w:name w:val="Body Text"/>
    <w:basedOn w:val="Normal"/>
    <w:link w:val="ZkladntextChar"/>
    <w:uiPriority w:val="99"/>
    <w:pPr>
      <w:widowControl w:val="0"/>
      <w:jc w:val="left"/>
    </w:pPr>
    <w:rPr>
      <w:color w:val="000000"/>
    </w:r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BodyTextIndent">
    <w:name w:val="Body Text Indent"/>
    <w:basedOn w:val="Normal"/>
    <w:link w:val="ZarkazkladnhotextuChar"/>
    <w:uiPriority w:val="99"/>
    <w:semiHidden/>
    <w:pPr>
      <w:autoSpaceDE w:val="0"/>
      <w:autoSpaceDN w:val="0"/>
      <w:adjustRightInd w:val="0"/>
      <w:spacing w:before="57" w:line="240" w:lineRule="exact"/>
      <w:ind w:left="288"/>
      <w:jc w:val="both"/>
    </w:pPr>
    <w:rPr>
      <w:lang w:val="cs-CZ"/>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Title">
    <w:name w:val="Title"/>
    <w:basedOn w:val="Normal"/>
    <w:link w:val="NzovChar"/>
    <w:uiPriority w:val="10"/>
    <w:qFormat/>
    <w:pPr>
      <w:autoSpaceDE w:val="0"/>
      <w:autoSpaceDN w:val="0"/>
      <w:adjustRightInd w:val="0"/>
      <w:spacing w:line="240" w:lineRule="exact"/>
      <w:jc w:val="center"/>
    </w:pPr>
    <w:rPr>
      <w:b/>
      <w:bCs/>
      <w:smallCaps/>
      <w:lang w:val="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styleId="BodyText3">
    <w:name w:val="Body Text 3"/>
    <w:basedOn w:val="Normal"/>
    <w:link w:val="Zkladntext3Char"/>
    <w:uiPriority w:val="99"/>
    <w:semiHidden/>
    <w:pPr>
      <w:numPr>
        <w:ilvl w:val="12"/>
      </w:numPr>
      <w:jc w:val="left"/>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Zkladntext">
    <w:name w:val="Základní text"/>
    <w:pPr>
      <w:framePr w:wrap="auto"/>
      <w:widowControl w:val="0"/>
      <w:autoSpaceDE/>
      <w:autoSpaceDN/>
      <w:adjustRightInd/>
      <w:ind w:left="0" w:right="0"/>
      <w:jc w:val="left"/>
      <w:textAlignment w:val="auto"/>
    </w:pPr>
    <w:rPr>
      <w:rFonts w:cs="Times New Roman"/>
      <w:color w:val="000000"/>
      <w:sz w:val="20"/>
      <w:szCs w:val="20"/>
      <w:rtl w:val="0"/>
      <w:cs w:val="0"/>
      <w:lang w:val="cs-CZ" w:eastAsia="sk-SK" w:bidi="ar-SA"/>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Indent3">
    <w:name w:val="Body Text Indent 3"/>
    <w:basedOn w:val="Normal"/>
    <w:link w:val="Zarkazkladnhotextu3Char"/>
    <w:uiPriority w:val="99"/>
    <w:semiHidden/>
    <w:pPr>
      <w:ind w:firstLine="708"/>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List3">
    <w:name w:val="List 3"/>
    <w:basedOn w:val="Normal"/>
    <w:uiPriority w:val="99"/>
    <w:semiHidden/>
    <w:pPr>
      <w:ind w:left="849" w:hanging="283"/>
      <w:jc w:val="left"/>
    </w:pPr>
    <w:rPr>
      <w:sz w:val="20"/>
      <w:szCs w:val="20"/>
    </w:rPr>
  </w:style>
  <w:style w:type="paragraph" w:customStyle="1" w:styleId="Odka">
    <w:name w:val="Oádka"/>
    <w:pPr>
      <w:framePr w:wrap="auto"/>
      <w:widowControl w:val="0"/>
      <w:autoSpaceDE/>
      <w:autoSpaceDN/>
      <w:adjustRightInd/>
      <w:ind w:left="0" w:right="0"/>
      <w:jc w:val="left"/>
      <w:textAlignment w:val="auto"/>
    </w:pPr>
    <w:rPr>
      <w:rFonts w:cs="Times New Roman"/>
      <w:color w:val="000000"/>
      <w:sz w:val="24"/>
      <w:szCs w:val="24"/>
      <w:rtl w:val="0"/>
      <w:cs w:val="0"/>
      <w:lang w:val="cs-CZ" w:eastAsia="sk-SK" w:bidi="ar-SA"/>
    </w:rPr>
  </w:style>
  <w:style w:type="paragraph" w:styleId="BodyText2">
    <w:name w:val="Body Text 2"/>
    <w:basedOn w:val="Normal"/>
    <w:link w:val="Zkladntext2Char"/>
    <w:uiPriority w:val="99"/>
    <w:semiHidden/>
    <w:pPr>
      <w:spacing w:after="120"/>
      <w:jc w:val="both"/>
    </w:pPr>
    <w:rPr>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2">
    <w:name w:val="Body Text Indent 2"/>
    <w:basedOn w:val="Normal"/>
    <w:link w:val="Zarkazkladnhotextu2Char"/>
    <w:uiPriority w:val="99"/>
    <w:semiHidden/>
    <w:pPr>
      <w:ind w:left="180" w:hanging="180"/>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PageNumber">
    <w:name w:val="page number"/>
    <w:basedOn w:val="DefaultParagraphFont"/>
    <w:uiPriority w:val="99"/>
    <w:semiHidden/>
    <w:rPr>
      <w:rFonts w:cs="Times New Roman"/>
      <w:rtl w:val="0"/>
      <w:cs w:val="0"/>
    </w:rPr>
  </w:style>
  <w:style w:type="paragraph" w:styleId="Footer">
    <w:name w:val="footer"/>
    <w:basedOn w:val="Normal"/>
    <w:link w:val="PtaChar"/>
    <w:uiPriority w:val="99"/>
    <w:semiHidden/>
    <w:pPr>
      <w:tabs>
        <w:tab w:val="center" w:pos="4536"/>
        <w:tab w:val="right" w:pos="9072"/>
      </w:tabs>
      <w:jc w:val="left"/>
    </w:pPr>
    <w:rPr>
      <w:sz w:val="20"/>
      <w:szCs w:val="20"/>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BalloonText">
    <w:name w:val="Balloon Text"/>
    <w:basedOn w:val="Normal"/>
    <w:link w:val="TextbublinyChar"/>
    <w:uiPriority w:val="99"/>
    <w:semiHidden/>
    <w:unhideWhenUsed/>
    <w:rsid w:val="00FD69E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D69E3"/>
    <w:rPr>
      <w:rFonts w:ascii="Tahoma" w:hAnsi="Tahoma" w:cs="Times New Roman"/>
      <w:sz w:val="16"/>
      <w:rtl w:val="0"/>
      <w:cs w:val="0"/>
    </w:rPr>
  </w:style>
  <w:style w:type="paragraph" w:customStyle="1" w:styleId="Point1">
    <w:name w:val="Point 1"/>
    <w:basedOn w:val="Normal"/>
    <w:rsid w:val="00410B31"/>
    <w:pPr>
      <w:spacing w:before="120" w:after="120"/>
      <w:ind w:left="1417" w:hanging="567"/>
      <w:jc w:val="both"/>
    </w:pPr>
    <w:rPr>
      <w:szCs w:val="20"/>
      <w:lang w:eastAsia="en-US"/>
    </w:rPr>
  </w:style>
  <w:style w:type="character" w:customStyle="1" w:styleId="ra">
    <w:name w:val="ra"/>
    <w:basedOn w:val="DefaultParagraphFont"/>
    <w:rsid w:val="00EC06FA"/>
    <w:rPr>
      <w:rFonts w:cs="Times New Roman"/>
      <w:rtl w:val="0"/>
      <w:cs w:val="0"/>
    </w:rPr>
  </w:style>
  <w:style w:type="character" w:styleId="PlaceholderText">
    <w:name w:val="Placeholder Text"/>
    <w:basedOn w:val="DefaultParagraphFont"/>
    <w:uiPriority w:val="99"/>
    <w:semiHidden/>
    <w:rsid w:val="00057EBB"/>
    <w:rPr>
      <w:rFonts w:ascii="Times New Roman" w:hAnsi="Times New Roman" w:cs="Times New Roman"/>
      <w:color w:val="808080"/>
      <w:rtl w:val="0"/>
      <w:cs w:val="0"/>
    </w:rPr>
  </w:style>
  <w:style w:type="paragraph" w:styleId="ListParagraph">
    <w:name w:val="List Paragraph"/>
    <w:basedOn w:val="Normal"/>
    <w:uiPriority w:val="99"/>
    <w:qFormat/>
    <w:rsid w:val="00121D5A"/>
    <w:pPr>
      <w:spacing w:after="200" w:line="276" w:lineRule="auto"/>
      <w:ind w:left="720"/>
      <w:contextualSpacing/>
      <w:jc w:val="left"/>
    </w:pPr>
    <w:rPr>
      <w:rFonts w:ascii="Calibri" w:hAnsi="Calibri"/>
      <w:sz w:val="22"/>
      <w:szCs w:val="22"/>
      <w:lang w:eastAsia="zh-CN"/>
    </w:rPr>
  </w:style>
  <w:style w:type="paragraph" w:customStyle="1" w:styleId="CM1">
    <w:name w:val="CM1"/>
    <w:basedOn w:val="Normal"/>
    <w:next w:val="Normal"/>
    <w:uiPriority w:val="99"/>
    <w:rsid w:val="005E1780"/>
    <w:pPr>
      <w:autoSpaceDE w:val="0"/>
      <w:autoSpaceDN w:val="0"/>
      <w:adjustRightInd w:val="0"/>
      <w:jc w:val="left"/>
    </w:pPr>
    <w:rPr>
      <w:rFonts w:ascii="EUAlbertina" w:hAnsi="EUAlbertina"/>
    </w:rPr>
  </w:style>
  <w:style w:type="character" w:styleId="Emphasis">
    <w:name w:val="Emphasis"/>
    <w:basedOn w:val="DefaultParagraphFont"/>
    <w:uiPriority w:val="20"/>
    <w:qFormat/>
    <w:rsid w:val="00ED2781"/>
    <w:rPr>
      <w:rFonts w:cs="Times New Roman"/>
      <w:i/>
      <w:iCs/>
      <w:rtl w:val="0"/>
      <w:cs w:val="0"/>
    </w:rPr>
  </w:style>
  <w:style w:type="character" w:styleId="Strong">
    <w:name w:val="Strong"/>
    <w:basedOn w:val="DefaultParagraphFont"/>
    <w:uiPriority w:val="22"/>
    <w:qFormat/>
    <w:rsid w:val="00ED2781"/>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42EB2-B04A-4A97-BDA4-0584E4EC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13</Pages>
  <Words>4707</Words>
  <Characters>26834</Characters>
  <Application>Microsoft Office Word</Application>
  <DocSecurity>0</DocSecurity>
  <Lines>0</Lines>
  <Paragraphs>0</Paragraphs>
  <ScaleCrop>false</ScaleCrop>
  <Company/>
  <LinksUpToDate>false</LinksUpToDate>
  <CharactersWithSpaces>31479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Robert Vlkolinsky</dc:creator>
  <cp:lastModifiedBy>Kassovic Jan</cp:lastModifiedBy>
  <cp:revision>2</cp:revision>
  <cp:lastPrinted>2015-01-19T10:02:00Z</cp:lastPrinted>
  <dcterms:created xsi:type="dcterms:W3CDTF">2015-02-13T08:18:00Z</dcterms:created>
  <dcterms:modified xsi:type="dcterms:W3CDTF">2015-02-13T08:18:00Z</dcterms:modified>
</cp:coreProperties>
</file>