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440D" w:rsidRPr="00957803" w:rsidP="00BD5D63">
      <w:pPr>
        <w:pStyle w:val="NormalWeb"/>
        <w:bidi w:val="0"/>
        <w:spacing w:before="120" w:beforeAutospacing="0" w:after="0" w:afterAutospacing="0" w:line="276" w:lineRule="auto"/>
        <w:ind w:firstLine="709"/>
        <w:jc w:val="center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F440D" w:rsidRPr="00957803" w:rsidP="00BD5D63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sz w:val="22"/>
          <w:szCs w:val="22"/>
        </w:rPr>
        <w:t xml:space="preserve">A. Všeobecná </w:t>
      </w:r>
      <w:r w:rsidRPr="00957803">
        <w:rPr>
          <w:rFonts w:ascii="Book Antiqua" w:hAnsi="Book Antiqua"/>
          <w:sz w:val="22"/>
          <w:szCs w:val="22"/>
          <w:lang w:val="sk-SK"/>
        </w:rPr>
        <w:t>časť</w:t>
      </w:r>
    </w:p>
    <w:p w:rsidR="002F440D" w:rsidRPr="00607757" w:rsidP="00BD5D63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07757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607757">
        <w:rPr>
          <w:rFonts w:ascii="Book Antiqua" w:hAnsi="Book Antiqua"/>
          <w:bCs/>
          <w:sz w:val="22"/>
          <w:szCs w:val="22"/>
        </w:rPr>
        <w:t xml:space="preserve">č. 222/2004 Z. z. o dani z pridanej hodnoty v znení neskorších predpisov </w:t>
      </w:r>
      <w:r w:rsidRPr="00607757">
        <w:rPr>
          <w:rFonts w:ascii="Book Antiqua" w:hAnsi="Book Antiqua"/>
          <w:sz w:val="22"/>
          <w:szCs w:val="22"/>
        </w:rPr>
        <w:t xml:space="preserve">(ďalej len „návrh zákona“) predkladá skupina poslancov Národnej rady Slovenskej republiky (ďalej len „NR SR“) </w:t>
      </w:r>
      <w:r w:rsidRPr="00607757">
        <w:rPr>
          <w:rFonts w:ascii="Book Antiqua" w:hAnsi="Book Antiqua" w:cs="Book Antiqua"/>
          <w:sz w:val="22"/>
          <w:szCs w:val="22"/>
        </w:rPr>
        <w:t>za hnutie OBYČAJNÍ ĽUDIA a nezávislé osobnosti</w:t>
      </w:r>
      <w:r w:rsidRPr="00607757">
        <w:rPr>
          <w:rFonts w:ascii="Book Antiqua" w:hAnsi="Book Antiqua"/>
          <w:sz w:val="22"/>
          <w:szCs w:val="22"/>
        </w:rPr>
        <w:t>.</w:t>
      </w:r>
    </w:p>
    <w:p w:rsidR="00CB18A5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 w:rsidRPr="00607757" w:rsidR="004E633D">
        <w:rPr>
          <w:rFonts w:ascii="Book Antiqua" w:hAnsi="Book Antiqua" w:cs="Microsoft Sans Serif"/>
          <w:sz w:val="22"/>
          <w:szCs w:val="22"/>
        </w:rPr>
        <w:t>Jedným z</w:t>
      </w:r>
      <w:r w:rsidR="00BD5D63">
        <w:rPr>
          <w:rFonts w:ascii="Book Antiqua" w:hAnsi="Book Antiqua" w:cs="Microsoft Sans Serif"/>
          <w:sz w:val="22"/>
          <w:szCs w:val="22"/>
        </w:rPr>
        <w:t> </w:t>
      </w:r>
      <w:r w:rsidRPr="00607757" w:rsidR="004E633D">
        <w:rPr>
          <w:rFonts w:ascii="Book Antiqua" w:hAnsi="Book Antiqua" w:cs="Microsoft Sans Serif"/>
          <w:sz w:val="22"/>
          <w:szCs w:val="22"/>
        </w:rPr>
        <w:t>neblahých</w:t>
      </w:r>
      <w:r w:rsidR="00BD5D63">
        <w:rPr>
          <w:rFonts w:ascii="Book Antiqua" w:hAnsi="Book Antiqua" w:cs="Microsoft Sans Serif"/>
          <w:sz w:val="22"/>
          <w:szCs w:val="22"/>
        </w:rPr>
        <w:t>, ale</w:t>
      </w:r>
      <w:r w:rsidRPr="00607757" w:rsidR="004E633D">
        <w:rPr>
          <w:rFonts w:ascii="Book Antiqua" w:hAnsi="Book Antiqua" w:cs="Microsoft Sans Serif"/>
          <w:sz w:val="22"/>
          <w:szCs w:val="22"/>
        </w:rPr>
        <w:t xml:space="preserve"> stále sa rozširujúcich fenoménov v slovenskom podnikateľskom prostredí je nedisciplinovanosť</w:t>
      </w:r>
      <w:r>
        <w:rPr>
          <w:rFonts w:ascii="Book Antiqua" w:hAnsi="Book Antiqua" w:cs="Microsoft Sans Serif"/>
          <w:sz w:val="22"/>
          <w:szCs w:val="22"/>
        </w:rPr>
        <w:t>,</w:t>
      </w:r>
      <w:r w:rsidRPr="00607757" w:rsidR="004E633D">
        <w:rPr>
          <w:rFonts w:ascii="Book Antiqua" w:hAnsi="Book Antiqua" w:cs="Microsoft Sans Serif"/>
          <w:sz w:val="22"/>
          <w:szCs w:val="22"/>
        </w:rPr>
        <w:t xml:space="preserve"> či dokonca hr</w:t>
      </w:r>
      <w:r w:rsidR="00FB2A54">
        <w:rPr>
          <w:rFonts w:ascii="Book Antiqua" w:hAnsi="Book Antiqua" w:cs="Microsoft Sans Serif"/>
          <w:sz w:val="22"/>
          <w:szCs w:val="22"/>
        </w:rPr>
        <w:t>ubá ignorancia uhrádzania platieb</w:t>
      </w:r>
      <w:r w:rsidRPr="00607757" w:rsidR="004E633D">
        <w:rPr>
          <w:rFonts w:ascii="Book Antiqua" w:hAnsi="Book Antiqua" w:cs="Microsoft Sans Serif"/>
          <w:sz w:val="22"/>
          <w:szCs w:val="22"/>
        </w:rPr>
        <w:t xml:space="preserve"> zmluvným partnerom za nimi poskytnuté </w:t>
      </w:r>
      <w:r w:rsidR="00C96436">
        <w:rPr>
          <w:rFonts w:ascii="Book Antiqua" w:hAnsi="Book Antiqua" w:cs="Microsoft Sans Serif"/>
          <w:sz w:val="22"/>
          <w:szCs w:val="22"/>
        </w:rPr>
        <w:t>tovary alebo služby</w:t>
      </w:r>
      <w:r w:rsidR="00FB2A54">
        <w:rPr>
          <w:rFonts w:ascii="Book Antiqua" w:hAnsi="Book Antiqua" w:cs="Microsoft Sans Serif"/>
          <w:sz w:val="22"/>
          <w:szCs w:val="22"/>
        </w:rPr>
        <w:t>. Ten</w:t>
      </w:r>
      <w:r w:rsidRPr="00607757" w:rsidR="004E633D">
        <w:rPr>
          <w:rFonts w:ascii="Book Antiqua" w:hAnsi="Book Antiqua" w:cs="Microsoft Sans Serif"/>
          <w:sz w:val="22"/>
          <w:szCs w:val="22"/>
        </w:rPr>
        <w:t xml:space="preserve">to </w:t>
      </w:r>
      <w:r w:rsidR="007B52E1">
        <w:rPr>
          <w:rFonts w:ascii="Book Antiqua" w:hAnsi="Book Antiqua" w:cs="Microsoft Sans Serif"/>
          <w:sz w:val="22"/>
          <w:szCs w:val="22"/>
        </w:rPr>
        <w:t>stav spôsobuje tzv.</w:t>
      </w:r>
      <w:r w:rsidRPr="00607757" w:rsidR="00D0001A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D0001A">
        <w:rPr>
          <w:rFonts w:ascii="Book Antiqua" w:hAnsi="Book Antiqua" w:cs="Microsoft Sans Serif"/>
          <w:b/>
          <w:sz w:val="22"/>
          <w:szCs w:val="22"/>
        </w:rPr>
        <w:t>druhotnú platobnú neschopnosť</w:t>
      </w:r>
      <w:r w:rsidR="00FB2A54">
        <w:rPr>
          <w:rFonts w:ascii="Book Antiqua" w:hAnsi="Book Antiqua" w:cs="Microsoft Sans Serif"/>
          <w:sz w:val="22"/>
          <w:szCs w:val="22"/>
        </w:rPr>
        <w:t>. Tá</w:t>
      </w:r>
      <w:r w:rsidRPr="00607757" w:rsidR="00D0001A">
        <w:rPr>
          <w:rFonts w:ascii="Book Antiqua" w:hAnsi="Book Antiqua" w:cs="Microsoft Sans Serif"/>
          <w:sz w:val="22"/>
          <w:szCs w:val="22"/>
        </w:rPr>
        <w:t xml:space="preserve"> môže spôsobiť a v prípade malých živnostníkov a podnikov spravidla aj spôsobuje tak vážne následky</w:t>
      </w:r>
      <w:r w:rsidR="00FB2A54">
        <w:rPr>
          <w:rFonts w:ascii="Book Antiqua" w:hAnsi="Book Antiqua" w:cs="Microsoft Sans Serif"/>
          <w:sz w:val="22"/>
          <w:szCs w:val="22"/>
        </w:rPr>
        <w:t xml:space="preserve">, </w:t>
      </w:r>
      <w:r>
        <w:rPr>
          <w:rFonts w:ascii="Book Antiqua" w:hAnsi="Book Antiqua" w:cs="Microsoft Sans Serif"/>
          <w:sz w:val="22"/>
          <w:szCs w:val="22"/>
        </w:rPr>
        <w:t>že viacerým z týchto subjektov hrozí úpadok a neraz aj likvidácia</w:t>
      </w:r>
      <w:r w:rsidRPr="00607757" w:rsidR="00D0001A">
        <w:rPr>
          <w:rFonts w:ascii="Book Antiqua" w:hAnsi="Book Antiqua" w:cs="Microsoft Sans Serif"/>
          <w:sz w:val="22"/>
          <w:szCs w:val="22"/>
        </w:rPr>
        <w:t xml:space="preserve">. </w:t>
      </w:r>
    </w:p>
    <w:p w:rsidR="00A42680" w:rsidRP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 w:rsidRPr="00607757" w:rsidR="00D0001A">
        <w:rPr>
          <w:rFonts w:ascii="Book Antiqua" w:hAnsi="Book Antiqua" w:cs="Microsoft Sans Serif"/>
          <w:sz w:val="22"/>
          <w:szCs w:val="22"/>
        </w:rPr>
        <w:t>Povinnosťou štátu je vytvárať také podnika</w:t>
      </w:r>
      <w:r w:rsidR="00E263C5">
        <w:rPr>
          <w:rFonts w:ascii="Book Antiqua" w:hAnsi="Book Antiqua" w:cs="Microsoft Sans Serif"/>
          <w:sz w:val="22"/>
          <w:szCs w:val="22"/>
        </w:rPr>
        <w:t>teľské prostredi</w:t>
      </w:r>
      <w:r w:rsidR="00CB18A5">
        <w:rPr>
          <w:rFonts w:ascii="Book Antiqua" w:hAnsi="Book Antiqua" w:cs="Microsoft Sans Serif"/>
          <w:sz w:val="22"/>
          <w:szCs w:val="22"/>
        </w:rPr>
        <w:t>e, ktoré zamedzí takýmto</w:t>
      </w:r>
      <w:r w:rsidR="00E263C5">
        <w:rPr>
          <w:rFonts w:ascii="Book Antiqua" w:hAnsi="Book Antiqua" w:cs="Microsoft Sans Serif"/>
          <w:sz w:val="22"/>
          <w:szCs w:val="22"/>
        </w:rPr>
        <w:t xml:space="preserve"> praktikám</w:t>
      </w:r>
      <w:r w:rsidRPr="00607757" w:rsidR="00D0001A">
        <w:rPr>
          <w:rFonts w:ascii="Book Antiqua" w:hAnsi="Book Antiqua" w:cs="Microsoft Sans Serif"/>
          <w:sz w:val="22"/>
          <w:szCs w:val="22"/>
        </w:rPr>
        <w:t xml:space="preserve"> alebo aspoň sčasti zmierni negatívne dopady </w:t>
      </w:r>
      <w:r w:rsidR="00CB18A5">
        <w:rPr>
          <w:rFonts w:ascii="Book Antiqua" w:hAnsi="Book Antiqua" w:cs="Microsoft Sans Serif"/>
          <w:sz w:val="22"/>
          <w:szCs w:val="22"/>
        </w:rPr>
        <w:t>na</w:t>
      </w:r>
      <w:r w:rsidR="00E263C5">
        <w:rPr>
          <w:rFonts w:ascii="Book Antiqua" w:hAnsi="Book Antiqua" w:cs="Microsoft Sans Serif"/>
          <w:sz w:val="22"/>
          <w:szCs w:val="22"/>
        </w:rPr>
        <w:t xml:space="preserve"> subjekty postihnuté druhotnou platobnou neschopnosťou.</w:t>
      </w:r>
      <w:r w:rsidRPr="00607757" w:rsidR="00AE2334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AE2334">
        <w:rPr>
          <w:rFonts w:ascii="Book Antiqua" w:hAnsi="Book Antiqua" w:cs="Microsoft Sans Serif"/>
          <w:b/>
          <w:sz w:val="22"/>
          <w:szCs w:val="22"/>
        </w:rPr>
        <w:t xml:space="preserve">V súčasnosti sú podnikatelia </w:t>
      </w:r>
      <w:r w:rsidR="00CB18A5">
        <w:rPr>
          <w:rFonts w:ascii="Book Antiqua" w:hAnsi="Book Antiqua" w:cs="Microsoft Sans Serif"/>
          <w:b/>
          <w:sz w:val="22"/>
          <w:szCs w:val="22"/>
        </w:rPr>
        <w:t xml:space="preserve">(dodávatelia) </w:t>
      </w:r>
      <w:r w:rsidRPr="00607757" w:rsidR="00AE2334">
        <w:rPr>
          <w:rFonts w:ascii="Book Antiqua" w:hAnsi="Book Antiqua" w:cs="Microsoft Sans Serif"/>
          <w:b/>
          <w:sz w:val="22"/>
          <w:szCs w:val="22"/>
        </w:rPr>
        <w:t xml:space="preserve">povinní zaplatiť daň z pridanej hodnoty aj vtedy, ak im ich zmluvný partner </w:t>
      </w:r>
      <w:r w:rsidR="00CB18A5">
        <w:rPr>
          <w:rFonts w:ascii="Book Antiqua" w:hAnsi="Book Antiqua" w:cs="Microsoft Sans Serif"/>
          <w:b/>
          <w:sz w:val="22"/>
          <w:szCs w:val="22"/>
        </w:rPr>
        <w:t xml:space="preserve">(odberateľ) </w:t>
      </w:r>
      <w:r w:rsidRPr="00607757" w:rsidR="00AE2334">
        <w:rPr>
          <w:rFonts w:ascii="Book Antiqua" w:hAnsi="Book Antiqua" w:cs="Microsoft Sans Serif"/>
          <w:b/>
          <w:sz w:val="22"/>
          <w:szCs w:val="22"/>
        </w:rPr>
        <w:t>nezaplatí za poskytnuté plnenie</w:t>
      </w:r>
      <w:r w:rsidRPr="00607757" w:rsidR="00AE2334">
        <w:rPr>
          <w:rFonts w:ascii="Book Antiqua" w:hAnsi="Book Antiqua" w:cs="Microsoft Sans Serif"/>
          <w:sz w:val="22"/>
          <w:szCs w:val="22"/>
        </w:rPr>
        <w:t>.</w:t>
      </w:r>
      <w:r w:rsidRPr="00607757" w:rsidR="004E633D">
        <w:rPr>
          <w:rFonts w:ascii="Book Antiqua" w:hAnsi="Book Antiqua" w:cs="Microsoft Sans Serif"/>
          <w:sz w:val="22"/>
          <w:szCs w:val="22"/>
        </w:rPr>
        <w:t xml:space="preserve">    </w:t>
      </w:r>
    </w:p>
    <w:p w:rsidR="0024020F" w:rsidRPr="00ED081E" w:rsidP="00ED081E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b/>
          <w:sz w:val="22"/>
          <w:szCs w:val="22"/>
        </w:rPr>
      </w:pPr>
      <w:r w:rsidRPr="00607757" w:rsidR="002F440D">
        <w:rPr>
          <w:rFonts w:ascii="Book Antiqua" w:hAnsi="Book Antiqua" w:cs="Microsoft Sans Serif"/>
          <w:sz w:val="22"/>
          <w:szCs w:val="22"/>
        </w:rPr>
        <w:t>Cieľom predloženého zákona</w:t>
      </w:r>
      <w:r w:rsidRPr="00607757" w:rsidR="00AE2334">
        <w:rPr>
          <w:rFonts w:ascii="Book Antiqua" w:hAnsi="Book Antiqua" w:cs="Microsoft Sans Serif"/>
          <w:sz w:val="22"/>
          <w:szCs w:val="22"/>
        </w:rPr>
        <w:t xml:space="preserve"> je </w:t>
      </w:r>
      <w:r w:rsidRPr="00607757" w:rsidR="00AE2334">
        <w:rPr>
          <w:rFonts w:ascii="Book Antiqua" w:hAnsi="Book Antiqua" w:cs="Microsoft Sans Serif"/>
          <w:b/>
          <w:sz w:val="22"/>
          <w:szCs w:val="22"/>
        </w:rPr>
        <w:t xml:space="preserve">posun splatnosti DPH dodávateľa za poskytnuté tovary alebo služby do </w:t>
      </w:r>
      <w:r w:rsidR="00CB18A5">
        <w:rPr>
          <w:rFonts w:ascii="Book Antiqua" w:hAnsi="Book Antiqua" w:cs="Microsoft Sans Serif"/>
          <w:b/>
          <w:sz w:val="22"/>
          <w:szCs w:val="22"/>
        </w:rPr>
        <w:t xml:space="preserve">času, kým mu odberateľ neuhradí </w:t>
      </w:r>
      <w:r w:rsidRPr="00607757" w:rsidR="00AE2334">
        <w:rPr>
          <w:rFonts w:ascii="Book Antiqua" w:hAnsi="Book Antiqua" w:cs="Microsoft Sans Serif"/>
          <w:b/>
          <w:sz w:val="22"/>
          <w:szCs w:val="22"/>
        </w:rPr>
        <w:t>celé plnenie v dohodnutej výške</w:t>
      </w:r>
      <w:r w:rsidR="00CB18A5">
        <w:rPr>
          <w:rFonts w:ascii="Book Antiqua" w:hAnsi="Book Antiqua" w:cs="Microsoft Sans Serif"/>
          <w:b/>
          <w:sz w:val="22"/>
          <w:szCs w:val="22"/>
        </w:rPr>
        <w:t xml:space="preserve"> zahŕňajúce aj daň, ktorú je zo zákona povinný zaplatiť</w:t>
      </w:r>
      <w:r w:rsidR="00ED081E">
        <w:rPr>
          <w:rFonts w:ascii="Book Antiqua" w:hAnsi="Book Antiqua" w:cs="Microsoft Sans Serif"/>
          <w:b/>
          <w:sz w:val="22"/>
          <w:szCs w:val="22"/>
        </w:rPr>
        <w:t xml:space="preserve">. </w:t>
      </w:r>
      <w:r w:rsidR="00ED081E">
        <w:rPr>
          <w:rFonts w:ascii="Book Antiqua" w:hAnsi="Book Antiqua" w:cs="Microsoft Sans Serif"/>
          <w:sz w:val="22"/>
          <w:szCs w:val="22"/>
        </w:rPr>
        <w:t>Dodávateľ (platiteľ dane)</w:t>
      </w:r>
      <w:r w:rsidR="00ED081E">
        <w:rPr>
          <w:rFonts w:ascii="Book Antiqua" w:hAnsi="Book Antiqua" w:cs="Arial"/>
          <w:color w:val="000000"/>
          <w:sz w:val="22"/>
          <w:szCs w:val="22"/>
        </w:rPr>
        <w:t xml:space="preserve"> bude následne povinný splniť si</w:t>
      </w:r>
      <w:r w:rsidRPr="003D6AC5" w:rsidR="00ED081E">
        <w:rPr>
          <w:rFonts w:ascii="Book Antiqua" w:hAnsi="Book Antiqua" w:cs="Arial"/>
          <w:color w:val="000000"/>
          <w:sz w:val="22"/>
          <w:szCs w:val="22"/>
        </w:rPr>
        <w:t xml:space="preserve"> vlastnú daňovú povinnosť do 25 dní od prijatia platby v plnej výške za dodaný tovar alebo službu</w:t>
      </w:r>
      <w:r w:rsidR="00ED081E">
        <w:rPr>
          <w:rFonts w:ascii="Book Antiqua" w:hAnsi="Book Antiqua" w:cs="Arial"/>
          <w:color w:val="000000"/>
          <w:sz w:val="22"/>
          <w:szCs w:val="22"/>
        </w:rPr>
        <w:t>.</w:t>
      </w:r>
      <w:r w:rsidR="00ED081E">
        <w:rPr>
          <w:rFonts w:ascii="Book Antiqua" w:hAnsi="Book Antiqua" w:cs="Microsoft Sans Serif"/>
          <w:sz w:val="22"/>
          <w:szCs w:val="22"/>
        </w:rPr>
        <w:t xml:space="preserve"> </w:t>
      </w:r>
      <w:r w:rsidR="00CB18A5">
        <w:rPr>
          <w:rFonts w:ascii="Book Antiqua" w:hAnsi="Book Antiqua" w:cs="Microsoft Sans Serif"/>
          <w:sz w:val="22"/>
          <w:szCs w:val="22"/>
        </w:rPr>
        <w:t xml:space="preserve">Toto riešenie v istom zmysle prenáša zodpovednosť za nedostatočnú </w:t>
      </w:r>
      <w:r w:rsidRPr="00607757" w:rsidR="002F440D">
        <w:rPr>
          <w:rFonts w:ascii="Book Antiqua" w:hAnsi="Book Antiqua" w:cs="Microsoft Sans Serif"/>
          <w:sz w:val="22"/>
          <w:szCs w:val="22"/>
        </w:rPr>
        <w:t xml:space="preserve">vymožiteľnosť práva na </w:t>
      </w:r>
      <w:r w:rsidR="00CB18A5">
        <w:rPr>
          <w:rFonts w:ascii="Book Antiqua" w:hAnsi="Book Antiqua" w:cs="Microsoft Sans Serif"/>
          <w:sz w:val="22"/>
          <w:szCs w:val="22"/>
        </w:rPr>
        <w:t>štát, ktorý by mal reformovať právny a osobitne súdny systém do takej miery, aby nebolo potrebné legislatívou zavádzať riešenia, ktoré sú v značnej miere neštandardné.</w:t>
      </w:r>
    </w:p>
    <w:p w:rsidR="00607757" w:rsidP="00D40B10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 w:rsidRPr="00607757" w:rsidR="00D36E90">
        <w:rPr>
          <w:rFonts w:ascii="Book Antiqua" w:hAnsi="Book Antiqua" w:cs="Microsoft Sans Serif"/>
          <w:sz w:val="22"/>
          <w:szCs w:val="22"/>
        </w:rPr>
        <w:t>Návrh zákona</w:t>
      </w:r>
      <w:r w:rsidRPr="00607757" w:rsidR="00C96B4C">
        <w:rPr>
          <w:rFonts w:ascii="Book Antiqua" w:hAnsi="Book Antiqua" w:cs="Microsoft Sans Serif"/>
          <w:sz w:val="22"/>
          <w:szCs w:val="22"/>
        </w:rPr>
        <w:t xml:space="preserve"> </w:t>
      </w:r>
      <w:r w:rsidR="00ED081E">
        <w:rPr>
          <w:rFonts w:ascii="Book Antiqua" w:hAnsi="Book Antiqua" w:cs="Microsoft Sans Serif"/>
          <w:sz w:val="22"/>
          <w:szCs w:val="22"/>
        </w:rPr>
        <w:t xml:space="preserve">by nemal mať negatívny vplyv na rozpočet verejnej správy, keďže návrh nezavádza oslobodenie od dane, ale len odklad jej splatnosti. </w:t>
      </w:r>
      <w:r w:rsidRPr="00607757" w:rsidR="00C96B4C">
        <w:rPr>
          <w:rFonts w:ascii="Book Antiqua" w:hAnsi="Book Antiqua" w:cs="Microsoft Sans Serif"/>
          <w:sz w:val="22"/>
          <w:szCs w:val="22"/>
        </w:rPr>
        <w:t>Návrh zákona</w:t>
      </w:r>
      <w:r w:rsidRPr="00607757" w:rsidR="00D36E90">
        <w:rPr>
          <w:rFonts w:ascii="Book Antiqua" w:hAnsi="Book Antiqua" w:cs="Microsoft Sans Serif"/>
          <w:sz w:val="22"/>
          <w:szCs w:val="22"/>
        </w:rPr>
        <w:t xml:space="preserve"> </w:t>
      </w:r>
      <w:r w:rsidR="009F2B0A">
        <w:rPr>
          <w:rFonts w:ascii="Book Antiqua" w:hAnsi="Book Antiqua" w:cs="Microsoft Sans Serif"/>
          <w:sz w:val="22"/>
          <w:szCs w:val="22"/>
        </w:rPr>
        <w:t xml:space="preserve">nemá vplyv na </w:t>
      </w:r>
      <w:r w:rsidR="00D40B10">
        <w:rPr>
          <w:rFonts w:ascii="Book Antiqua" w:hAnsi="Book Antiqua" w:cs="Microsoft Sans Serif"/>
          <w:sz w:val="22"/>
          <w:szCs w:val="22"/>
        </w:rPr>
        <w:t xml:space="preserve">informatizáciu spoločnosti ani vplyv </w:t>
      </w:r>
      <w:r w:rsidRPr="00607757" w:rsidR="00D36E90">
        <w:rPr>
          <w:rFonts w:ascii="Book Antiqua" w:hAnsi="Book Antiqua" w:cs="Microsoft Sans Serif"/>
          <w:sz w:val="22"/>
          <w:szCs w:val="22"/>
        </w:rPr>
        <w:t xml:space="preserve">na </w:t>
      </w:r>
      <w:r w:rsidR="00E24919">
        <w:rPr>
          <w:rFonts w:ascii="Book Antiqua" w:hAnsi="Book Antiqua" w:cs="Microsoft Sans Serif"/>
          <w:sz w:val="22"/>
          <w:szCs w:val="22"/>
        </w:rPr>
        <w:t>životné prostredie</w:t>
      </w:r>
      <w:r w:rsidRPr="00607757" w:rsidR="00D36E90">
        <w:rPr>
          <w:rFonts w:ascii="Book Antiqua" w:hAnsi="Book Antiqua" w:cs="Microsoft Sans Serif"/>
          <w:sz w:val="22"/>
          <w:szCs w:val="22"/>
        </w:rPr>
        <w:t>.</w:t>
      </w:r>
      <w:r w:rsidR="00ED081E">
        <w:rPr>
          <w:rFonts w:ascii="Book Antiqua" w:hAnsi="Book Antiqua" w:cs="Microsoft Sans Serif"/>
          <w:sz w:val="22"/>
          <w:szCs w:val="22"/>
        </w:rPr>
        <w:t xml:space="preserve"> Návrh zákona má</w:t>
      </w:r>
      <w:r w:rsidR="00BA1923">
        <w:rPr>
          <w:rFonts w:ascii="Book Antiqua" w:hAnsi="Book Antiqua" w:cs="Microsoft Sans Serif"/>
          <w:sz w:val="22"/>
          <w:szCs w:val="22"/>
        </w:rPr>
        <w:t xml:space="preserve"> pozitívny vplyv na podnikateľskú sféru a má pozitívne sociálne vplyvy.</w:t>
      </w:r>
    </w:p>
    <w:p w:rsidR="00E24919" w:rsidRPr="00BA1923" w:rsidP="00BD5D6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A1923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E24919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P="00BD5D63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</w:p>
    <w:p w:rsidR="00607757" w:rsidRPr="00607757" w:rsidP="00BD5D63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607757">
        <w:rPr>
          <w:rFonts w:ascii="Book Antiqua" w:hAnsi="Book Antiqua"/>
          <w:sz w:val="22"/>
          <w:szCs w:val="22"/>
        </w:rPr>
        <w:t xml:space="preserve">B. Osobitná </w:t>
      </w:r>
      <w:r w:rsidRPr="00607757">
        <w:rPr>
          <w:rFonts w:ascii="Book Antiqua" w:hAnsi="Book Antiqua"/>
          <w:sz w:val="22"/>
          <w:szCs w:val="22"/>
          <w:lang w:val="sk-SK"/>
        </w:rPr>
        <w:t>časť</w:t>
      </w:r>
    </w:p>
    <w:p w:rsidR="00D36E90" w:rsidRPr="00607757" w:rsidP="00BD5D63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</w:rPr>
      </w:pPr>
    </w:p>
    <w:p w:rsidR="00D36E90" w:rsidRPr="00607757" w:rsidP="00BD5D63">
      <w:pPr>
        <w:bidi w:val="0"/>
        <w:spacing w:before="120" w:line="276" w:lineRule="auto"/>
        <w:jc w:val="both"/>
        <w:rPr>
          <w:rFonts w:ascii="Book Antiqua" w:hAnsi="Book Antiqua" w:cs="Microsoft Sans Serif"/>
          <w:b/>
          <w:sz w:val="22"/>
          <w:szCs w:val="22"/>
        </w:rPr>
      </w:pPr>
      <w:r w:rsidRPr="00607757">
        <w:rPr>
          <w:rFonts w:ascii="Book Antiqua" w:hAnsi="Book Antiqua" w:cs="Microsoft Sans Serif"/>
          <w:b/>
          <w:sz w:val="22"/>
          <w:szCs w:val="22"/>
        </w:rPr>
        <w:t>K čl. I:</w:t>
      </w:r>
    </w:p>
    <w:p w:rsidR="00952846" w:rsidRPr="00952846" w:rsidP="00BD5D63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  <w:u w:val="single"/>
        </w:rPr>
      </w:pPr>
      <w:r w:rsidRPr="00952846" w:rsidR="00D56705">
        <w:rPr>
          <w:rFonts w:ascii="Book Antiqua" w:hAnsi="Book Antiqua" w:cs="Microsoft Sans Serif"/>
          <w:sz w:val="22"/>
          <w:szCs w:val="22"/>
          <w:u w:val="single"/>
        </w:rPr>
        <w:t xml:space="preserve">K </w:t>
      </w:r>
      <w:r w:rsidRPr="00952846" w:rsidR="00313FAF">
        <w:rPr>
          <w:rFonts w:ascii="Book Antiqua" w:hAnsi="Book Antiqua" w:cs="Microsoft Sans Serif"/>
          <w:sz w:val="22"/>
          <w:szCs w:val="22"/>
          <w:u w:val="single"/>
        </w:rPr>
        <w:t>bodu</w:t>
      </w:r>
      <w:r w:rsidRPr="00952846">
        <w:rPr>
          <w:rFonts w:ascii="Book Antiqua" w:hAnsi="Book Antiqua" w:cs="Microsoft Sans Serif"/>
          <w:sz w:val="22"/>
          <w:szCs w:val="22"/>
          <w:u w:val="single"/>
        </w:rPr>
        <w:t xml:space="preserve"> 1</w:t>
      </w:r>
    </w:p>
    <w:p w:rsidR="00952846" w:rsidP="00952846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>
        <w:rPr>
          <w:rFonts w:ascii="Book Antiqua" w:hAnsi="Book Antiqua" w:cs="Microsoft Sans Serif"/>
          <w:sz w:val="22"/>
          <w:szCs w:val="22"/>
        </w:rPr>
        <w:t xml:space="preserve">Toto zákonné ustanovenie </w:t>
      </w:r>
      <w:r w:rsidRPr="00607757" w:rsidR="00313FAF">
        <w:rPr>
          <w:rFonts w:ascii="Book Antiqua" w:hAnsi="Book Antiqua" w:cs="Microsoft Sans Serif"/>
          <w:sz w:val="22"/>
          <w:szCs w:val="22"/>
        </w:rPr>
        <w:t>umožňuje odberateľovi tovaru alebo služby odpočítať si daň až vtedy, keď ju zaplatí jej platiteľovi, teda dodávateľovi. Týka sa to len tých odberateľov, ktorí sú i sami platiteľmi</w:t>
      </w:r>
      <w:r w:rsidRPr="00607757" w:rsidR="00447AE3">
        <w:rPr>
          <w:rFonts w:ascii="Book Antiqua" w:hAnsi="Book Antiqua" w:cs="Microsoft Sans Serif"/>
          <w:sz w:val="22"/>
          <w:szCs w:val="22"/>
        </w:rPr>
        <w:t xml:space="preserve"> dane z pridanej hodnoty. Týmto ustanovením sa vytvára tlak na odberateľov, aby si </w:t>
      </w:r>
      <w:r w:rsidRPr="00607757" w:rsidR="00BD05E0">
        <w:rPr>
          <w:rFonts w:ascii="Book Antiqua" w:hAnsi="Book Antiqua" w:cs="Microsoft Sans Serif"/>
          <w:sz w:val="22"/>
          <w:szCs w:val="22"/>
        </w:rPr>
        <w:t>vo vlastnom záujme</w:t>
      </w:r>
      <w:r w:rsidRPr="00607757" w:rsidR="00447AE3">
        <w:rPr>
          <w:rFonts w:ascii="Book Antiqua" w:hAnsi="Book Antiqua" w:cs="Microsoft Sans Serif"/>
          <w:sz w:val="22"/>
          <w:szCs w:val="22"/>
        </w:rPr>
        <w:t xml:space="preserve"> </w:t>
      </w:r>
      <w:r>
        <w:rPr>
          <w:rFonts w:ascii="Book Antiqua" w:hAnsi="Book Antiqua" w:cs="Microsoft Sans Serif"/>
          <w:sz w:val="22"/>
          <w:szCs w:val="22"/>
        </w:rPr>
        <w:t xml:space="preserve">plnili </w:t>
      </w:r>
      <w:r w:rsidRPr="00607757" w:rsidR="00447AE3">
        <w:rPr>
          <w:rFonts w:ascii="Book Antiqua" w:hAnsi="Book Antiqua" w:cs="Microsoft Sans Serif"/>
          <w:sz w:val="22"/>
          <w:szCs w:val="22"/>
        </w:rPr>
        <w:t>svoje po</w:t>
      </w:r>
      <w:r>
        <w:rPr>
          <w:rFonts w:ascii="Book Antiqua" w:hAnsi="Book Antiqua" w:cs="Microsoft Sans Serif"/>
          <w:sz w:val="22"/>
          <w:szCs w:val="22"/>
        </w:rPr>
        <w:t>vinnosti voči dodávateľom</w:t>
      </w:r>
      <w:r w:rsidRPr="00607757" w:rsidR="00447AE3">
        <w:rPr>
          <w:rFonts w:ascii="Book Antiqua" w:hAnsi="Book Antiqua" w:cs="Microsoft Sans Serif"/>
          <w:sz w:val="22"/>
          <w:szCs w:val="22"/>
        </w:rPr>
        <w:t>.</w:t>
      </w:r>
    </w:p>
    <w:p w:rsidR="00952846" w:rsidRPr="00952846" w:rsidP="00952846">
      <w:pPr>
        <w:bidi w:val="0"/>
        <w:spacing w:before="120" w:line="276" w:lineRule="auto"/>
        <w:jc w:val="both"/>
        <w:rPr>
          <w:rFonts w:ascii="Book Antiqua" w:hAnsi="Book Antiqua" w:cs="Microsoft Sans Serif"/>
          <w:sz w:val="22"/>
          <w:szCs w:val="22"/>
          <w:u w:val="single"/>
        </w:rPr>
      </w:pPr>
      <w:r>
        <w:rPr>
          <w:rFonts w:ascii="Book Antiqua" w:hAnsi="Book Antiqua" w:cs="Microsoft Sans Serif"/>
          <w:sz w:val="22"/>
          <w:szCs w:val="22"/>
          <w:u w:val="single"/>
        </w:rPr>
        <w:t>K bodom</w:t>
      </w:r>
      <w:r w:rsidRPr="00952846" w:rsidR="00447AE3">
        <w:rPr>
          <w:rFonts w:ascii="Book Antiqua" w:hAnsi="Book Antiqua" w:cs="Microsoft Sans Serif"/>
          <w:sz w:val="22"/>
          <w:szCs w:val="22"/>
          <w:u w:val="single"/>
        </w:rPr>
        <w:t xml:space="preserve"> 2 a</w:t>
      </w:r>
      <w:r w:rsidRPr="00952846">
        <w:rPr>
          <w:rFonts w:ascii="Book Antiqua" w:hAnsi="Book Antiqua" w:cs="Microsoft Sans Serif"/>
          <w:sz w:val="22"/>
          <w:szCs w:val="22"/>
          <w:u w:val="single"/>
        </w:rPr>
        <w:t> </w:t>
      </w:r>
      <w:r w:rsidRPr="00952846" w:rsidR="00447AE3">
        <w:rPr>
          <w:rFonts w:ascii="Book Antiqua" w:hAnsi="Book Antiqua" w:cs="Microsoft Sans Serif"/>
          <w:sz w:val="22"/>
          <w:szCs w:val="22"/>
          <w:u w:val="single"/>
        </w:rPr>
        <w:t>3</w:t>
      </w:r>
    </w:p>
    <w:p w:rsidR="00952846" w:rsidP="00952846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 w:rsidRPr="00607757" w:rsidR="00447AE3">
        <w:rPr>
          <w:rFonts w:ascii="Book Antiqua" w:hAnsi="Book Antiqua" w:cs="Microsoft Sans Serif"/>
          <w:sz w:val="22"/>
          <w:szCs w:val="22"/>
        </w:rPr>
        <w:t>Navrhované zmeny prvej vety § 78 ods.</w:t>
      </w:r>
      <w:r w:rsidR="007B52E1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447AE3">
        <w:rPr>
          <w:rFonts w:ascii="Book Antiqua" w:hAnsi="Book Antiqua" w:cs="Microsoft Sans Serif"/>
          <w:sz w:val="22"/>
          <w:szCs w:val="22"/>
        </w:rPr>
        <w:t xml:space="preserve">1 </w:t>
      </w:r>
      <w:r w:rsidRPr="00607757" w:rsidR="007B52E1">
        <w:rPr>
          <w:rFonts w:ascii="Book Antiqua" w:hAnsi="Book Antiqua" w:cs="Microsoft Sans Serif"/>
          <w:sz w:val="22"/>
          <w:szCs w:val="22"/>
        </w:rPr>
        <w:t>a druhej vety § 78 ods.</w:t>
      </w:r>
      <w:r w:rsidR="007B52E1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7B52E1">
        <w:rPr>
          <w:rFonts w:ascii="Book Antiqua" w:hAnsi="Book Antiqua" w:cs="Microsoft Sans Serif"/>
          <w:sz w:val="22"/>
          <w:szCs w:val="22"/>
        </w:rPr>
        <w:t>2</w:t>
      </w:r>
      <w:r w:rsidR="007B52E1">
        <w:rPr>
          <w:rFonts w:ascii="Book Antiqua" w:hAnsi="Book Antiqua" w:cs="Microsoft Sans Serif"/>
          <w:sz w:val="22"/>
          <w:szCs w:val="22"/>
        </w:rPr>
        <w:t xml:space="preserve"> zákona </w:t>
      </w:r>
      <w:r w:rsidRPr="00607757" w:rsidR="007B52E1">
        <w:rPr>
          <w:rFonts w:ascii="Book Antiqua" w:hAnsi="Book Antiqua"/>
          <w:bCs/>
          <w:sz w:val="22"/>
          <w:szCs w:val="22"/>
        </w:rPr>
        <w:t>č. 222/2004 Z. z. o dani z pridanej hodnoty v znení neskorších predpisov</w:t>
      </w:r>
      <w:r w:rsidR="007B52E1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447AE3">
        <w:rPr>
          <w:rFonts w:ascii="Book Antiqua" w:hAnsi="Book Antiqua" w:cs="Microsoft Sans Serif"/>
          <w:sz w:val="22"/>
          <w:szCs w:val="22"/>
        </w:rPr>
        <w:t>sú ťažiskom predloženej právnej úpravy. Nimi sa docieli posun splatnosti daňovej povinnosti dodávateľovi tovaru alebo služby až na čas, keď mu odberateľ zapla</w:t>
      </w:r>
      <w:r w:rsidR="00BA1923">
        <w:rPr>
          <w:rFonts w:ascii="Book Antiqua" w:hAnsi="Book Antiqua" w:cs="Microsoft Sans Serif"/>
          <w:sz w:val="22"/>
          <w:szCs w:val="22"/>
        </w:rPr>
        <w:t>tí. Táto povinnosť mu vznikne 25</w:t>
      </w:r>
      <w:r w:rsidRPr="00607757" w:rsidR="00447AE3">
        <w:rPr>
          <w:rFonts w:ascii="Book Antiqua" w:hAnsi="Book Antiqua" w:cs="Microsoft Sans Serif"/>
          <w:sz w:val="22"/>
          <w:szCs w:val="22"/>
        </w:rPr>
        <w:t xml:space="preserve"> dní od prijatia </w:t>
      </w:r>
      <w:r w:rsidRPr="00607757" w:rsidR="005D0D31">
        <w:rPr>
          <w:rFonts w:ascii="Book Antiqua" w:hAnsi="Book Antiqua" w:cs="Microsoft Sans Serif"/>
          <w:sz w:val="22"/>
          <w:szCs w:val="22"/>
        </w:rPr>
        <w:t xml:space="preserve">celej sumy </w:t>
      </w:r>
      <w:r w:rsidRPr="00607757" w:rsidR="00447AE3">
        <w:rPr>
          <w:rFonts w:ascii="Book Antiqua" w:hAnsi="Book Antiqua" w:cs="Microsoft Sans Serif"/>
          <w:sz w:val="22"/>
          <w:szCs w:val="22"/>
        </w:rPr>
        <w:t>platby</w:t>
      </w:r>
      <w:r w:rsidRPr="00607757" w:rsidR="005D0D31">
        <w:rPr>
          <w:rFonts w:ascii="Book Antiqua" w:hAnsi="Book Antiqua" w:cs="Microsoft Sans Serif"/>
          <w:sz w:val="22"/>
          <w:szCs w:val="22"/>
        </w:rPr>
        <w:t>.</w:t>
      </w:r>
      <w:r w:rsidR="007B52E1">
        <w:rPr>
          <w:rFonts w:ascii="Book Antiqua" w:hAnsi="Book Antiqua" w:cs="Microsoft Sans Serif"/>
          <w:sz w:val="22"/>
          <w:szCs w:val="22"/>
        </w:rPr>
        <w:t xml:space="preserve"> Týmto riešením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 sa odstráni vyložene nespravodlivá prax, v ktorej sú dodávatelia povinní platiť daň z pridanej hodnoty i za tovary alebo služby, za ktoré im ich odberatelia v lehote, ktorú im dáva zákon, alebo na ktor</w:t>
      </w:r>
      <w:r>
        <w:rPr>
          <w:rFonts w:ascii="Book Antiqua" w:hAnsi="Book Antiqua" w:cs="Microsoft Sans Serif"/>
          <w:sz w:val="22"/>
          <w:szCs w:val="22"/>
        </w:rPr>
        <w:t>ej sa dohodli, nezaplatili.</w:t>
      </w:r>
    </w:p>
    <w:p w:rsidR="00447AE3" w:rsidRPr="00607757" w:rsidP="00952846">
      <w:pPr>
        <w:bidi w:val="0"/>
        <w:spacing w:before="120" w:line="276" w:lineRule="auto"/>
        <w:ind w:firstLine="708"/>
        <w:jc w:val="both"/>
        <w:rPr>
          <w:rFonts w:ascii="Book Antiqua" w:hAnsi="Book Antiqua" w:cs="Microsoft Sans Serif"/>
          <w:sz w:val="22"/>
          <w:szCs w:val="22"/>
        </w:rPr>
      </w:pPr>
      <w:r w:rsidRPr="00607757" w:rsidR="007E2DC0">
        <w:rPr>
          <w:rFonts w:ascii="Book Antiqua" w:hAnsi="Book Antiqua" w:cs="Microsoft Sans Serif"/>
          <w:sz w:val="22"/>
          <w:szCs w:val="22"/>
        </w:rPr>
        <w:t xml:space="preserve">Štát si </w:t>
      </w:r>
      <w:r w:rsidRPr="00607757" w:rsidR="006F0A3A">
        <w:rPr>
          <w:rFonts w:ascii="Book Antiqua" w:hAnsi="Book Antiqua" w:cs="Microsoft Sans Serif"/>
          <w:sz w:val="22"/>
          <w:szCs w:val="22"/>
        </w:rPr>
        <w:t>pri doterajšom usporiadaní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 zabezpečuje povinnosť, ktorú majú platitelia dane voči nemu, avša</w:t>
      </w:r>
      <w:r w:rsidR="007B52E1">
        <w:rPr>
          <w:rFonts w:ascii="Book Antiqua" w:hAnsi="Book Antiqua" w:cs="Microsoft Sans Serif"/>
          <w:sz w:val="22"/>
          <w:szCs w:val="22"/>
        </w:rPr>
        <w:t>k ten istý štát nerobí nič preto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, </w:t>
      </w:r>
      <w:r w:rsidR="007B52E1">
        <w:rPr>
          <w:rFonts w:ascii="Book Antiqua" w:hAnsi="Book Antiqua" w:cs="Microsoft Sans Serif"/>
          <w:sz w:val="22"/>
          <w:szCs w:val="22"/>
        </w:rPr>
        <w:t>aby sa vymáhateľnosť práva zlepšovala, čo by bránilo tak častému vzniku tzv. druhotnej platobnej neschopnosti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. Pritom práve štát by mal byť garantom vymožiteľnosti práva. </w:t>
      </w:r>
      <w:r w:rsidRPr="00607757" w:rsidR="006F0A3A">
        <w:rPr>
          <w:rFonts w:ascii="Book Antiqua" w:hAnsi="Book Antiqua" w:cs="Microsoft Sans Serif"/>
          <w:sz w:val="22"/>
          <w:szCs w:val="22"/>
        </w:rPr>
        <w:t>Predklad</w:t>
      </w:r>
      <w:r w:rsidR="007B52E1">
        <w:rPr>
          <w:rFonts w:ascii="Book Antiqua" w:hAnsi="Book Antiqua" w:cs="Microsoft Sans Serif"/>
          <w:sz w:val="22"/>
          <w:szCs w:val="22"/>
        </w:rPr>
        <w:t>ateľ návrhu zákona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 </w:t>
      </w:r>
      <w:r w:rsidRPr="00607757" w:rsidR="006F0A3A">
        <w:rPr>
          <w:rFonts w:ascii="Book Antiqua" w:hAnsi="Book Antiqua" w:cs="Microsoft Sans Serif"/>
          <w:sz w:val="22"/>
          <w:szCs w:val="22"/>
        </w:rPr>
        <w:t>považuje</w:t>
      </w:r>
      <w:r w:rsidRPr="00607757" w:rsidR="007E2DC0">
        <w:rPr>
          <w:rFonts w:ascii="Book Antiqua" w:hAnsi="Book Antiqua" w:cs="Microsoft Sans Serif"/>
          <w:sz w:val="22"/>
          <w:szCs w:val="22"/>
        </w:rPr>
        <w:t xml:space="preserve"> za spravodlivé, aby riziko z nedodržiavania zákonov čiastočne znášal i štát, nielen subjekty, ktoré sa bez vlastnej viny dostávajú do ekonomicky zložitej situácie.</w:t>
      </w:r>
    </w:p>
    <w:p w:rsidR="006F0A3A" w:rsidRPr="00607757" w:rsidP="00BD5D63">
      <w:pPr>
        <w:bidi w:val="0"/>
        <w:spacing w:before="120" w:line="276" w:lineRule="auto"/>
        <w:jc w:val="both"/>
        <w:rPr>
          <w:rFonts w:ascii="Book Antiqua" w:hAnsi="Book Antiqua" w:cs="Microsoft Sans Serif"/>
          <w:b/>
          <w:sz w:val="22"/>
          <w:szCs w:val="22"/>
        </w:rPr>
      </w:pPr>
    </w:p>
    <w:p w:rsidR="00D36E90" w:rsidRPr="00607757" w:rsidP="00BD5D63">
      <w:pPr>
        <w:bidi w:val="0"/>
        <w:spacing w:before="120" w:line="276" w:lineRule="auto"/>
        <w:jc w:val="both"/>
        <w:rPr>
          <w:rFonts w:ascii="Book Antiqua" w:hAnsi="Book Antiqua" w:cs="Microsoft Sans Serif"/>
          <w:b/>
          <w:sz w:val="22"/>
          <w:szCs w:val="22"/>
        </w:rPr>
      </w:pPr>
      <w:r w:rsidRPr="00607757" w:rsidR="005D0D31">
        <w:rPr>
          <w:rFonts w:ascii="Book Antiqua" w:hAnsi="Book Antiqua" w:cs="Microsoft Sans Serif"/>
          <w:b/>
          <w:sz w:val="22"/>
          <w:szCs w:val="22"/>
        </w:rPr>
        <w:t>K čl. II</w:t>
      </w:r>
      <w:r w:rsidRPr="00607757">
        <w:rPr>
          <w:rFonts w:ascii="Book Antiqua" w:hAnsi="Book Antiqua" w:cs="Microsoft Sans Serif"/>
          <w:b/>
          <w:sz w:val="22"/>
          <w:szCs w:val="22"/>
        </w:rPr>
        <w:t>:</w:t>
      </w:r>
    </w:p>
    <w:p w:rsidR="00D36E90" w:rsidRPr="00151279" w:rsidP="00952846">
      <w:pPr>
        <w:bidi w:val="0"/>
        <w:spacing w:before="120" w:line="276" w:lineRule="auto"/>
        <w:ind w:firstLine="708"/>
        <w:jc w:val="both"/>
        <w:rPr>
          <w:rFonts w:ascii="Microsoft Sans Serif" w:hAnsi="Microsoft Sans Serif" w:cs="Microsoft Sans Serif"/>
        </w:rPr>
      </w:pPr>
      <w:r w:rsidR="00952846">
        <w:rPr>
          <w:rFonts w:ascii="Book Antiqua" w:hAnsi="Book Antiqua" w:cs="Microsoft Sans Serif"/>
          <w:sz w:val="22"/>
          <w:szCs w:val="22"/>
        </w:rPr>
        <w:t xml:space="preserve">Termín nadobudnutia účinnosti zákona sa vzhľadom na legisvakačnú dobu </w:t>
      </w:r>
      <w:r w:rsidRPr="00607757" w:rsidR="005D0D31">
        <w:rPr>
          <w:rFonts w:ascii="Book Antiqua" w:hAnsi="Book Antiqua" w:cs="Microsoft Sans Serif"/>
          <w:sz w:val="22"/>
          <w:szCs w:val="22"/>
        </w:rPr>
        <w:t>navrhuje</w:t>
      </w:r>
      <w:r w:rsidR="00952846">
        <w:rPr>
          <w:rFonts w:ascii="Book Antiqua" w:hAnsi="Book Antiqua" w:cs="Microsoft Sans Serif"/>
          <w:sz w:val="22"/>
          <w:szCs w:val="22"/>
        </w:rPr>
        <w:t xml:space="preserve"> </w:t>
      </w:r>
      <w:r w:rsidRPr="00607757">
        <w:rPr>
          <w:rFonts w:ascii="Book Antiqua" w:hAnsi="Book Antiqua" w:cs="Microsoft Sans Serif"/>
          <w:sz w:val="22"/>
          <w:szCs w:val="22"/>
        </w:rPr>
        <w:t xml:space="preserve">od 1. </w:t>
      </w:r>
      <w:r w:rsidRPr="00607757" w:rsidR="005D0D31">
        <w:rPr>
          <w:rFonts w:ascii="Book Antiqua" w:hAnsi="Book Antiqua" w:cs="Microsoft Sans Serif"/>
          <w:sz w:val="22"/>
          <w:szCs w:val="22"/>
        </w:rPr>
        <w:t>jún</w:t>
      </w:r>
      <w:r w:rsidRPr="00607757" w:rsidR="00321568">
        <w:rPr>
          <w:rFonts w:ascii="Book Antiqua" w:hAnsi="Book Antiqua" w:cs="Microsoft Sans Serif"/>
          <w:sz w:val="22"/>
          <w:szCs w:val="22"/>
        </w:rPr>
        <w:t>a 2015</w:t>
      </w:r>
      <w:r w:rsidRPr="00607757">
        <w:rPr>
          <w:rFonts w:ascii="Book Antiqua" w:hAnsi="Book Antiqua" w:cs="Microsoft Sans Serif"/>
          <w:sz w:val="22"/>
          <w:szCs w:val="22"/>
        </w:rPr>
        <w:t>.</w:t>
      </w: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B95DF5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B95DF5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B95DF5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B95DF5" w:rsidP="00B95DF5">
      <w:pPr>
        <w:bidi w:val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95DF5" w:rsidRPr="002818DE" w:rsidP="00B95DF5">
      <w:pPr>
        <w:bidi w:val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818DE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sz w:val="22"/>
          <w:szCs w:val="22"/>
        </w:rPr>
        <w:t>návrhu zákona</w:t>
      </w:r>
      <w:r w:rsidRPr="002818DE">
        <w:rPr>
          <w:rFonts w:ascii="Book Antiqua" w:hAnsi="Book Antiqua"/>
          <w:sz w:val="22"/>
          <w:szCs w:val="22"/>
        </w:rPr>
        <w:t xml:space="preserve"> </w:t>
      </w:r>
      <w:r w:rsidRPr="002818D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sz w:val="22"/>
          <w:szCs w:val="22"/>
        </w:rPr>
        <w:t> </w:t>
      </w: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327E6E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95DF5" w:rsidRPr="00327E6E" w:rsidP="00B95DF5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27E6E"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návrh zákona, </w:t>
      </w:r>
      <w:r w:rsidRPr="00607757">
        <w:rPr>
          <w:rFonts w:ascii="Book Antiqua" w:hAnsi="Book Antiqua"/>
          <w:sz w:val="22"/>
          <w:szCs w:val="22"/>
        </w:rPr>
        <w:t xml:space="preserve">ktorým sa mení a dopĺňa zákon </w:t>
      </w:r>
      <w:r w:rsidRPr="00607757">
        <w:rPr>
          <w:rFonts w:ascii="Book Antiqua" w:hAnsi="Book Antiqua"/>
          <w:bCs/>
          <w:sz w:val="22"/>
          <w:szCs w:val="22"/>
        </w:rPr>
        <w:t>č. 222/2004 Z. z. o dani z pridanej hodnoty v znení neskorších predpisov</w:t>
      </w:r>
    </w:p>
    <w:p w:rsidR="00B95DF5" w:rsidRPr="00327E6E" w:rsidP="00B95DF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27E6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B95DF5" w:rsidRPr="00327E6E" w:rsidP="00B95DF5">
      <w:pPr>
        <w:pStyle w:val="NormalWeb"/>
        <w:numPr>
          <w:numId w:val="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7E6E">
        <w:rPr>
          <w:rFonts w:ascii="Book Antiqua" w:hAnsi="Book Antiqua"/>
          <w:bCs/>
          <w:sz w:val="22"/>
          <w:szCs w:val="22"/>
        </w:rPr>
        <w:t xml:space="preserve">je upravený v primárnom práve Európskej únie, a to v čl. </w:t>
      </w:r>
      <w:r w:rsidR="00D133AD">
        <w:rPr>
          <w:rFonts w:ascii="Book Antiqua" w:hAnsi="Book Antiqua"/>
          <w:bCs/>
          <w:sz w:val="22"/>
          <w:szCs w:val="22"/>
        </w:rPr>
        <w:t>113 Zmluvy o fungovaní Európskej únie,</w:t>
      </w:r>
    </w:p>
    <w:p w:rsidR="00B95DF5" w:rsidRPr="00327E6E" w:rsidP="00B95DF5">
      <w:pPr>
        <w:pStyle w:val="NormalWeb"/>
        <w:numPr>
          <w:numId w:val="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7E6E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B95DF5" w:rsidRPr="00327E6E" w:rsidP="00B95DF5">
      <w:pPr>
        <w:pStyle w:val="NormalWeb"/>
        <w:numPr>
          <w:numId w:val="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7E6E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B95DF5" w:rsidRPr="00327E6E" w:rsidP="00B95DF5">
      <w:pPr>
        <w:numPr>
          <w:ilvl w:val="3"/>
          <w:numId w:val="1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327E6E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B95DF5" w:rsidRPr="00327E6E" w:rsidP="00B95DF5">
      <w:pPr>
        <w:bidi w:val="0"/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sz w:val="22"/>
          <w:szCs w:val="22"/>
        </w:rPr>
        <w:t>a) bezpredmetné,</w:t>
      </w:r>
    </w:p>
    <w:p w:rsidR="00B95DF5" w:rsidRPr="00327E6E" w:rsidP="00B95DF5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sz w:val="22"/>
          <w:szCs w:val="22"/>
        </w:rPr>
        <w:t>b) v danej oblasti nebol proti Slovenskej republike začatý postup Európskej komisie a ani konanie Súdneho dvora Európskej únie podľa článkov 258 až 260 Zmluvy o fungovaní Európskej únie,</w:t>
      </w:r>
    </w:p>
    <w:p w:rsidR="00B95DF5" w:rsidRPr="00327E6E" w:rsidP="00B95DF5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i/>
          <w:sz w:val="22"/>
          <w:szCs w:val="22"/>
        </w:rPr>
      </w:pPr>
      <w:r w:rsidRPr="00327E6E">
        <w:rPr>
          <w:rFonts w:ascii="Book Antiqua" w:hAnsi="Book Antiqua"/>
          <w:sz w:val="22"/>
          <w:szCs w:val="22"/>
        </w:rPr>
        <w:t>c) bezpredmetné.</w:t>
      </w:r>
    </w:p>
    <w:p w:rsidR="00B95DF5" w:rsidRPr="00327E6E" w:rsidP="00B95DF5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color w:val="000000"/>
          <w:sz w:val="22"/>
          <w:szCs w:val="22"/>
        </w:rPr>
      </w:pPr>
    </w:p>
    <w:p w:rsidR="00B95DF5" w:rsidRPr="00327E6E" w:rsidP="00B95DF5">
      <w:pPr>
        <w:numPr>
          <w:numId w:val="2"/>
        </w:numPr>
        <w:tabs>
          <w:tab w:val="num" w:pos="284"/>
          <w:tab w:val="left" w:pos="341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327E6E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</w:p>
    <w:p w:rsidR="00B95DF5" w:rsidRPr="00327E6E" w:rsidP="00B95DF5">
      <w:pPr>
        <w:pStyle w:val="ListParagraph"/>
        <w:numPr>
          <w:numId w:val="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sz w:val="22"/>
          <w:szCs w:val="22"/>
        </w:rPr>
        <w:t>úplný.</w:t>
      </w:r>
    </w:p>
    <w:p w:rsidR="00B95DF5" w:rsidRPr="00327E6E" w:rsidP="00B95DF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  <w:t>Doložka</w:t>
      </w: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B95DF5" w:rsidRPr="00327E6E" w:rsidP="00B95DF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color w:val="000000"/>
          <w:sz w:val="22"/>
          <w:szCs w:val="22"/>
        </w:rPr>
        <w:t> </w:t>
      </w:r>
    </w:p>
    <w:p w:rsidR="00B95DF5" w:rsidRPr="00327E6E" w:rsidP="00B95DF5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327E6E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C96436">
        <w:rPr>
          <w:rFonts w:ascii="Book Antiqua" w:hAnsi="Book Antiqua"/>
          <w:sz w:val="22"/>
          <w:szCs w:val="22"/>
        </w:rPr>
        <w:t xml:space="preserve">návrh zákona, </w:t>
      </w:r>
      <w:r w:rsidRPr="00607757" w:rsidR="00C96436">
        <w:rPr>
          <w:rFonts w:ascii="Book Antiqua" w:hAnsi="Book Antiqua"/>
          <w:sz w:val="22"/>
          <w:szCs w:val="22"/>
        </w:rPr>
        <w:t xml:space="preserve">ktorým sa mení a dopĺňa zákon </w:t>
      </w:r>
      <w:r w:rsidRPr="00607757" w:rsidR="00C96436">
        <w:rPr>
          <w:rFonts w:ascii="Book Antiqua" w:hAnsi="Book Antiqua"/>
          <w:bCs/>
          <w:sz w:val="22"/>
          <w:szCs w:val="22"/>
        </w:rPr>
        <w:t>č. 222/2004 Z. z. o dani z pridanej hodnoty v znení neskorších predpisov</w:t>
      </w:r>
    </w:p>
    <w:p w:rsidR="00B95DF5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327E6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327E6E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="00D133AD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="00CE7910">
              <w:rPr>
                <w:rFonts w:ascii="Book Antiqua" w:hAnsi="Book Antiq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="00D133AD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="00D133AD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="00D133AD">
              <w:rPr>
                <w:rFonts w:ascii="Book Antiqua" w:hAnsi="Book Antiqua"/>
                <w:color w:val="000000"/>
                <w:sz w:val="22"/>
                <w:szCs w:val="22"/>
              </w:rPr>
              <w:t xml:space="preserve"> x</w:t>
            </w: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95DF5" w:rsidRPr="002818DE" w:rsidP="00593A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color w:val="000000"/>
          <w:sz w:val="22"/>
          <w:szCs w:val="22"/>
        </w:rPr>
        <w:t> 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B95DF5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D133AD">
        <w:rPr>
          <w:rFonts w:ascii="Book Antiqua" w:hAnsi="Book Antiqua"/>
          <w:i/>
          <w:iCs/>
          <w:color w:val="000000"/>
          <w:sz w:val="22"/>
          <w:szCs w:val="22"/>
        </w:rPr>
        <w:t>Návrhom zákona dochádza k zníženiu regulačného zaťaženia, ktoré spočívalo v tom, že podnikateľ (dodávateľ) bol v zmysle zákona povinný splniť si daňovú povinnosť aj vtedy, ak mu jeho obchodný partner (odberateľ) nezaplatil úhradu, resp. plnenie, za poskytnutú službu.</w:t>
      </w:r>
    </w:p>
    <w:p w:rsidR="00D133AD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Návrh zákona má pozitívny dopad na hospodárenie obyvateľstva, najmä živnostníkov</w:t>
      </w:r>
      <w:r w:rsidR="006A44DF">
        <w:rPr>
          <w:rFonts w:ascii="Book Antiqua" w:hAnsi="Book Antiqua"/>
          <w:i/>
          <w:iCs/>
          <w:color w:val="000000"/>
          <w:sz w:val="22"/>
          <w:szCs w:val="22"/>
        </w:rPr>
        <w:t xml:space="preserve"> a ich rodiny</w:t>
      </w:r>
      <w:r>
        <w:rPr>
          <w:rFonts w:ascii="Book Antiqua" w:hAnsi="Book Antiqua"/>
          <w:i/>
          <w:iCs/>
          <w:color w:val="000000"/>
          <w:sz w:val="22"/>
          <w:szCs w:val="22"/>
        </w:rPr>
        <w:t>, pre ktorých sú dôsledky terajšieho stavu tzv. druhotnej platobnej neschopnosti likvidačné a ktoré ich nútili do finančne náročnejších opatrení s cieľom zabezpečiť si živobytie. Keďže mnohé z týchto osôb aj v spojení s odvodovou politikou štátu zanechalo svoju podnikateľskú činnosť (živnosť) a stali sa nezamestnanými, návrh zákona má potenciál motivovať ich k opätovnému naštartovaniu ich podnikania, resp. ak stále podnikajú, motivovať ich zamestnávať ďalšie osoby. Strata zamestnanosti je neraz spojená aj so sociálnou exklúziou, ktorej sa týmto návrhom zákona zabraňuje, keďže má z hľadiska zamestnanosti pozitívny dopad.</w:t>
      </w:r>
    </w:p>
    <w:p w:rsidR="00B95DF5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D133AD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2818DE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B95DF5" w:rsidRPr="002818DE" w:rsidP="00B95DF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818DE">
        <w:rPr>
          <w:rFonts w:ascii="Book Antiqua" w:hAnsi="Book Antiqua"/>
          <w:i/>
          <w:iCs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p w:rsidR="00B95DF5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D36E90" w:rsidRPr="00151279" w:rsidP="00BD5D63">
      <w:pPr>
        <w:bidi w:val="0"/>
        <w:spacing w:before="120" w:line="276" w:lineRule="auto"/>
        <w:jc w:val="both"/>
        <w:rPr>
          <w:rFonts w:ascii="Microsoft Sans Serif" w:hAnsi="Microsoft Sans Serif" w:cs="Microsoft Sans Serif"/>
        </w:rPr>
      </w:pPr>
    </w:p>
    <w:p w:rsidR="004071ED" w:rsidP="00BD5D63">
      <w:pPr>
        <w:bidi w:val="0"/>
        <w:spacing w:before="120"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31C"/>
    <w:multiLevelType w:val="hybridMultilevel"/>
    <w:tmpl w:val="99EA3EBE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6E90"/>
    <w:rsid w:val="00070460"/>
    <w:rsid w:val="00072F2F"/>
    <w:rsid w:val="000A4E1B"/>
    <w:rsid w:val="00122561"/>
    <w:rsid w:val="00151279"/>
    <w:rsid w:val="001C00EC"/>
    <w:rsid w:val="001F159A"/>
    <w:rsid w:val="0022767B"/>
    <w:rsid w:val="0024020F"/>
    <w:rsid w:val="0027725C"/>
    <w:rsid w:val="002818DE"/>
    <w:rsid w:val="002D0730"/>
    <w:rsid w:val="002F440D"/>
    <w:rsid w:val="00313FAF"/>
    <w:rsid w:val="00321568"/>
    <w:rsid w:val="00327E6E"/>
    <w:rsid w:val="00377EB1"/>
    <w:rsid w:val="003817CD"/>
    <w:rsid w:val="003D6AC5"/>
    <w:rsid w:val="00402574"/>
    <w:rsid w:val="004071ED"/>
    <w:rsid w:val="0041122F"/>
    <w:rsid w:val="00447AE3"/>
    <w:rsid w:val="00477D21"/>
    <w:rsid w:val="004E3E51"/>
    <w:rsid w:val="004E633D"/>
    <w:rsid w:val="00542C90"/>
    <w:rsid w:val="005823E0"/>
    <w:rsid w:val="00593A32"/>
    <w:rsid w:val="005D0D31"/>
    <w:rsid w:val="0060282B"/>
    <w:rsid w:val="00607757"/>
    <w:rsid w:val="00611409"/>
    <w:rsid w:val="00672027"/>
    <w:rsid w:val="006A44DF"/>
    <w:rsid w:val="006A71C8"/>
    <w:rsid w:val="006C34E4"/>
    <w:rsid w:val="006D1F08"/>
    <w:rsid w:val="006F0A3A"/>
    <w:rsid w:val="0070057A"/>
    <w:rsid w:val="007455BB"/>
    <w:rsid w:val="00747E14"/>
    <w:rsid w:val="007B52E1"/>
    <w:rsid w:val="007C164F"/>
    <w:rsid w:val="007E2DC0"/>
    <w:rsid w:val="007E6219"/>
    <w:rsid w:val="00806F92"/>
    <w:rsid w:val="008D3404"/>
    <w:rsid w:val="00950CC7"/>
    <w:rsid w:val="00952846"/>
    <w:rsid w:val="00957803"/>
    <w:rsid w:val="009F2B0A"/>
    <w:rsid w:val="00A42680"/>
    <w:rsid w:val="00A66E28"/>
    <w:rsid w:val="00AE2334"/>
    <w:rsid w:val="00B736D6"/>
    <w:rsid w:val="00B91E86"/>
    <w:rsid w:val="00B95DF5"/>
    <w:rsid w:val="00BA1923"/>
    <w:rsid w:val="00BD05E0"/>
    <w:rsid w:val="00BD5D63"/>
    <w:rsid w:val="00C40A9D"/>
    <w:rsid w:val="00C52AF3"/>
    <w:rsid w:val="00C96436"/>
    <w:rsid w:val="00C96B4C"/>
    <w:rsid w:val="00CB18A5"/>
    <w:rsid w:val="00CD2430"/>
    <w:rsid w:val="00CD4B16"/>
    <w:rsid w:val="00CE7910"/>
    <w:rsid w:val="00D0001A"/>
    <w:rsid w:val="00D03876"/>
    <w:rsid w:val="00D133AD"/>
    <w:rsid w:val="00D36E90"/>
    <w:rsid w:val="00D40B10"/>
    <w:rsid w:val="00D56705"/>
    <w:rsid w:val="00E24919"/>
    <w:rsid w:val="00E263C5"/>
    <w:rsid w:val="00E414D4"/>
    <w:rsid w:val="00E44B05"/>
    <w:rsid w:val="00ED081E"/>
    <w:rsid w:val="00F43ADC"/>
    <w:rsid w:val="00F46761"/>
    <w:rsid w:val="00F85B37"/>
    <w:rsid w:val="00FB2A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40D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2F440D"/>
    <w:rPr>
      <w:rFonts w:ascii="Arial" w:hAnsi="Arial" w:cs="Arial"/>
      <w:b/>
      <w:sz w:val="24"/>
      <w:lang w:val="cs-CZ" w:eastAsia="x-none"/>
    </w:rPr>
  </w:style>
  <w:style w:type="paragraph" w:styleId="NormalWeb">
    <w:name w:val="Normal (Web)"/>
    <w:basedOn w:val="Normal"/>
    <w:uiPriority w:val="99"/>
    <w:rsid w:val="002F440D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B95DF5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1004</Words>
  <Characters>5724</Characters>
  <Application>Microsoft Office Word</Application>
  <DocSecurity>0</DocSecurity>
  <Lines>0</Lines>
  <Paragraphs>0</Paragraphs>
  <ScaleCrop>false</ScaleCrop>
  <Company>Hewlett-Packard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dcterms:created xsi:type="dcterms:W3CDTF">2015-02-11T11:04:00Z</dcterms:created>
  <dcterms:modified xsi:type="dcterms:W3CDTF">2015-02-11T11:04:00Z</dcterms:modified>
</cp:coreProperties>
</file>