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F84" w:rsidRPr="00DC523F" w:rsidP="003F0F84">
      <w:pPr>
        <w:pStyle w:val="Heading2"/>
        <w:keepLines w:val="0"/>
        <w:bidi w:val="0"/>
        <w:rPr>
          <w:rFonts w:ascii="Times New Roman" w:hAnsi="Times New Roman"/>
          <w:szCs w:val="24"/>
        </w:rPr>
      </w:pPr>
    </w:p>
    <w:p w:rsidR="003F0F84" w:rsidRPr="00DC523F" w:rsidP="003F0F84">
      <w:pPr>
        <w:pStyle w:val="Heading2"/>
        <w:keepLines w:val="0"/>
        <w:bidi w:val="0"/>
        <w:rPr>
          <w:rFonts w:ascii="Times New Roman" w:hAnsi="Times New Roman"/>
          <w:szCs w:val="24"/>
        </w:rPr>
      </w:pPr>
    </w:p>
    <w:p w:rsidR="003F0F84" w:rsidRPr="00DC523F" w:rsidP="003F0F84">
      <w:pPr>
        <w:pStyle w:val="Heading2"/>
        <w:keepLines w:val="0"/>
        <w:bidi w:val="0"/>
        <w:rPr>
          <w:rFonts w:ascii="Times New Roman" w:hAnsi="Times New Roman"/>
          <w:szCs w:val="24"/>
        </w:rPr>
      </w:pPr>
    </w:p>
    <w:p w:rsidR="003F0F84" w:rsidRPr="00DC523F" w:rsidP="003F0F84">
      <w:pPr>
        <w:pStyle w:val="Heading2"/>
        <w:keepLines w:val="0"/>
        <w:bidi w:val="0"/>
        <w:rPr>
          <w:rFonts w:ascii="Times New Roman" w:hAnsi="Times New Roman"/>
          <w:szCs w:val="24"/>
        </w:rPr>
      </w:pPr>
    </w:p>
    <w:p w:rsidR="003F0F84" w:rsidRPr="00DC523F" w:rsidP="003F0F84">
      <w:pPr>
        <w:pStyle w:val="Heading2"/>
        <w:keepLines w:val="0"/>
        <w:bidi w:val="0"/>
        <w:rPr>
          <w:rFonts w:ascii="Times New Roman" w:hAnsi="Times New Roman"/>
          <w:szCs w:val="24"/>
        </w:rPr>
      </w:pPr>
    </w:p>
    <w:p w:rsidR="003F0F84" w:rsidP="003F0F84">
      <w:pPr>
        <w:pStyle w:val="Heading2"/>
        <w:keepLines w:val="0"/>
        <w:bidi w:val="0"/>
        <w:rPr>
          <w:rFonts w:ascii="Times New Roman" w:hAnsi="Times New Roman"/>
          <w:szCs w:val="24"/>
        </w:rPr>
      </w:pPr>
    </w:p>
    <w:p w:rsidR="003F0F84" w:rsidRPr="00DC523F" w:rsidP="003F0F84">
      <w:pPr>
        <w:bidi w:val="0"/>
        <w:rPr>
          <w:rFonts w:ascii="Times New Roman" w:hAnsi="Times New Roman"/>
          <w:lang w:val="x-none" w:eastAsia="x-none"/>
        </w:rPr>
      </w:pPr>
    </w:p>
    <w:p w:rsidR="003F0F84" w:rsidRPr="00DC523F" w:rsidP="003F0F84">
      <w:pPr>
        <w:pStyle w:val="Heading2"/>
        <w:keepLines w:val="0"/>
        <w:bidi w:val="0"/>
        <w:rPr>
          <w:rFonts w:ascii="Times New Roman" w:hAnsi="Times New Roman"/>
          <w:szCs w:val="24"/>
        </w:rPr>
      </w:pPr>
      <w:r w:rsidRPr="00DC523F">
        <w:rPr>
          <w:rFonts w:ascii="Times New Roman" w:hAnsi="Times New Roman"/>
          <w:szCs w:val="24"/>
        </w:rPr>
        <w:t>z </w:t>
      </w:r>
      <w:r w:rsidRPr="00DC523F">
        <w:rPr>
          <w:rFonts w:ascii="Times New Roman" w:hAnsi="Times New Roman"/>
          <w:szCs w:val="24"/>
          <w:lang w:eastAsia="x-none"/>
        </w:rPr>
        <w:t>3. februára</w:t>
      </w:r>
      <w:r w:rsidRPr="00DC523F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  <w:lang w:eastAsia="x-none"/>
        </w:rPr>
        <w:t>5</w:t>
      </w:r>
      <w:r w:rsidRPr="00DC523F">
        <w:rPr>
          <w:rFonts w:ascii="Times New Roman" w:hAnsi="Times New Roman"/>
          <w:szCs w:val="24"/>
        </w:rPr>
        <w:t>,</w:t>
      </w:r>
    </w:p>
    <w:p w:rsidR="003F0F84" w:rsidP="003F0F84">
      <w:pPr>
        <w:pStyle w:val="Heading2"/>
        <w:keepNext w:val="0"/>
        <w:keepLines w:val="0"/>
        <w:widowControl w:val="0"/>
        <w:bidi w:val="0"/>
        <w:spacing w:before="0" w:after="0"/>
        <w:rPr>
          <w:rFonts w:ascii="Times New Roman" w:hAnsi="Times New Roman"/>
          <w:szCs w:val="24"/>
        </w:rPr>
      </w:pPr>
      <w:r w:rsidRPr="00DC523F">
        <w:rPr>
          <w:rFonts w:ascii="Times New Roman" w:hAnsi="Times New Roman"/>
          <w:szCs w:val="24"/>
        </w:rPr>
        <w:t xml:space="preserve">ktorým sa mení a dopĺňa zákon </w:t>
      </w:r>
      <w:r w:rsidRPr="00DC523F">
        <w:rPr>
          <w:rFonts w:ascii="Times New Roman" w:hAnsi="Times New Roman"/>
          <w:szCs w:val="24"/>
          <w:lang w:eastAsia="x-none"/>
        </w:rPr>
        <w:t xml:space="preserve">Národnej rady Slovenskej republiky </w:t>
      </w:r>
      <w:r w:rsidRPr="00DC523F">
        <w:rPr>
          <w:rFonts w:ascii="Times New Roman" w:hAnsi="Times New Roman"/>
          <w:szCs w:val="24"/>
        </w:rPr>
        <w:t xml:space="preserve">č. 152/1995 Z. z. o potravinách v znení neskorších predpisov </w:t>
      </w:r>
    </w:p>
    <w:p w:rsidR="003F0F84" w:rsidRPr="00DC523F" w:rsidP="003F0F84">
      <w:pPr>
        <w:bidi w:val="0"/>
        <w:rPr>
          <w:rFonts w:ascii="Times New Roman" w:hAnsi="Times New Roman"/>
          <w:lang w:val="x-none" w:eastAsia="x-none"/>
        </w:rPr>
      </w:pPr>
    </w:p>
    <w:p w:rsidR="003F0F84" w:rsidP="003F0F84">
      <w:pPr>
        <w:keepNext w:val="0"/>
        <w:widowControl w:val="0"/>
        <w:bidi w:val="0"/>
        <w:ind w:firstLine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Národná rada Slovenskej republiky sa uzniesla na tomto zákone:</w:t>
      </w:r>
    </w:p>
    <w:p w:rsidR="003F0F84" w:rsidRPr="00DC523F" w:rsidP="003F0F84">
      <w:pPr>
        <w:keepNext w:val="0"/>
        <w:widowControl w:val="0"/>
        <w:bidi w:val="0"/>
        <w:ind w:firstLine="357"/>
        <w:rPr>
          <w:rFonts w:ascii="Times New Roman" w:hAnsi="Times New Roman"/>
          <w:b/>
          <w:bCs/>
        </w:rPr>
      </w:pPr>
    </w:p>
    <w:p w:rsidR="003F0F84" w:rsidP="003F0F84">
      <w:pPr>
        <w:keepNext w:val="0"/>
        <w:widowControl w:val="0"/>
        <w:bidi w:val="0"/>
        <w:jc w:val="center"/>
        <w:rPr>
          <w:rFonts w:ascii="Times New Roman" w:hAnsi="Times New Roman"/>
          <w:b/>
          <w:bCs/>
        </w:rPr>
      </w:pPr>
      <w:r w:rsidRPr="00DC523F">
        <w:rPr>
          <w:rFonts w:ascii="Times New Roman" w:hAnsi="Times New Roman"/>
          <w:b/>
          <w:bCs/>
        </w:rPr>
        <w:t>Čl. I</w:t>
      </w:r>
    </w:p>
    <w:p w:rsidR="003F0F84" w:rsidRPr="00DC523F" w:rsidP="003F0F84">
      <w:pPr>
        <w:keepNext w:val="0"/>
        <w:widowControl w:val="0"/>
        <w:bidi w:val="0"/>
        <w:jc w:val="center"/>
        <w:rPr>
          <w:rFonts w:ascii="Times New Roman" w:hAnsi="Times New Roman"/>
          <w:b/>
          <w:bCs/>
        </w:rPr>
      </w:pPr>
    </w:p>
    <w:p w:rsidR="003F0F84" w:rsidRPr="00DC523F" w:rsidP="003F0F84">
      <w:pPr>
        <w:keepNext w:val="0"/>
        <w:widowControl w:val="0"/>
        <w:bidi w:val="0"/>
        <w:ind w:firstLine="360"/>
        <w:rPr>
          <w:rFonts w:ascii="Times New Roman" w:hAnsi="Times New Roman"/>
        </w:rPr>
      </w:pPr>
      <w:r w:rsidRPr="00DC523F">
        <w:rPr>
          <w:rFonts w:ascii="Times New Roman" w:hAnsi="Times New Roman"/>
          <w:bCs/>
        </w:rPr>
        <w:t xml:space="preserve">Zákon Národnej rady Slovenskej republiky č. 152/1995 Z. z. o potravinách v znení zákona Národnej rady Slovenskej republiky č. 290/1996 Z. z., zákona č. 470/2000 Z. z., zákona č. 553/2001 Z. z., zákona č. 23/2002 Z. z., zákona č. 450/2002 Z. z., zákona č. 472/2003 Z. z., zákona č. 546/2004 Z. z., zákona č. 195/2007 Z. z., zákona č. 318/2009 Z. z., zákona č. 114/2010 Z. z., zákona č. 349/2011 Z. z., zákona č. 459/2012 Z. z., zákona č. 42/2013 Z. z., zákona č. 36/2014 Z. z. a zákona č. 101/2014 Z. z. </w:t>
      </w:r>
      <w:r w:rsidRPr="00DC523F">
        <w:rPr>
          <w:rFonts w:ascii="Times New Roman" w:hAnsi="Times New Roman"/>
        </w:rPr>
        <w:t>sa mení a dopĺňa takto: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 § 2 sa vypúšťajú písmená h) a i).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Doterajšie písmeno j) sa označuje ako písmeno h). 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12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§ 3 znie:</w:t>
      </w:r>
    </w:p>
    <w:p w:rsidR="003F0F84" w:rsidRPr="00DC523F" w:rsidP="003F0F84">
      <w:pPr>
        <w:keepNext w:val="0"/>
        <w:widowControl w:val="0"/>
        <w:bidi w:val="0"/>
        <w:spacing w:before="120" w:after="240"/>
        <w:ind w:left="357"/>
        <w:jc w:val="center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„§ 3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284" w:firstLine="424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(1) Ministerstvo pôdohospodárstva a rozvoja vidieka Slovenskej republiky (ďalej len „ministerstvo“) upraví všeobecne záväzným právnym predpisom požiadavky na </w:t>
      </w:r>
    </w:p>
    <w:p w:rsidR="003F0F84" w:rsidRPr="00DC523F" w:rsidP="003F0F84">
      <w:pPr>
        <w:keepNext w:val="0"/>
        <w:widowControl w:val="0"/>
        <w:tabs>
          <w:tab w:val="left" w:pos="851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a) </w:t>
        <w:tab/>
        <w:t xml:space="preserve">potraviny živočíšneho pôvodu, </w:t>
      </w:r>
    </w:p>
    <w:p w:rsidR="003F0F84" w:rsidRPr="00DC523F" w:rsidP="003F0F84">
      <w:pPr>
        <w:keepNext w:val="0"/>
        <w:widowControl w:val="0"/>
        <w:tabs>
          <w:tab w:val="left" w:pos="851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b) potraviny rastlinného pôvodu vrátane čerstvého ovocia, čerstvej zeleniny, zemiakov, a ostatných poľnohospodárskych produktov, zmiešané potraviny vrátane nápojov okrem spotrebiteľsky balených minerálnych vôd a pramenitých vôd, </w:t>
      </w:r>
    </w:p>
    <w:p w:rsidR="003F0F84" w:rsidRPr="00DC523F" w:rsidP="003F0F84">
      <w:pPr>
        <w:keepNext w:val="0"/>
        <w:widowControl w:val="0"/>
        <w:tabs>
          <w:tab w:val="left" w:pos="851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c) </w:t>
        <w:tab/>
        <w:t xml:space="preserve">geneticky modifikované potraviny, </w:t>
      </w:r>
    </w:p>
    <w:p w:rsidR="003F0F84" w:rsidRPr="00DC523F" w:rsidP="003F0F84">
      <w:pPr>
        <w:keepNext w:val="0"/>
        <w:widowControl w:val="0"/>
        <w:tabs>
          <w:tab w:val="left" w:pos="851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d) </w:t>
        <w:tab/>
        <w:t>označovanie potravín,</w:t>
      </w:r>
    </w:p>
    <w:p w:rsidR="003F0F84" w:rsidRPr="00DC523F" w:rsidP="003F0F84">
      <w:pPr>
        <w:keepNext w:val="0"/>
        <w:widowControl w:val="0"/>
        <w:tabs>
          <w:tab w:val="left" w:pos="851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e) </w:t>
        <w:tab/>
        <w:t xml:space="preserve">poľnohospodárske produkty a potraviny predávané priamo konečnému spotrebiteľovi, </w:t>
      </w:r>
    </w:p>
    <w:p w:rsidR="003F0F84" w:rsidRPr="00DC523F" w:rsidP="003F0F84">
      <w:pPr>
        <w:keepNext w:val="0"/>
        <w:widowControl w:val="0"/>
        <w:tabs>
          <w:tab w:val="left" w:pos="851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>f) označovanie poľnohospodárskych produktov určených na priamu ľudskú spotrebu a potravín označených dobrovoľnými údajmi a ich používanie na účely propagácie a marketingu,</w:t>
      </w:r>
    </w:p>
    <w:p w:rsidR="003F0F84" w:rsidRPr="00DC523F" w:rsidP="003F0F84">
      <w:pPr>
        <w:keepNext w:val="0"/>
        <w:widowControl w:val="0"/>
        <w:tabs>
          <w:tab w:val="left" w:pos="851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g) </w:t>
        <w:tab/>
        <w:t>zásady odberu vzoriek a metódy ich skúšania.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284" w:firstLine="424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(2) Ministerstvo zdravotníctva Slovenskej republiky (ďalej len „ministerstvo zdravotníctva“) upraví všeobecne záväzným právnym predpisom 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a) </w:t>
        <w:tab/>
        <w:t>hygienické požiadavky na konštrukciu, usporiadanie a vybavenie potravinárskych prevádzkarní,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b) </w:t>
        <w:tab/>
        <w:t>požiadavky na epidemiologicky rizikové činnosti výroby potravín,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c) </w:t>
        <w:tab/>
        <w:t>požiadavky na nové potraviny,</w:t>
      </w:r>
      <w:r w:rsidRPr="00DC523F">
        <w:rPr>
          <w:rFonts w:ascii="Times New Roman" w:hAnsi="Times New Roman"/>
          <w:vertAlign w:val="superscript"/>
        </w:rPr>
        <w:t>1b</w:t>
      </w:r>
      <w:r w:rsidRPr="00DC523F">
        <w:rPr>
          <w:rFonts w:ascii="Times New Roman" w:hAnsi="Times New Roman"/>
        </w:rPr>
        <w:t>)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d) </w:t>
        <w:tab/>
        <w:t>mikrobiologické požiadavky na potraviny a na obaly určené na ich balenie, ktoré neupravujú osobitné predpisy,</w:t>
      </w:r>
      <w:r w:rsidRPr="00DC523F">
        <w:rPr>
          <w:rFonts w:ascii="Times New Roman" w:hAnsi="Times New Roman"/>
          <w:vertAlign w:val="superscript"/>
        </w:rPr>
        <w:t>1f</w:t>
      </w:r>
      <w:r w:rsidRPr="00DC523F">
        <w:rPr>
          <w:rFonts w:ascii="Times New Roman" w:hAnsi="Times New Roman"/>
        </w:rPr>
        <w:t>)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e) </w:t>
        <w:tab/>
        <w:t>požiadavky na materiály a predmety určené na styk s potravinami,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f) </w:t>
        <w:tab/>
        <w:t>požiadavky na potraviny a potravinové prísady ošetrené ionizujúcim žiarením,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g) </w:t>
        <w:tab/>
        <w:t>požiadavky na potraviny určené na osobitné výživové účely a výživové doplnky,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h) </w:t>
        <w:tab/>
        <w:t>požiadavky na kontaminanty v potravinách,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i) </w:t>
        <w:tab/>
        <w:t>požiadavky na rezíduá prípravkov na ochranu rastlín,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j) </w:t>
        <w:tab/>
        <w:t>požiadavky na extrakčné rozpúšťadlá,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k) </w:t>
        <w:tab/>
        <w:t>požiadavky na osobitné prísady do potravín,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l) </w:t>
        <w:tab/>
        <w:t>požiadavky na prírodnú minerálnu vodu, pramenitú vodu a balenú pitnú vodu,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m) </w:t>
        <w:tab/>
        <w:t>požiadavky na používanie aromatických látok v potravinách pre dojčatá a malé deti,</w:t>
      </w:r>
    </w:p>
    <w:p w:rsidR="003F0F84" w:rsidRPr="00DC523F" w:rsidP="003F0F84">
      <w:pPr>
        <w:keepNext w:val="0"/>
        <w:widowControl w:val="0"/>
        <w:tabs>
          <w:tab w:val="left" w:pos="709"/>
        </w:tabs>
        <w:bidi w:val="0"/>
        <w:ind w:left="709" w:hanging="425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n) </w:t>
        <w:tab/>
        <w:t>požiadavky na pridávanie vitamínov a minerálnych látok do potravín a obmedzenie používania niektorých iných látok pri výrobe potravín.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284" w:firstLine="424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 (3) Požiadavky na bezpečnosť potravín a ich kvalitu, hygienu, požiadavky na zloženie potravín, zložky, ako aj technologické postupy používané pri ich výrobe a požiadavky na balenie jednotlivých potravín, ich skupín alebo všetkých potravín, rozsah a spôsob ich označovania, ich skladovanie, prepravu a inú manipuláciu s nimi, ich umiestňovanie na trh, ako aj zásady na odber vzoriek a  metódy ich skúšania a postupy ustanovené všeobecne záväznými právnymi predpismi vydanými podľa odsekov 1 a 2 je povinný dodržiavať každý, kto potraviny vyrába, manipuluje s nimi a umiestňuje ich na trh.“.</w:t>
      </w:r>
    </w:p>
    <w:p w:rsidR="003F0F84" w:rsidRPr="00DC523F" w:rsidP="003F0F84">
      <w:pPr>
        <w:keepNext w:val="0"/>
        <w:widowControl w:val="0"/>
        <w:bidi w:val="0"/>
        <w:ind w:left="709" w:hanging="352"/>
        <w:rPr>
          <w:rFonts w:ascii="Times New Roman" w:hAnsi="Times New Roman"/>
        </w:rPr>
      </w:pPr>
      <w:r w:rsidRPr="00DC523F">
        <w:rPr>
          <w:rFonts w:ascii="Times New Roman" w:hAnsi="Times New Roman"/>
        </w:rPr>
        <w:t>Poznámky pod čiarou k odkazom 1c a 1d sa vypúšťajú.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V § 6 odsek 2 znie: 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284" w:firstLine="424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„(2) Orgány úradnej kontroly potravín uvedené v § 21 ods. 1 písm. b) a c) vedú aktuálne zoznamy registrovaných prevádzkarní podľa odseku 1 a schválených prevádzkarní produkujúcich klíčky podľa § 23 ods. 13. Žiadosť o schválenie prevádzkarne produkujúcej klíčky podáva žiadateľ podľa vzoru žiadosti, ktorý je uvedený v prílohe č. 2, v listinnej podobe alebo v elektronickej podobe podpísanej zaručeným elektronickým podpisom žiadateľa. Orgán úradnej kontroly potravín uvedený v § 21 ods. 1 písm. d) zverejní vzor žiadosti na svojom webovom sídle.“.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 § 6 sa odsek 3 dopĺňa písmenom f), ktoré znie:</w:t>
      </w:r>
    </w:p>
    <w:p w:rsidR="003F0F84" w:rsidRPr="00DC523F" w:rsidP="003F0F84">
      <w:pPr>
        <w:keepNext w:val="0"/>
        <w:widowControl w:val="0"/>
        <w:bidi w:val="0"/>
        <w:ind w:left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„f) klíčky</w:t>
      </w:r>
      <w:r w:rsidRPr="00DC523F">
        <w:rPr>
          <w:rFonts w:ascii="Times New Roman" w:hAnsi="Times New Roman"/>
          <w:vertAlign w:val="superscript"/>
        </w:rPr>
        <w:t>8ca</w:t>
      </w:r>
      <w:r w:rsidRPr="00DC523F">
        <w:rPr>
          <w:rFonts w:ascii="Times New Roman" w:hAnsi="Times New Roman"/>
        </w:rPr>
        <w:t>) len po schválení príslušným orgánom úradnej kontroly potravín</w:t>
      </w:r>
      <w:r w:rsidRPr="00DC523F">
        <w:rPr>
          <w:rFonts w:ascii="Times New Roman" w:hAnsi="Times New Roman"/>
          <w:vertAlign w:val="superscript"/>
        </w:rPr>
        <w:t>8cb</w:t>
      </w:r>
      <w:r w:rsidRPr="00DC523F">
        <w:rPr>
          <w:rFonts w:ascii="Times New Roman" w:hAnsi="Times New Roman"/>
        </w:rPr>
        <w:t>) uvedenom v § 21 ods. 1 písm. b) a d).“.</w:t>
      </w:r>
    </w:p>
    <w:p w:rsidR="003F0F84" w:rsidRPr="00DC523F" w:rsidP="003F0F84">
      <w:pPr>
        <w:keepNext w:val="0"/>
        <w:widowControl w:val="0"/>
        <w:bidi w:val="0"/>
        <w:spacing w:before="240"/>
        <w:ind w:firstLine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Poznámky pod čiarou k odkazom 8ca a 8 cb znejú:</w:t>
      </w:r>
    </w:p>
    <w:p w:rsidR="003F0F84" w:rsidRPr="00DC523F" w:rsidP="003F0F84">
      <w:pPr>
        <w:keepNext w:val="0"/>
        <w:widowControl w:val="0"/>
        <w:bidi w:val="0"/>
        <w:ind w:left="709" w:hanging="352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</w:t>
      </w:r>
      <w:r w:rsidRPr="00DC523F">
        <w:rPr>
          <w:rFonts w:ascii="Times New Roman" w:hAnsi="Times New Roman"/>
          <w:vertAlign w:val="superscript"/>
        </w:rPr>
        <w:t>8ca</w:t>
      </w:r>
      <w:r w:rsidRPr="00DC523F">
        <w:rPr>
          <w:rFonts w:ascii="Times New Roman" w:hAnsi="Times New Roman"/>
        </w:rPr>
        <w:t>) Čl. 2 písm. a) vykonávacieho nariadenia Komisie (EÚ) č. 208/2013 z 11. marca 2013 o požiadavkách na vysledovateľnosť klíčkov a semien určených na výrobu klíčkov (Ú. v. EÚ L 68, 12.3.2013).</w:t>
      </w:r>
    </w:p>
    <w:p w:rsidR="003F0F84" w:rsidRPr="00DC523F" w:rsidP="003F0F84">
      <w:pPr>
        <w:pStyle w:val="ListParagraph"/>
        <w:bidi w:val="0"/>
        <w:ind w:left="851" w:hanging="425"/>
        <w:rPr>
          <w:rFonts w:ascii="Times New Roman" w:hAnsi="Times New Roman"/>
        </w:rPr>
      </w:pPr>
      <w:r w:rsidRPr="00DC523F">
        <w:rPr>
          <w:rFonts w:ascii="Times New Roman" w:hAnsi="Times New Roman"/>
          <w:vertAlign w:val="superscript"/>
        </w:rPr>
        <w:t>8cb</w:t>
      </w:r>
      <w:r w:rsidRPr="00DC523F">
        <w:rPr>
          <w:rFonts w:ascii="Times New Roman" w:hAnsi="Times New Roman"/>
        </w:rPr>
        <w:t>) Čl. 2 a príloha nariadenia Komisie (EÚ) č. 210/2013 z 11. marca 2013 o schválení prevádzkarní produkujúcich klíčky podľa nariadenia Európskeho parlamentu a Rady (ES) č. 852/2004 (Ú. v. EÚ L 68, 12.3.2013).</w:t>
      </w:r>
    </w:p>
    <w:p w:rsidR="003F0F84" w:rsidP="003F0F84">
      <w:pPr>
        <w:keepNext w:val="0"/>
        <w:widowControl w:val="0"/>
        <w:bidi w:val="0"/>
        <w:ind w:left="993" w:hanging="2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C523F">
        <w:rPr>
          <w:rFonts w:ascii="Times New Roman" w:hAnsi="Times New Roman"/>
        </w:rPr>
        <w:t>Čl. 2 ods. 1 písm. d), čl. 6 a príloha I nariadenia (ES) č. 852/2004.“.</w:t>
      </w:r>
    </w:p>
    <w:p w:rsidR="003F0F84" w:rsidRPr="00DC523F" w:rsidP="003F0F84">
      <w:pPr>
        <w:keepNext w:val="0"/>
        <w:widowControl w:val="0"/>
        <w:bidi w:val="0"/>
        <w:ind w:left="709" w:hanging="11"/>
        <w:rPr>
          <w:rFonts w:ascii="Times New Roman" w:hAnsi="Times New Roman"/>
        </w:rPr>
      </w:pPr>
    </w:p>
    <w:p w:rsidR="003F0F84" w:rsidRPr="00DC523F" w:rsidP="003F0F84">
      <w:pPr>
        <w:pStyle w:val="ListParagraph"/>
        <w:numPr>
          <w:numId w:val="1"/>
        </w:numPr>
        <w:bidi w:val="0"/>
        <w:contextualSpacing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 § 6 ods. 5 písmeno d) znie:</w:t>
      </w:r>
    </w:p>
    <w:p w:rsidR="003F0F84" w:rsidP="003F0F84">
      <w:pPr>
        <w:keepNext w:val="0"/>
        <w:widowControl w:val="0"/>
        <w:bidi w:val="0"/>
        <w:ind w:left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„d) po uplynutom dátume spotreby</w:t>
      </w:r>
      <w:r w:rsidRPr="00DC523F">
        <w:rPr>
          <w:rFonts w:ascii="Times New Roman" w:hAnsi="Times New Roman"/>
          <w:vertAlign w:val="superscript"/>
        </w:rPr>
        <w:t>8daa</w:t>
      </w:r>
      <w:r w:rsidRPr="00DC523F">
        <w:rPr>
          <w:rFonts w:ascii="Times New Roman" w:hAnsi="Times New Roman"/>
        </w:rPr>
        <w:t>) alebo dátume minimálnej trvanlivosti</w:t>
      </w:r>
      <w:r w:rsidRPr="00DC523F">
        <w:rPr>
          <w:rFonts w:ascii="Times New Roman" w:hAnsi="Times New Roman"/>
          <w:vertAlign w:val="superscript"/>
        </w:rPr>
        <w:t>8dab</w:t>
      </w:r>
      <w:r w:rsidRPr="00DC523F">
        <w:rPr>
          <w:rFonts w:ascii="Times New Roman" w:hAnsi="Times New Roman"/>
        </w:rPr>
        <w:t>).“.</w:t>
      </w:r>
    </w:p>
    <w:p w:rsidR="003F0F84" w:rsidRPr="00DC523F" w:rsidP="003F0F84">
      <w:pPr>
        <w:keepNext w:val="0"/>
        <w:widowControl w:val="0"/>
        <w:bidi w:val="0"/>
        <w:ind w:left="357"/>
        <w:rPr>
          <w:rFonts w:ascii="Times New Roman" w:hAnsi="Times New Roman"/>
        </w:rPr>
      </w:pPr>
    </w:p>
    <w:p w:rsidR="003F0F84" w:rsidRPr="00DC523F" w:rsidP="003F0F84">
      <w:pPr>
        <w:pStyle w:val="ListParagraph"/>
        <w:bidi w:val="0"/>
        <w:ind w:left="426"/>
        <w:contextualSpacing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Poznámky pod čiarou k odkazom 8daa a 8dab znejú:</w:t>
      </w:r>
    </w:p>
    <w:p w:rsidR="003F0F84" w:rsidRPr="00DC523F" w:rsidP="003F0F84">
      <w:pPr>
        <w:pStyle w:val="ListParagraph"/>
        <w:bidi w:val="0"/>
        <w:ind w:left="851" w:hanging="425"/>
        <w:contextualSpacing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</w:t>
      </w:r>
      <w:r w:rsidRPr="00DC523F">
        <w:rPr>
          <w:rFonts w:ascii="Times New Roman" w:hAnsi="Times New Roman"/>
          <w:vertAlign w:val="superscript"/>
        </w:rPr>
        <w:t>8daa</w:t>
      </w:r>
      <w:r w:rsidRPr="00DC523F">
        <w:rPr>
          <w:rFonts w:ascii="Times New Roman" w:hAnsi="Times New Roman"/>
        </w:rPr>
        <w:t>) Čl. 24 nariadenia Európskeho parlamentu a Rady (EÚ) č. 1169/2011 z 25. októbra 2011 o poskytovaní informácií o potravinách spotrebiteľom, ktorým sa menia a dopĺňajú nariadenia Európskeho parlamentu a Rady (ES) č. 1924/2006 a (ES) č. 1925/2006 a ktorým sa zrušuje smernica Komisie 87/250/EHS, smernica Rady 90/496/EHS, smernica Komisie 1999/10/ES, smernica Európskeho parlamentu a Rady 2000/13/ES, smernice Komisie 2002/67/ES a 2008/5/ES a nariadenie Komisie (ES) č. 608/2004 (Ú. v. EÚ L 304, 22. 11. 2011) v platnom znení.</w:t>
      </w:r>
    </w:p>
    <w:p w:rsidR="003F0F84" w:rsidRPr="00DC523F" w:rsidP="003F0F84">
      <w:pPr>
        <w:keepNext w:val="0"/>
        <w:widowControl w:val="0"/>
        <w:bidi w:val="0"/>
        <w:spacing w:before="240" w:after="240"/>
        <w:ind w:firstLine="567"/>
        <w:rPr>
          <w:rFonts w:ascii="Times New Roman" w:hAnsi="Times New Roman"/>
        </w:rPr>
      </w:pPr>
      <w:r w:rsidRPr="00DC523F">
        <w:rPr>
          <w:rFonts w:ascii="Times New Roman" w:hAnsi="Times New Roman"/>
          <w:vertAlign w:val="superscript"/>
        </w:rPr>
        <w:t>8dab</w:t>
      </w:r>
      <w:r w:rsidRPr="00DC523F">
        <w:rPr>
          <w:rFonts w:ascii="Times New Roman" w:hAnsi="Times New Roman"/>
        </w:rPr>
        <w:t>) Čl. 2 ods. 2 písm. r) a čl. 24 nariadenia (EÚ) č. 1169/2011.“.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 § 7b sa slová „jej množstvo“ nahrádzajú slovami „objednané množstvo zásielky a balenie potravín podľa § 8 ods. 1“.</w:t>
      </w:r>
    </w:p>
    <w:p w:rsidR="003F0F84" w:rsidRPr="00DC523F" w:rsidP="003F0F84">
      <w:pPr>
        <w:widowControl w:val="0"/>
        <w:numPr>
          <w:numId w:val="1"/>
        </w:numPr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§ 8 sa dopĺňa odsekmi 3 a 4, ktoré znejú:</w:t>
      </w:r>
    </w:p>
    <w:p w:rsidR="003F0F84" w:rsidRPr="00DC523F" w:rsidP="003F0F84">
      <w:pPr>
        <w:pStyle w:val="ODSEK"/>
        <w:keepNext w:val="0"/>
        <w:widowControl w:val="0"/>
        <w:bidi w:val="0"/>
        <w:spacing w:before="120" w:after="120"/>
        <w:ind w:left="717" w:firstLine="417"/>
        <w:rPr>
          <w:rFonts w:ascii="Times New Roman" w:hAnsi="Times New Roman"/>
          <w:sz w:val="24"/>
          <w:szCs w:val="24"/>
        </w:rPr>
      </w:pPr>
      <w:r w:rsidRPr="00DC523F">
        <w:rPr>
          <w:rFonts w:ascii="Times New Roman" w:hAnsi="Times New Roman"/>
          <w:sz w:val="24"/>
          <w:szCs w:val="24"/>
        </w:rPr>
        <w:t>„(3) Prevádzkovateľ, ktorý balí potraviny v súvislosti s ich výrobou, manipuláciou s nimi alebo ich umiestnením na trh okrem prvovýrobcu,  je na účely splnenia povinností podľa odsekov 1 a 2 povinný mať v pracovnoprávnom vzťahu alebo inom právnom vzťahu odborne spôsobilú osobu, ktorá má v oblasti potravinárstva alebo veterinárneho lekárstva</w:t>
      </w:r>
    </w:p>
    <w:p w:rsidR="003F0F84" w:rsidRPr="00DC523F" w:rsidP="003F0F84">
      <w:pPr>
        <w:pStyle w:val="ODSEK"/>
        <w:keepNext w:val="0"/>
        <w:widowControl w:val="0"/>
        <w:bidi w:val="0"/>
        <w:spacing w:before="120" w:after="120"/>
        <w:ind w:left="717" w:firstLine="417"/>
        <w:rPr>
          <w:rFonts w:ascii="Times New Roman" w:hAnsi="Times New Roman"/>
          <w:sz w:val="24"/>
          <w:szCs w:val="24"/>
        </w:rPr>
      </w:pPr>
      <w:r w:rsidRPr="00DC523F">
        <w:rPr>
          <w:rFonts w:ascii="Times New Roman" w:hAnsi="Times New Roman"/>
          <w:sz w:val="24"/>
          <w:szCs w:val="24"/>
        </w:rPr>
        <w:t>a)  vysokoškolské vzdelanie alebo</w:t>
      </w:r>
    </w:p>
    <w:p w:rsidR="003F0F84" w:rsidRPr="00DC523F" w:rsidP="003F0F84">
      <w:pPr>
        <w:pStyle w:val="ODSEK"/>
        <w:keepNext w:val="0"/>
        <w:widowControl w:val="0"/>
        <w:bidi w:val="0"/>
        <w:spacing w:before="120" w:after="120"/>
        <w:ind w:left="717" w:firstLine="417"/>
        <w:rPr>
          <w:rFonts w:ascii="Times New Roman" w:hAnsi="Times New Roman"/>
          <w:sz w:val="24"/>
          <w:szCs w:val="24"/>
        </w:rPr>
      </w:pPr>
      <w:r w:rsidRPr="00DC523F">
        <w:rPr>
          <w:rFonts w:ascii="Times New Roman" w:hAnsi="Times New Roman"/>
          <w:sz w:val="24"/>
          <w:szCs w:val="24"/>
        </w:rPr>
        <w:t>b) stredoškolské vzdelanie a absolvovala akreditovaný</w:t>
      </w:r>
      <w:r w:rsidRPr="00DC523F">
        <w:rPr>
          <w:rFonts w:ascii="Times New Roman" w:hAnsi="Times New Roman"/>
          <w:sz w:val="24"/>
          <w:szCs w:val="24"/>
          <w:vertAlign w:val="superscript"/>
        </w:rPr>
        <w:t>8g</w:t>
      </w:r>
      <w:r w:rsidRPr="00DC523F">
        <w:rPr>
          <w:rFonts w:ascii="Times New Roman" w:hAnsi="Times New Roman"/>
          <w:sz w:val="24"/>
          <w:szCs w:val="24"/>
        </w:rPr>
        <w:t>) vzdelávací kurz alebo obdobný kurz v inom členskom štáte Európskej únie.</w:t>
      </w:r>
    </w:p>
    <w:p w:rsidR="003F0F84" w:rsidRPr="00DC523F" w:rsidP="003F0F84">
      <w:pPr>
        <w:pStyle w:val="ODSEK"/>
        <w:keepNext w:val="0"/>
        <w:widowControl w:val="0"/>
        <w:bidi w:val="0"/>
        <w:spacing w:before="120" w:after="120"/>
        <w:ind w:left="717" w:firstLine="417"/>
        <w:rPr>
          <w:rFonts w:ascii="Times New Roman" w:hAnsi="Times New Roman"/>
          <w:sz w:val="24"/>
          <w:szCs w:val="24"/>
        </w:rPr>
      </w:pPr>
      <w:r w:rsidRPr="00DC523F">
        <w:rPr>
          <w:rFonts w:ascii="Times New Roman" w:hAnsi="Times New Roman"/>
          <w:sz w:val="24"/>
          <w:szCs w:val="24"/>
        </w:rPr>
        <w:t>(4) Povinnosť podľa odseku 3 nemá prevádzkovateľ, ktorý sám spĺňa požiadavku odbornej spôsobilosti.“.</w:t>
      </w:r>
    </w:p>
    <w:p w:rsidR="003F0F84" w:rsidP="003F0F84">
      <w:pPr>
        <w:pStyle w:val="ODSEK"/>
        <w:keepNext w:val="0"/>
        <w:widowControl w:val="0"/>
        <w:bidi w:val="0"/>
        <w:spacing w:before="240" w:after="120"/>
        <w:ind w:left="714" w:hanging="288"/>
        <w:rPr>
          <w:rFonts w:ascii="Times New Roman" w:hAnsi="Times New Roman"/>
          <w:sz w:val="24"/>
          <w:szCs w:val="24"/>
        </w:rPr>
      </w:pPr>
      <w:r w:rsidRPr="00DC523F">
        <w:rPr>
          <w:rFonts w:ascii="Times New Roman" w:hAnsi="Times New Roman"/>
          <w:sz w:val="24"/>
          <w:szCs w:val="24"/>
        </w:rPr>
        <w:t>Poznámka pod čiarou k odkazu 8g) znie:</w:t>
      </w:r>
    </w:p>
    <w:p w:rsidR="00A2161D" w:rsidP="00A2161D">
      <w:pPr>
        <w:pStyle w:val="ODSEK"/>
        <w:keepNext w:val="0"/>
        <w:widowControl w:val="0"/>
        <w:bidi w:val="0"/>
        <w:spacing w:before="240" w:after="120"/>
        <w:ind w:left="714" w:hanging="288"/>
        <w:rPr>
          <w:rFonts w:ascii="Times New Roman" w:hAnsi="Times New Roman"/>
          <w:sz w:val="24"/>
          <w:szCs w:val="24"/>
        </w:rPr>
      </w:pPr>
      <w:r w:rsidRPr="00DC523F" w:rsidR="003F0F84">
        <w:rPr>
          <w:rFonts w:ascii="Times New Roman" w:hAnsi="Times New Roman"/>
          <w:sz w:val="24"/>
          <w:szCs w:val="24"/>
        </w:rPr>
        <w:t>„</w:t>
      </w:r>
      <w:r w:rsidRPr="00DC523F" w:rsidR="003F0F84">
        <w:rPr>
          <w:rFonts w:ascii="Times New Roman" w:hAnsi="Times New Roman"/>
          <w:sz w:val="24"/>
          <w:szCs w:val="24"/>
          <w:vertAlign w:val="superscript"/>
        </w:rPr>
        <w:t>8g</w:t>
      </w:r>
      <w:r w:rsidRPr="00DC523F" w:rsidR="003F0F84">
        <w:rPr>
          <w:rFonts w:ascii="Times New Roman" w:hAnsi="Times New Roman"/>
          <w:sz w:val="24"/>
          <w:szCs w:val="24"/>
        </w:rPr>
        <w:t>) § 8 až 14 zákona č. 568/2009 Z. z. o celoživotnom vzdelávaní a o zmene a doplnení niektorých zákonov v znení zákona č. 315/2012 Z. z.“.</w:t>
      </w:r>
    </w:p>
    <w:p w:rsidR="003F0F84" w:rsidRPr="00DC523F" w:rsidP="006B5AE1">
      <w:pPr>
        <w:pStyle w:val="ODSEK"/>
        <w:keepNext w:val="0"/>
        <w:widowControl w:val="0"/>
        <w:numPr>
          <w:numId w:val="1"/>
        </w:numPr>
        <w:bidi w:val="0"/>
        <w:spacing w:before="240" w:after="12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§ 9 vrátane nadpisu znie:</w:t>
      </w:r>
    </w:p>
    <w:p w:rsidR="003F0F84" w:rsidRPr="00DC523F" w:rsidP="003F0F84">
      <w:pPr>
        <w:keepLines/>
        <w:widowControl w:val="0"/>
        <w:bidi w:val="0"/>
        <w:spacing w:before="120" w:after="240"/>
        <w:ind w:left="357"/>
        <w:jc w:val="center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„§ 9</w:t>
      </w:r>
    </w:p>
    <w:p w:rsidR="003F0F84" w:rsidRPr="00DC523F" w:rsidP="003F0F84">
      <w:pPr>
        <w:keepLines/>
        <w:widowControl w:val="0"/>
        <w:bidi w:val="0"/>
        <w:spacing w:before="120" w:after="240"/>
        <w:ind w:left="357"/>
        <w:jc w:val="center"/>
        <w:rPr>
          <w:rFonts w:ascii="Times New Roman" w:hAnsi="Times New Roman"/>
        </w:rPr>
      </w:pPr>
      <w:r w:rsidRPr="00DC523F">
        <w:rPr>
          <w:rFonts w:ascii="Times New Roman" w:hAnsi="Times New Roman"/>
          <w:bCs/>
        </w:rPr>
        <w:t>Označovanie potravín</w:t>
      </w:r>
    </w:p>
    <w:p w:rsidR="003F0F84" w:rsidRPr="00DC523F" w:rsidP="003F0F84">
      <w:pPr>
        <w:widowControl w:val="0"/>
        <w:bidi w:val="0"/>
        <w:spacing w:before="240" w:after="240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      (1)  Ten, kto vyrába potraviny, manipuluje s nimi alebo ich umiestňuje na trh, je povinný ich označiť v kodifikovanej podobe štátneho jazyka údajmi podľa osobitného predpisu.</w:t>
      </w:r>
      <w:r w:rsidRPr="00DC523F">
        <w:rPr>
          <w:rFonts w:ascii="Times New Roman" w:hAnsi="Times New Roman"/>
          <w:vertAlign w:val="superscript"/>
        </w:rPr>
        <w:t>9</w:t>
      </w:r>
      <w:r w:rsidRPr="00DC523F">
        <w:rPr>
          <w:rFonts w:ascii="Times New Roman" w:hAnsi="Times New Roman"/>
        </w:rPr>
        <w:t>)</w:t>
      </w:r>
    </w:p>
    <w:p w:rsidR="003F0F84" w:rsidRPr="00DC523F" w:rsidP="003F0F84">
      <w:pPr>
        <w:pStyle w:val="BodyText"/>
        <w:widowControl w:val="0"/>
        <w:tabs>
          <w:tab w:val="left" w:pos="993"/>
        </w:tabs>
        <w:bidi w:val="0"/>
        <w:spacing w:before="120" w:after="60"/>
        <w:ind w:left="60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   (2) Prevádzkovateľ potravinárskeho podniku, ktorý používa aj inú formu na vyjadrenie alebo prezentáciu označenia výživovej hodnoty potravín, ako je uvedená v osobitnom predpise,</w:t>
      </w:r>
      <w:r w:rsidRPr="00DC523F">
        <w:rPr>
          <w:rFonts w:ascii="Times New Roman" w:hAnsi="Times New Roman"/>
          <w:vertAlign w:val="superscript"/>
        </w:rPr>
        <w:t>9a</w:t>
      </w:r>
      <w:r w:rsidRPr="00DC523F">
        <w:rPr>
          <w:rFonts w:ascii="Times New Roman" w:hAnsi="Times New Roman"/>
        </w:rPr>
        <w:t>) oznámi túto formu</w:t>
      </w:r>
      <w:r w:rsidR="00A2161D">
        <w:rPr>
          <w:rFonts w:ascii="Times New Roman" w:hAnsi="Times New Roman"/>
        </w:rPr>
        <w:t xml:space="preserve"> ministerstvu.</w:t>
      </w:r>
    </w:p>
    <w:p w:rsidR="003F0F84" w:rsidRPr="00DC523F" w:rsidP="003F0F84">
      <w:pPr>
        <w:pStyle w:val="BodyText"/>
        <w:widowControl w:val="0"/>
        <w:tabs>
          <w:tab w:val="left" w:pos="993"/>
        </w:tabs>
        <w:bidi w:val="0"/>
        <w:spacing w:before="120" w:after="60"/>
        <w:ind w:hanging="142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       (3) Prevádzkovateľ potravinárskeho podniku, je povinný monitorovať inú formu označenia podľa odseku 2, a správu o tom zaslať </w:t>
      </w:r>
      <w:r w:rsidR="00A2161D">
        <w:rPr>
          <w:rFonts w:ascii="Times New Roman" w:hAnsi="Times New Roman"/>
        </w:rPr>
        <w:t>m</w:t>
      </w:r>
      <w:r w:rsidRPr="00DC523F">
        <w:rPr>
          <w:rFonts w:ascii="Times New Roman" w:hAnsi="Times New Roman"/>
        </w:rPr>
        <w:t>inisterstvu.“.</w:t>
      </w:r>
    </w:p>
    <w:p w:rsidR="003F0F84" w:rsidRPr="00DC523F" w:rsidP="003F0F84">
      <w:pPr>
        <w:widowControl w:val="0"/>
        <w:bidi w:val="0"/>
        <w:spacing w:before="120" w:after="120"/>
        <w:ind w:left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Poznámky pod čiarou k odkazom 9 a 9a znejú:</w:t>
      </w:r>
    </w:p>
    <w:p w:rsidR="003F0F84" w:rsidRPr="00DC523F" w:rsidP="003F0F84">
      <w:pPr>
        <w:widowControl w:val="0"/>
        <w:bidi w:val="0"/>
        <w:ind w:left="709" w:hanging="352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</w:t>
      </w:r>
      <w:r w:rsidRPr="00DC523F">
        <w:rPr>
          <w:rFonts w:ascii="Times New Roman" w:hAnsi="Times New Roman"/>
          <w:vertAlign w:val="superscript"/>
        </w:rPr>
        <w:t>9</w:t>
      </w:r>
      <w:r w:rsidRPr="00DC523F">
        <w:rPr>
          <w:rFonts w:ascii="Times New Roman" w:hAnsi="Times New Roman"/>
        </w:rPr>
        <w:t>) Nariadenie (EÚ) č. 1169/2011.</w:t>
      </w:r>
    </w:p>
    <w:p w:rsidR="003F0F84" w:rsidRPr="00DC523F" w:rsidP="003F0F84">
      <w:pPr>
        <w:keepNext w:val="0"/>
        <w:widowControl w:val="0"/>
        <w:bidi w:val="0"/>
        <w:ind w:left="709" w:hanging="352"/>
        <w:rPr>
          <w:rFonts w:ascii="Times New Roman" w:hAnsi="Times New Roman"/>
        </w:rPr>
      </w:pPr>
      <w:r w:rsidRPr="00DC523F">
        <w:rPr>
          <w:rFonts w:ascii="Times New Roman" w:hAnsi="Times New Roman"/>
          <w:vertAlign w:val="superscript"/>
        </w:rPr>
        <w:t>9a</w:t>
      </w:r>
      <w:r w:rsidRPr="00DC523F">
        <w:rPr>
          <w:rFonts w:ascii="Times New Roman" w:hAnsi="Times New Roman"/>
        </w:rPr>
        <w:t>) Čl. 29 až 34 nariadenia (EÚ) č. 1169/2011.“.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 § 12 sa vypúšťa odsek 2.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Doterajší odsek 3 sa označuje ako odsek 2.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§ 23 sa dopĺňa odsekom 13, ktorý znie: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284" w:firstLine="424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 „(13) Orgán úradnej kontroly potravín, na základe žiadosti prevádzkovateľa, vydá rozhodnutie o schválení prevádzkarne produkujúcej klíčky, podľa osobitného predpisu.</w:t>
      </w:r>
      <w:r w:rsidRPr="00DC523F">
        <w:rPr>
          <w:rFonts w:ascii="Times New Roman" w:hAnsi="Times New Roman"/>
          <w:vertAlign w:val="superscript"/>
        </w:rPr>
        <w:t>8cb</w:t>
      </w:r>
      <w:r w:rsidRPr="00DC523F">
        <w:rPr>
          <w:rFonts w:ascii="Times New Roman" w:hAnsi="Times New Roman"/>
        </w:rPr>
        <w:t>)“.</w:t>
      </w:r>
    </w:p>
    <w:p w:rsidR="003F0F84" w:rsidRPr="00DC523F" w:rsidP="003F0F84">
      <w:pPr>
        <w:numPr>
          <w:numId w:val="1"/>
        </w:numPr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 § 28 sa odsek 2 dopĺňa písmenom q), ktoré znie: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357"/>
        <w:rPr>
          <w:rFonts w:ascii="Times New Roman" w:hAnsi="Times New Roman"/>
          <w:lang w:eastAsia="cs-CZ"/>
        </w:rPr>
      </w:pPr>
      <w:r w:rsidRPr="00DC523F">
        <w:rPr>
          <w:rFonts w:ascii="Times New Roman" w:hAnsi="Times New Roman"/>
        </w:rPr>
        <w:t>„q) nesplnila povinnosť podľa § 8 ods. 3“.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lang w:eastAsia="cs-CZ"/>
        </w:rPr>
      </w:pPr>
      <w:r w:rsidRPr="00DC523F">
        <w:rPr>
          <w:rFonts w:ascii="Times New Roman" w:hAnsi="Times New Roman"/>
          <w:lang w:eastAsia="cs-CZ"/>
        </w:rPr>
        <w:t xml:space="preserve">§ 29a sa vypúšťa. </w:t>
      </w:r>
    </w:p>
    <w:p w:rsidR="003F0F84" w:rsidRPr="00DC523F" w:rsidP="003F0F84">
      <w:pPr>
        <w:numPr>
          <w:numId w:val="1"/>
        </w:numPr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Za § 31ac sa vkladá § 31ad, ktorý vrátane nadpisu znie:</w:t>
      </w:r>
    </w:p>
    <w:p w:rsidR="003F0F84" w:rsidRPr="00DC523F" w:rsidP="003F0F84">
      <w:pPr>
        <w:pStyle w:val="Heading1"/>
        <w:keepNext w:val="0"/>
        <w:keepLines w:val="0"/>
        <w:widowControl w:val="0"/>
        <w:bidi w:val="0"/>
        <w:ind w:left="357"/>
        <w:rPr>
          <w:rFonts w:ascii="Times New Roman" w:hAnsi="Times New Roman"/>
          <w:b w:val="0"/>
          <w:szCs w:val="24"/>
        </w:rPr>
      </w:pPr>
      <w:r w:rsidRPr="00DC523F">
        <w:rPr>
          <w:rFonts w:ascii="Times New Roman" w:hAnsi="Times New Roman"/>
          <w:b w:val="0"/>
          <w:szCs w:val="24"/>
        </w:rPr>
        <w:t>„§ 31ad</w:t>
      </w:r>
    </w:p>
    <w:p w:rsidR="003F0F84" w:rsidRPr="00DC523F" w:rsidP="003F0F84">
      <w:pPr>
        <w:pStyle w:val="Heading2"/>
        <w:keepNext w:val="0"/>
        <w:keepLines w:val="0"/>
        <w:widowControl w:val="0"/>
        <w:bidi w:val="0"/>
        <w:ind w:left="357"/>
        <w:rPr>
          <w:rFonts w:ascii="Times New Roman" w:hAnsi="Times New Roman"/>
          <w:b w:val="0"/>
          <w:szCs w:val="24"/>
        </w:rPr>
      </w:pPr>
      <w:r w:rsidRPr="00DC523F">
        <w:rPr>
          <w:rFonts w:ascii="Times New Roman" w:hAnsi="Times New Roman"/>
          <w:b w:val="0"/>
          <w:szCs w:val="24"/>
        </w:rPr>
        <w:t>Prechodné ustanovenia k úprave účinnej od 1. apríla 2015</w:t>
      </w:r>
    </w:p>
    <w:p w:rsidR="003F0F84" w:rsidRPr="00DC523F" w:rsidP="003F0F84">
      <w:pPr>
        <w:pStyle w:val="ListParagraph"/>
        <w:keepNext w:val="0"/>
        <w:widowControl w:val="0"/>
        <w:numPr>
          <w:numId w:val="3"/>
        </w:numPr>
        <w:bidi w:val="0"/>
        <w:spacing w:before="240" w:after="240" w:line="276" w:lineRule="auto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Všeobecne záväzné právne predpisy vydané podľa § 3 ods. 1 až 4 zákona účinného do 31. marca 2015 ostávajú platné a účinné do vydania nových všeobecne záväzných právnych predpisov.</w:t>
      </w:r>
    </w:p>
    <w:p w:rsidR="003F0F84" w:rsidRPr="00DC523F" w:rsidP="003F0F84">
      <w:pPr>
        <w:pStyle w:val="ListParagraph"/>
        <w:keepNext w:val="0"/>
        <w:widowControl w:val="0"/>
        <w:numPr>
          <w:numId w:val="3"/>
        </w:numPr>
        <w:bidi w:val="0"/>
        <w:spacing w:before="240" w:after="240" w:line="276" w:lineRule="auto"/>
        <w:rPr>
          <w:rFonts w:ascii="Times New Roman" w:hAnsi="Times New Roman"/>
        </w:rPr>
      </w:pPr>
      <w:r w:rsidRPr="00DC523F">
        <w:rPr>
          <w:rFonts w:ascii="Times New Roman" w:hAnsi="Times New Roman"/>
        </w:rPr>
        <w:t>Prevádzkovateľ, ktorý balí potraviny v súvislosti s ich výrobou, manipuláciou s nimi alebo ich umiestnením na trh, je povinný založiť pracovnoprávny vzťah alebo iný právny vzťah s osobou, ktorá je odborne spôsobilá v oblasti potravinárstva, podľa § 8 ods. 3 do 1. apríla 2016.</w:t>
      </w:r>
    </w:p>
    <w:p w:rsidR="003F0F84" w:rsidRPr="00DC523F" w:rsidP="003F0F84">
      <w:pPr>
        <w:keepNext w:val="0"/>
        <w:widowControl w:val="0"/>
        <w:numPr>
          <w:numId w:val="3"/>
        </w:numPr>
        <w:bidi w:val="0"/>
        <w:spacing w:before="240" w:after="240"/>
        <w:ind w:hanging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C523F">
        <w:rPr>
          <w:rFonts w:ascii="Times New Roman" w:hAnsi="Times New Roman"/>
        </w:rPr>
        <w:t>Konania začaté a právoplatne neskončené do 31. marca 2015 sa dokončia podľa zákona účinného do 31. marca 2015.“.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Za § 31f sa vkladá § 31g, ktorý vrátane nadpisu znie: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357"/>
        <w:jc w:val="center"/>
        <w:rPr>
          <w:rFonts w:ascii="Times New Roman" w:hAnsi="Times New Roman"/>
        </w:rPr>
      </w:pPr>
      <w:r w:rsidRPr="00DC523F">
        <w:rPr>
          <w:rFonts w:ascii="Times New Roman" w:hAnsi="Times New Roman"/>
        </w:rPr>
        <w:t>„§ 31g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357"/>
        <w:jc w:val="center"/>
        <w:rPr>
          <w:rFonts w:ascii="Times New Roman" w:hAnsi="Times New Roman"/>
        </w:rPr>
      </w:pPr>
      <w:r w:rsidRPr="00DC523F">
        <w:rPr>
          <w:rFonts w:ascii="Times New Roman" w:hAnsi="Times New Roman"/>
        </w:rPr>
        <w:t>Zrušovacie ustanovenie účinné od 1. apríla</w:t>
      </w:r>
      <w:r w:rsidRPr="00DC523F">
        <w:rPr>
          <w:rFonts w:ascii="Times New Roman" w:hAnsi="Times New Roman"/>
        </w:rPr>
        <w:t xml:space="preserve"> </w:t>
      </w:r>
      <w:r w:rsidRPr="00DC523F">
        <w:rPr>
          <w:rFonts w:ascii="Times New Roman" w:hAnsi="Times New Roman"/>
        </w:rPr>
        <w:t>2015</w:t>
      </w:r>
    </w:p>
    <w:p w:rsidR="003F0F84" w:rsidRPr="00DC523F" w:rsidP="003F0F84">
      <w:pPr>
        <w:keepNext w:val="0"/>
        <w:widowControl w:val="0"/>
        <w:bidi w:val="0"/>
        <w:spacing w:before="240" w:after="240"/>
        <w:ind w:left="284" w:firstLine="424"/>
        <w:rPr>
          <w:rFonts w:ascii="Times New Roman" w:hAnsi="Times New Roman"/>
        </w:rPr>
      </w:pPr>
      <w:r w:rsidRPr="00DC523F">
        <w:rPr>
          <w:rFonts w:ascii="Times New Roman" w:hAnsi="Times New Roman"/>
        </w:rPr>
        <w:t>Zrušuje sa výnos Ministerstva pôdohospodárstva Slovenskej republiky z 19. októbra 2009 č. 1482/2009-100, ktorým sa ustanovuje rozsah výživového tvrdenia, spôsob uvádzania výživovej hodnoty a spôsob jej výpočtu.“.</w:t>
      </w:r>
    </w:p>
    <w:p w:rsidR="003F0F84" w:rsidRPr="00DC523F" w:rsidP="003F0F84">
      <w:pPr>
        <w:keepLines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Príloha č. 2 vrátane nadpisu znie:</w:t>
      </w:r>
    </w:p>
    <w:p w:rsidR="003F0F84" w:rsidRPr="00DC523F" w:rsidP="003F0F84">
      <w:pPr>
        <w:keepLines/>
        <w:widowControl w:val="0"/>
        <w:bidi w:val="0"/>
        <w:ind w:left="6237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 „Príloha č. 2 </w:t>
      </w:r>
    </w:p>
    <w:p w:rsidR="003F0F84" w:rsidRPr="00DC523F" w:rsidP="003F0F84">
      <w:pPr>
        <w:keepLines/>
        <w:widowControl w:val="0"/>
        <w:bidi w:val="0"/>
        <w:ind w:left="6237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k zákonu č.152/1995 Z. z. </w:t>
      </w:r>
    </w:p>
    <w:p w:rsidR="003F0F84" w:rsidRPr="00DC523F" w:rsidP="003F0F84">
      <w:pPr>
        <w:keepLines/>
        <w:widowControl w:val="0"/>
        <w:bidi w:val="0"/>
        <w:jc w:val="center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VZOR </w:t>
      </w:r>
    </w:p>
    <w:p w:rsidR="003F0F84" w:rsidRPr="00DC523F" w:rsidP="003F0F84">
      <w:pPr>
        <w:keepLines/>
        <w:widowControl w:val="0"/>
        <w:bidi w:val="0"/>
        <w:jc w:val="center"/>
        <w:rPr>
          <w:rFonts w:ascii="Times New Roman" w:hAnsi="Times New Roman"/>
        </w:rPr>
      </w:pPr>
    </w:p>
    <w:p w:rsidR="003F0F84" w:rsidRPr="00DC523F" w:rsidP="003F0F84">
      <w:pPr>
        <w:keepLines/>
        <w:widowControl w:val="0"/>
        <w:bidi w:val="0"/>
        <w:jc w:val="center"/>
        <w:rPr>
          <w:rFonts w:ascii="Times New Roman" w:hAnsi="Times New Roman"/>
          <w:b/>
        </w:rPr>
      </w:pPr>
      <w:r w:rsidRPr="00DC523F">
        <w:rPr>
          <w:rFonts w:ascii="Times New Roman" w:hAnsi="Times New Roman"/>
          <w:b/>
        </w:rPr>
        <w:t>Žiadosť o schválenie prevádzkarne produkujúcej klíčky</w:t>
      </w:r>
    </w:p>
    <w:p w:rsidR="003F0F84" w:rsidRPr="00DC523F" w:rsidP="003F0F84">
      <w:pPr>
        <w:keepNext w:val="0"/>
        <w:widowControl w:val="0"/>
        <w:bidi w:val="0"/>
        <w:jc w:val="center"/>
        <w:rPr>
          <w:rFonts w:ascii="Times New Roman" w:hAnsi="Times New Roman"/>
          <w:b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Meno, priezvisko / obchodné meno</w:t>
      </w:r>
      <w:r w:rsidRPr="00DC523F">
        <w:rPr>
          <w:rFonts w:ascii="Times New Roman" w:hAnsi="Times New Roman"/>
        </w:rPr>
        <w:t xml:space="preserve"> </w:t>
      </w:r>
      <w:r w:rsidRPr="00DC523F">
        <w:rPr>
          <w:rFonts w:ascii="Times New Roman" w:hAnsi="Times New Roman"/>
        </w:rPr>
        <w:t>žiadateľa: 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Miesto podnikania / sídlo</w:t>
      </w:r>
      <w:r w:rsidRPr="00DC523F">
        <w:rPr>
          <w:rFonts w:ascii="Times New Roman" w:hAnsi="Times New Roman"/>
        </w:rPr>
        <w:t xml:space="preserve"> </w:t>
      </w:r>
      <w:r w:rsidRPr="00DC523F">
        <w:rPr>
          <w:rFonts w:ascii="Times New Roman" w:hAnsi="Times New Roman"/>
        </w:rPr>
        <w:t>žiadateľa: ...........................................................................................................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Adresa prevádzkarne, ktorej schválenie sa žiada: 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jc w:val="left"/>
        <w:rPr>
          <w:rFonts w:ascii="Times New Roman" w:hAnsi="Times New Roman"/>
        </w:rPr>
      </w:pPr>
      <w:r w:rsidRPr="00DC523F">
        <w:rPr>
          <w:rFonts w:ascii="Times New Roman" w:hAnsi="Times New Roman"/>
        </w:rPr>
        <w:t>Identifikačné číslo organizácie ( IČO): ...........................................................................................................................................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 xml:space="preserve">Podľa čl. 2 nariadenia Komisie (EÚ) č. 210/2013 </w:t>
      </w:r>
      <w:r w:rsidRPr="00DC523F">
        <w:rPr>
          <w:rFonts w:ascii="Times New Roman" w:hAnsi="Times New Roman"/>
          <w:bCs/>
          <w:iCs/>
        </w:rPr>
        <w:t>z 11. marca 2013 o schválení prevádzkarní produkujúcich klíčky podľa nariadenia Európskeho parlamentu a Rady (ES) č. 852/2004 (Ú. v. EÚ L 68, 12.03.2013</w:t>
      </w:r>
      <w:r w:rsidRPr="00DC523F">
        <w:rPr>
          <w:rFonts w:ascii="Times New Roman" w:hAnsi="Times New Roman"/>
          <w:iCs/>
          <w:color w:val="444444"/>
        </w:rPr>
        <w:t>)</w:t>
      </w:r>
      <w:r w:rsidRPr="00DC523F">
        <w:rPr>
          <w:rFonts w:ascii="Times New Roman" w:hAnsi="Times New Roman"/>
        </w:rPr>
        <w:t xml:space="preserve">, žiadam o schválenie prevádzkarne produkujúcej klíčky. 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Typ činnosti (vyznačiť krížikom):</w:t>
      </w:r>
    </w:p>
    <w:p w:rsidR="003F0F84" w:rsidRPr="00DC523F" w:rsidP="003F0F84">
      <w:pPr>
        <w:pStyle w:val="ListParagraph"/>
        <w:keepNext w:val="0"/>
        <w:widowControl w:val="0"/>
        <w:numPr>
          <w:numId w:val="2"/>
        </w:numPr>
        <w:bidi w:val="0"/>
        <w:spacing w:after="200" w:line="276" w:lineRule="auto"/>
        <w:jc w:val="left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Výroba</w:t>
      </w:r>
    </w:p>
    <w:p w:rsidR="003F0F84" w:rsidRPr="00DC523F" w:rsidP="003F0F84">
      <w:pPr>
        <w:pStyle w:val="ListParagraph"/>
        <w:keepNext w:val="0"/>
        <w:widowControl w:val="0"/>
        <w:numPr>
          <w:numId w:val="2"/>
        </w:numPr>
        <w:bidi w:val="0"/>
        <w:spacing w:after="200" w:line="276" w:lineRule="auto"/>
        <w:jc w:val="left"/>
        <w:rPr>
          <w:rFonts w:ascii="Times New Roman" w:hAnsi="Times New Roman"/>
        </w:rPr>
      </w:pPr>
      <w:r w:rsidRPr="00DC523F">
        <w:rPr>
          <w:rFonts w:ascii="Times New Roman" w:hAnsi="Times New Roman"/>
        </w:rPr>
        <w:t>Balenie</w:t>
      </w:r>
    </w:p>
    <w:p w:rsidR="003F0F84" w:rsidRPr="00DC523F" w:rsidP="003F0F84">
      <w:pPr>
        <w:pStyle w:val="ListParagraph"/>
        <w:keepNext w:val="0"/>
        <w:widowControl w:val="0"/>
        <w:numPr>
          <w:numId w:val="2"/>
        </w:numPr>
        <w:bidi w:val="0"/>
        <w:spacing w:after="200" w:line="276" w:lineRule="auto"/>
        <w:jc w:val="left"/>
        <w:rPr>
          <w:rFonts w:ascii="Times New Roman" w:hAnsi="Times New Roman"/>
        </w:rPr>
      </w:pPr>
      <w:r w:rsidRPr="00DC523F">
        <w:rPr>
          <w:rFonts w:ascii="Times New Roman" w:hAnsi="Times New Roman"/>
        </w:rPr>
        <w:t>Skladovanie</w:t>
      </w:r>
    </w:p>
    <w:p w:rsidR="003F0F84" w:rsidRPr="00DC523F" w:rsidP="003F0F84">
      <w:pPr>
        <w:pStyle w:val="ListParagraph"/>
        <w:keepNext w:val="0"/>
        <w:widowControl w:val="0"/>
        <w:numPr>
          <w:numId w:val="2"/>
        </w:numPr>
        <w:bidi w:val="0"/>
        <w:spacing w:after="200" w:line="276" w:lineRule="auto"/>
        <w:jc w:val="left"/>
        <w:rPr>
          <w:rFonts w:ascii="Times New Roman" w:hAnsi="Times New Roman"/>
        </w:rPr>
      </w:pPr>
      <w:r w:rsidRPr="00DC523F">
        <w:rPr>
          <w:rFonts w:ascii="Times New Roman" w:hAnsi="Times New Roman"/>
        </w:rPr>
        <w:t>Iné .................................................................................................................................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V .........................................................., dňa 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jc w:val="center"/>
        <w:rPr>
          <w:rFonts w:ascii="Times New Roman" w:hAnsi="Times New Roman"/>
          <w:i/>
        </w:rPr>
      </w:pPr>
      <w:r w:rsidRPr="00DC523F">
        <w:rPr>
          <w:rFonts w:ascii="Times New Roman" w:hAnsi="Times New Roman"/>
          <w:i/>
        </w:rPr>
        <w:t>Meno, priezvisko, funkcia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:rsidR="003F0F84" w:rsidRPr="00DC523F" w:rsidP="003F0F84">
      <w:pPr>
        <w:keepNext w:val="0"/>
        <w:widowControl w:val="0"/>
        <w:bidi w:val="0"/>
        <w:jc w:val="center"/>
        <w:rPr>
          <w:rFonts w:ascii="Times New Roman" w:hAnsi="Times New Roman"/>
        </w:rPr>
      </w:pPr>
      <w:r w:rsidRPr="00DC523F">
        <w:rPr>
          <w:rFonts w:ascii="Times New Roman" w:hAnsi="Times New Roman"/>
          <w:i/>
        </w:rPr>
        <w:t>Odtlačok pečiatky</w:t>
      </w:r>
      <w:r w:rsidRPr="00DC523F">
        <w:rPr>
          <w:rFonts w:ascii="Times New Roman" w:hAnsi="Times New Roman"/>
          <w:i/>
          <w:vertAlign w:val="superscript"/>
        </w:rPr>
        <w:t>*)</w:t>
      </w:r>
      <w:r w:rsidRPr="00DC523F">
        <w:rPr>
          <w:rFonts w:ascii="Times New Roman" w:hAnsi="Times New Roman"/>
          <w:i/>
        </w:rPr>
        <w:t xml:space="preserve"> a podpis</w:t>
      </w:r>
      <w:r w:rsidRPr="00DC523F">
        <w:rPr>
          <w:rFonts w:ascii="Times New Roman" w:hAnsi="Times New Roman"/>
        </w:rPr>
        <w:t xml:space="preserve"> </w:t>
      </w: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3F0F84" w:rsidRPr="00DC523F" w:rsidP="003F0F84">
      <w:pPr>
        <w:keepNext w:val="0"/>
        <w:widowControl w:val="0"/>
        <w:bidi w:val="0"/>
        <w:ind w:left="426"/>
        <w:rPr>
          <w:rFonts w:ascii="Times New Roman" w:hAnsi="Times New Roman"/>
        </w:rPr>
      </w:pPr>
      <w:r w:rsidRPr="00DC523F">
        <w:rPr>
          <w:rFonts w:ascii="Times New Roman" w:hAnsi="Times New Roman"/>
          <w:vertAlign w:val="superscript"/>
        </w:rPr>
        <w:t>*</w:t>
      </w:r>
      <w:r w:rsidRPr="00DC523F">
        <w:rPr>
          <w:rFonts w:ascii="Times New Roman" w:hAnsi="Times New Roman"/>
        </w:rPr>
        <w:t>) Odtlačok pečiatky sa umiestňuje len na žiadosť podanú v listinnej podobe.“.</w:t>
      </w:r>
    </w:p>
    <w:p w:rsidR="003F0F84" w:rsidRPr="00DC523F" w:rsidP="003F0F84">
      <w:pPr>
        <w:keepNext w:val="0"/>
        <w:widowControl w:val="0"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DC523F">
        <w:rPr>
          <w:rFonts w:ascii="Times New Roman" w:hAnsi="Times New Roman"/>
        </w:rPr>
        <w:t>Slová „internetový predaj“ vo všetkých tvaroch sa v celom texte zákona nahrádzajú slovami „predaj na diaľku“ v príslušnom tvare.</w:t>
      </w:r>
    </w:p>
    <w:p w:rsidR="003F0F84" w:rsidP="003F0F84">
      <w:pPr>
        <w:pStyle w:val="Heading1"/>
        <w:keepNext w:val="0"/>
        <w:keepLines w:val="0"/>
        <w:widowControl w:val="0"/>
        <w:bidi w:val="0"/>
        <w:rPr>
          <w:rFonts w:ascii="Times New Roman" w:hAnsi="Times New Roman"/>
          <w:szCs w:val="24"/>
        </w:rPr>
      </w:pPr>
    </w:p>
    <w:p w:rsidR="003F0F84" w:rsidP="003F0F84">
      <w:pPr>
        <w:pStyle w:val="Heading1"/>
        <w:keepNext w:val="0"/>
        <w:keepLines w:val="0"/>
        <w:widowControl w:val="0"/>
        <w:bidi w:val="0"/>
        <w:rPr>
          <w:rFonts w:ascii="Times New Roman" w:hAnsi="Times New Roman"/>
          <w:szCs w:val="24"/>
        </w:rPr>
      </w:pPr>
    </w:p>
    <w:p w:rsidR="003F0F84" w:rsidP="003F0F84">
      <w:pPr>
        <w:pStyle w:val="Heading1"/>
        <w:keepNext w:val="0"/>
        <w:keepLines w:val="0"/>
        <w:widowControl w:val="0"/>
        <w:bidi w:val="0"/>
        <w:rPr>
          <w:rFonts w:ascii="Times New Roman" w:hAnsi="Times New Roman"/>
          <w:szCs w:val="24"/>
        </w:rPr>
      </w:pPr>
    </w:p>
    <w:p w:rsidR="003F0F84" w:rsidRPr="00DC523F" w:rsidP="003F0F84">
      <w:pPr>
        <w:pStyle w:val="Heading1"/>
        <w:keepNext w:val="0"/>
        <w:keepLines w:val="0"/>
        <w:widowControl w:val="0"/>
        <w:bidi w:val="0"/>
        <w:rPr>
          <w:rFonts w:ascii="Times New Roman" w:hAnsi="Times New Roman"/>
          <w:szCs w:val="24"/>
          <w:lang w:eastAsia="x-none"/>
        </w:rPr>
      </w:pPr>
      <w:r w:rsidRPr="00DC523F">
        <w:rPr>
          <w:rFonts w:ascii="Times New Roman" w:hAnsi="Times New Roman"/>
          <w:szCs w:val="24"/>
        </w:rPr>
        <w:t>Čl. I</w:t>
      </w:r>
      <w:r w:rsidRPr="00DC523F">
        <w:rPr>
          <w:rFonts w:ascii="Times New Roman" w:hAnsi="Times New Roman"/>
          <w:szCs w:val="24"/>
          <w:lang w:eastAsia="x-none"/>
        </w:rPr>
        <w:t>I</w:t>
      </w:r>
    </w:p>
    <w:p w:rsidR="003F0F84" w:rsidRPr="00DC523F" w:rsidP="003F0F84">
      <w:pPr>
        <w:keepNext w:val="0"/>
        <w:widowControl w:val="0"/>
        <w:bidi w:val="0"/>
        <w:ind w:firstLine="360"/>
        <w:rPr>
          <w:rFonts w:ascii="Times New Roman" w:hAnsi="Times New Roman"/>
        </w:rPr>
      </w:pPr>
      <w:r w:rsidRPr="00DC523F">
        <w:rPr>
          <w:rFonts w:ascii="Times New Roman" w:hAnsi="Times New Roman"/>
        </w:rPr>
        <w:t>Tento zákon nadobúda účinnosť 1. apríla</w:t>
      </w:r>
      <w:r w:rsidRPr="00DC523F">
        <w:rPr>
          <w:rFonts w:ascii="Times New Roman" w:hAnsi="Times New Roman"/>
        </w:rPr>
        <w:t xml:space="preserve"> </w:t>
      </w:r>
      <w:r w:rsidRPr="00DC523F">
        <w:rPr>
          <w:rFonts w:ascii="Times New Roman" w:hAnsi="Times New Roman"/>
        </w:rPr>
        <w:t>2015.</w:t>
      </w:r>
    </w:p>
    <w:p w:rsidR="003F0F84" w:rsidRPr="00DC523F" w:rsidP="003F0F84">
      <w:pPr>
        <w:keepNext w:val="0"/>
        <w:bidi w:val="0"/>
        <w:spacing w:line="360" w:lineRule="auto"/>
        <w:ind w:firstLine="708"/>
        <w:rPr>
          <w:rFonts w:ascii="Times New Roman" w:hAnsi="Times New Roman"/>
        </w:rPr>
      </w:pPr>
    </w:p>
    <w:p w:rsidR="003F0F84" w:rsidRPr="00DC523F" w:rsidP="003F0F84">
      <w:pPr>
        <w:keepNext w:val="0"/>
        <w:bidi w:val="0"/>
        <w:jc w:val="left"/>
        <w:rPr>
          <w:rFonts w:ascii="Times New Roman" w:hAnsi="Times New Roman"/>
          <w:b/>
          <w:sz w:val="28"/>
          <w:szCs w:val="28"/>
        </w:rPr>
      </w:pPr>
    </w:p>
    <w:p w:rsidR="003F0F84" w:rsidP="003F0F84">
      <w:pPr>
        <w:keepNext w:val="0"/>
        <w:bidi w:val="0"/>
        <w:ind w:firstLine="708"/>
        <w:rPr>
          <w:rFonts w:ascii="Times New Roman" w:hAnsi="Times New Roman"/>
          <w:bCs/>
        </w:rPr>
      </w:pPr>
    </w:p>
    <w:p w:rsidR="003F0F84" w:rsidP="003F0F84">
      <w:pPr>
        <w:keepNext w:val="0"/>
        <w:bidi w:val="0"/>
        <w:ind w:firstLine="708"/>
        <w:rPr>
          <w:rFonts w:ascii="Times New Roman" w:hAnsi="Times New Roman"/>
          <w:bCs/>
        </w:rPr>
      </w:pPr>
    </w:p>
    <w:p w:rsidR="003F0F84" w:rsidRPr="00DC523F" w:rsidP="003F0F84">
      <w:pPr>
        <w:keepNext w:val="0"/>
        <w:bidi w:val="0"/>
        <w:ind w:firstLine="708"/>
        <w:rPr>
          <w:rFonts w:ascii="Times New Roman" w:hAnsi="Times New Roman"/>
          <w:bCs/>
        </w:rPr>
      </w:pPr>
    </w:p>
    <w:p w:rsidR="003F0F84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C62F06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DC523F">
        <w:rPr>
          <w:rFonts w:ascii="Times New Roman" w:hAnsi="Times New Roman"/>
          <w:lang w:eastAsia="en-US"/>
        </w:rPr>
        <w:t>prezident Slovenskej republiky</w:t>
      </w:r>
    </w:p>
    <w:p w:rsidR="003F0F84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C62F06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DC523F">
        <w:rPr>
          <w:rFonts w:ascii="Times New Roman" w:hAnsi="Times New Roman"/>
          <w:lang w:eastAsia="en-US"/>
        </w:rPr>
        <w:t>predseda Národnej rady Slovenskej republiky</w:t>
      </w: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C62F06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3F0F84" w:rsidRPr="00DC523F" w:rsidP="003F0F84">
      <w:pPr>
        <w:keepNext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DC523F">
        <w:rPr>
          <w:rFonts w:ascii="Times New Roman" w:hAnsi="Times New Roman"/>
          <w:lang w:eastAsia="en-US"/>
        </w:rPr>
        <w:t>predseda vlády Slovenskej republiky</w:t>
      </w:r>
    </w:p>
    <w:p w:rsidR="003F0F84" w:rsidRPr="00DC523F" w:rsidP="003F0F84">
      <w:pPr>
        <w:keepNext w:val="0"/>
        <w:bidi w:val="0"/>
        <w:spacing w:after="200" w:line="276" w:lineRule="auto"/>
        <w:jc w:val="left"/>
        <w:rPr>
          <w:rFonts w:ascii="Calibri" w:hAnsi="Calibri" w:cs="Calibri"/>
          <w:noProof/>
          <w:sz w:val="22"/>
          <w:szCs w:val="22"/>
          <w:lang w:eastAsia="en-US"/>
        </w:rPr>
      </w:pPr>
    </w:p>
    <w:p w:rsidR="003F0F84" w:rsidRPr="00DC523F" w:rsidP="003F0F84">
      <w:pPr>
        <w:keepNext w:val="0"/>
        <w:widowControl w:val="0"/>
        <w:bidi w:val="0"/>
        <w:rPr>
          <w:rFonts w:ascii="Times New Roman" w:hAnsi="Times New Roman"/>
        </w:rPr>
      </w:pPr>
    </w:p>
    <w:p w:rsidR="00811B87">
      <w:pPr>
        <w:bidi w:val="0"/>
        <w:rPr>
          <w:rFonts w:ascii="Times New Roman" w:hAnsi="Times New Roman"/>
        </w:rPr>
      </w:pPr>
    </w:p>
    <w:sectPr w:rsidSect="00094A1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36" w:rsidP="00CB723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B5AE1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5D8"/>
    <w:multiLevelType w:val="hybridMultilevel"/>
    <w:tmpl w:val="1E6A3AF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4803895"/>
    <w:multiLevelType w:val="hybridMultilevel"/>
    <w:tmpl w:val="B43E2D3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119278C"/>
    <w:multiLevelType w:val="hybridMultilevel"/>
    <w:tmpl w:val="810888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F0F84"/>
    <w:rsid w:val="00094A10"/>
    <w:rsid w:val="00282979"/>
    <w:rsid w:val="003F0F84"/>
    <w:rsid w:val="005423C2"/>
    <w:rsid w:val="006B5AE1"/>
    <w:rsid w:val="00811B87"/>
    <w:rsid w:val="008E722D"/>
    <w:rsid w:val="00A2161D"/>
    <w:rsid w:val="00C06F97"/>
    <w:rsid w:val="00C62F06"/>
    <w:rsid w:val="00CB7236"/>
    <w:rsid w:val="00DC523F"/>
    <w:rsid w:val="00FA482E"/>
    <w:rsid w:val="00FF72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F84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F0F84"/>
    <w:pPr>
      <w:keepLines/>
      <w:spacing w:before="360" w:after="120"/>
      <w:jc w:val="center"/>
      <w:outlineLvl w:val="0"/>
    </w:pPr>
    <w:rPr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3F0F84"/>
    <w:pPr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F0F84"/>
    <w:rPr>
      <w:rFonts w:ascii="Times New Roman" w:hAnsi="Times New Roman" w:cs="Times New Roman"/>
      <w:b/>
      <w:bCs/>
      <w:sz w:val="28"/>
      <w:szCs w:val="28"/>
      <w:rtl w:val="0"/>
      <w:cs w:val="0"/>
      <w:lang w:val="x-none" w:eastAsia="x-none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F0F84"/>
    <w:rPr>
      <w:rFonts w:ascii="Times New Roman" w:hAnsi="Times New Roman" w:cs="Times New Roman"/>
      <w:b/>
      <w:bCs/>
      <w:sz w:val="26"/>
      <w:szCs w:val="26"/>
      <w:rtl w:val="0"/>
      <w:cs w:val="0"/>
      <w:lang w:val="x-none" w:eastAsia="x-none"/>
    </w:rPr>
  </w:style>
  <w:style w:type="paragraph" w:styleId="ListParagraph">
    <w:name w:val="List Paragraph"/>
    <w:basedOn w:val="Normal"/>
    <w:uiPriority w:val="34"/>
    <w:qFormat/>
    <w:rsid w:val="003F0F84"/>
    <w:pPr>
      <w:ind w:left="720"/>
      <w:contextualSpacing/>
      <w:jc w:val="both"/>
    </w:pPr>
    <w:rPr>
      <w:rFonts w:ascii="Calibri" w:hAnsi="Calibri"/>
    </w:rPr>
  </w:style>
  <w:style w:type="paragraph" w:styleId="Footer">
    <w:name w:val="footer"/>
    <w:basedOn w:val="Normal"/>
    <w:link w:val="PtaChar"/>
    <w:uiPriority w:val="99"/>
    <w:unhideWhenUsed/>
    <w:rsid w:val="003F0F84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3F0F84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  <w:style w:type="character" w:customStyle="1" w:styleId="ODSEKChar">
    <w:name w:val="ODSEK Char"/>
    <w:link w:val="ODSEK"/>
    <w:locked/>
    <w:rsid w:val="003F0F84"/>
    <w:rPr>
      <w:rFonts w:ascii="Times New Roman" w:hAnsi="Times New Roman" w:cs="Times New Roman"/>
      <w:lang w:val="x-none" w:eastAsia="x-none"/>
    </w:rPr>
  </w:style>
  <w:style w:type="paragraph" w:customStyle="1" w:styleId="ODSEK">
    <w:name w:val="ODSEK"/>
    <w:basedOn w:val="Normal"/>
    <w:link w:val="ODSEKChar"/>
    <w:rsid w:val="003F0F84"/>
    <w:pPr>
      <w:autoSpaceDE w:val="0"/>
      <w:autoSpaceDN w:val="0"/>
      <w:adjustRightInd w:val="0"/>
      <w:ind w:firstLine="720"/>
      <w:jc w:val="both"/>
    </w:pPr>
    <w:rPr>
      <w:sz w:val="22"/>
      <w:szCs w:val="22"/>
      <w:lang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F0F84"/>
    <w:pPr>
      <w:spacing w:after="12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F0F8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F0F84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F0F8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729C-B517-463B-B71D-9735AD09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6</Pages>
  <Words>1634</Words>
  <Characters>9320</Characters>
  <Application>Microsoft Office Word</Application>
  <DocSecurity>0</DocSecurity>
  <Lines>0</Lines>
  <Paragraphs>0</Paragraphs>
  <ScaleCrop>false</ScaleCrop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6</cp:revision>
  <cp:lastPrinted>2015-02-04T10:10:00Z</cp:lastPrinted>
  <dcterms:created xsi:type="dcterms:W3CDTF">2015-02-03T08:32:00Z</dcterms:created>
  <dcterms:modified xsi:type="dcterms:W3CDTF">2015-02-04T10:16:00Z</dcterms:modified>
</cp:coreProperties>
</file>