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622D9">
        <w:rPr>
          <w:sz w:val="22"/>
          <w:szCs w:val="22"/>
        </w:rPr>
        <w:t>38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622D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622D9">
        <w:t>1363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622D9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622D9">
        <w:rPr>
          <w:rFonts w:cs="Arial"/>
          <w:szCs w:val="22"/>
        </w:rPr>
        <w:t>Júliusa BROCKU a Alojza PŘIDALA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622D9">
        <w:rPr>
          <w:rFonts w:cs="Arial"/>
          <w:szCs w:val="22"/>
        </w:rPr>
        <w:t>zákon č. 595/2003 Z. z. o dani z príjmov a o zmene a doplnení niektorých zákonov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22D9">
        <w:rPr>
          <w:rFonts w:cs="Arial"/>
          <w:szCs w:val="22"/>
        </w:rPr>
        <w:t>1356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622D9">
        <w:rPr>
          <w:rFonts w:cs="Arial"/>
          <w:szCs w:val="22"/>
        </w:rPr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622D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622D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622D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35E9C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22D9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27D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2015-01-08T14:18:00Z</cp:lastPrinted>
  <dcterms:created xsi:type="dcterms:W3CDTF">2015-01-14T09:01:00Z</dcterms:created>
  <dcterms:modified xsi:type="dcterms:W3CDTF">2015-01-14T09:01:00Z</dcterms:modified>
</cp:coreProperties>
</file>