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pPr>
        <w:spacing w:after="0" w:line="240" w:lineRule="auto"/>
        <w:jc w:val="center"/>
        <w:rPr>
          <w:rStyle w:val="DefaultParagraphFont"/>
          <w:rFonts w:ascii="Times New Roman" w:hAnsi="Times New Roman"/>
          <w:b/>
          <w:bCs/>
          <w:caps/>
          <w:color w:val="000000"/>
          <w:spacing w:val="30"/>
          <w:sz w:val="24"/>
          <w:szCs w:val="24"/>
        </w:rPr>
      </w:pPr>
      <w:r>
        <w:rPr>
          <w:rStyle w:val="DefaultParagraphFont"/>
          <w:rFonts w:ascii="Times New Roman" w:hAnsi="Times New Roman"/>
          <w:b/>
          <w:bCs/>
          <w:caps/>
          <w:color w:val="000000"/>
          <w:spacing w:val="30"/>
          <w:sz w:val="24"/>
          <w:szCs w:val="24"/>
        </w:rPr>
        <w:t>Dolož</w:t>
      </w:r>
      <w:r>
        <w:rPr>
          <w:rStyle w:val="DefaultParagraphFont"/>
          <w:rFonts w:ascii="Times New Roman" w:hAnsi="Times New Roman"/>
          <w:b/>
          <w:bCs/>
          <w:caps/>
          <w:color w:val="000000"/>
          <w:spacing w:val="30"/>
          <w:sz w:val="24"/>
          <w:szCs w:val="24"/>
        </w:rPr>
        <w:t>ka</w:t>
      </w:r>
    </w:p>
    <w:p w:rsidR="00593F1E">
      <w:pPr>
        <w:spacing w:after="0" w:line="240" w:lineRule="auto"/>
        <w:jc w:val="center"/>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vybraný</w:t>
      </w:r>
      <w:r>
        <w:rPr>
          <w:rStyle w:val="DefaultParagraphFont"/>
          <w:rFonts w:ascii="Times New Roman" w:hAnsi="Times New Roman"/>
          <w:b/>
          <w:bCs/>
          <w:color w:val="000000"/>
          <w:sz w:val="24"/>
          <w:szCs w:val="24"/>
        </w:rPr>
        <w:t>ch vplyvov</w:t>
      </w:r>
    </w:p>
    <w:p w:rsidR="00593F1E">
      <w:pPr>
        <w:spacing w:after="0" w:line="240" w:lineRule="auto"/>
        <w:rPr>
          <w:rStyle w:val="DefaultParagraphFont"/>
          <w:rFonts w:ascii="Times New Roman" w:hAnsi="Times New Roman"/>
          <w:color w:val="000000"/>
          <w:sz w:val="24"/>
          <w:szCs w:val="24"/>
        </w:rPr>
      </w:pPr>
    </w:p>
    <w:p w:rsidR="00593F1E">
      <w:pPr>
        <w:spacing w:after="0" w:line="240" w:lineRule="auto"/>
        <w:rPr>
          <w:rStyle w:val="DefaultParagraphFont"/>
          <w:rFonts w:ascii="Times New Roman" w:hAnsi="Times New Roman"/>
          <w:color w:val="000000"/>
          <w:sz w:val="24"/>
          <w:szCs w:val="24"/>
        </w:rPr>
      </w:pPr>
    </w:p>
    <w:p w:rsidR="00593F1E">
      <w:pPr>
        <w:spacing w:after="0" w:line="240" w:lineRule="auto"/>
        <w:jc w:val="both"/>
        <w:rPr>
          <w:rStyle w:val="DefaultParagraphFont"/>
          <w:rFonts w:ascii="Times New Roman" w:hAnsi="Times New Roman"/>
          <w:color w:val="000000"/>
          <w:sz w:val="24"/>
          <w:szCs w:val="24"/>
        </w:rPr>
      </w:pPr>
      <w:r>
        <w:rPr>
          <w:rStyle w:val="DefaultParagraphFont"/>
          <w:rFonts w:ascii="Times New Roman" w:hAnsi="Times New Roman"/>
          <w:b/>
          <w:bCs/>
          <w:color w:val="000000"/>
          <w:sz w:val="24"/>
          <w:szCs w:val="24"/>
        </w:rPr>
        <w:t>A.1. Ná</w:t>
      </w:r>
      <w:r>
        <w:rPr>
          <w:rStyle w:val="DefaultParagraphFont"/>
          <w:rFonts w:ascii="Times New Roman" w:hAnsi="Times New Roman"/>
          <w:b/>
          <w:bCs/>
          <w:color w:val="000000"/>
          <w:sz w:val="24"/>
          <w:szCs w:val="24"/>
        </w:rPr>
        <w:t>zov materiá</w:t>
      </w:r>
      <w:r>
        <w:rPr>
          <w:rStyle w:val="DefaultParagraphFont"/>
          <w:rFonts w:ascii="Times New Roman" w:hAnsi="Times New Roman"/>
          <w:b/>
          <w:bCs/>
          <w:color w:val="000000"/>
          <w:sz w:val="24"/>
          <w:szCs w:val="24"/>
        </w:rPr>
        <w:t xml:space="preserve">lu: </w:t>
      </w:r>
      <w:r>
        <w:rPr>
          <w:rStyle w:val="DefaultParagraphFont"/>
          <w:rFonts w:ascii="Times New Roman" w:hAnsi="Times New Roman"/>
          <w:color w:val="000000"/>
          <w:sz w:val="24"/>
          <w:szCs w:val="24"/>
        </w:rPr>
        <w:t xml:space="preserve">Návrh na uzatvorenie Zmluvy o európskom spolupracujúcom štáte medzi Slovenskou republikou a Európskou vesmírnou agentúrou </w:t>
      </w: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lang w:val="sk-SK"/>
        </w:rPr>
        <w:t xml:space="preserve">        Termí</w:t>
      </w:r>
      <w:r>
        <w:rPr>
          <w:rStyle w:val="DefaultParagraphFont"/>
          <w:rFonts w:ascii="Times New Roman" w:hAnsi="Times New Roman"/>
          <w:b/>
          <w:bCs/>
          <w:color w:val="000000"/>
          <w:sz w:val="24"/>
          <w:szCs w:val="24"/>
          <w:lang w:val="sk-SK"/>
        </w:rPr>
        <w:t>n zač</w:t>
      </w:r>
      <w:r>
        <w:rPr>
          <w:rStyle w:val="DefaultParagraphFont"/>
          <w:rFonts w:ascii="Times New Roman" w:hAnsi="Times New Roman"/>
          <w:b/>
          <w:bCs/>
          <w:color w:val="000000"/>
          <w:sz w:val="24"/>
          <w:szCs w:val="24"/>
          <w:lang w:val="sk-SK"/>
        </w:rPr>
        <w:t>atia a </w:t>
      </w:r>
      <w:r>
        <w:rPr>
          <w:rStyle w:val="DefaultParagraphFont"/>
          <w:rFonts w:ascii="Times New Roman" w:hAnsi="Times New Roman"/>
          <w:b/>
          <w:bCs/>
          <w:color w:val="000000"/>
          <w:sz w:val="24"/>
          <w:szCs w:val="24"/>
          <w:lang w:val="sk-SK"/>
        </w:rPr>
        <w:t>ukonč</w:t>
      </w:r>
      <w:r>
        <w:rPr>
          <w:rStyle w:val="DefaultParagraphFont"/>
          <w:rFonts w:ascii="Times New Roman" w:hAnsi="Times New Roman"/>
          <w:b/>
          <w:bCs/>
          <w:color w:val="000000"/>
          <w:sz w:val="24"/>
          <w:szCs w:val="24"/>
          <w:lang w:val="sk-SK"/>
        </w:rPr>
        <w:t>enia PPK:</w:t>
      </w:r>
      <w:r w:rsidRPr="002704AC" w:rsidR="002704AC">
        <w:rPr>
          <w:rStyle w:val="DefaultParagraphFont"/>
          <w:rFonts w:ascii="Times New Roman" w:hAnsi="Times New Roman"/>
          <w:color w:val="000000"/>
          <w:sz w:val="24"/>
          <w:szCs w:val="24"/>
        </w:rPr>
        <w:t xml:space="preserve"> </w:t>
      </w:r>
      <w:r w:rsidRPr="002704AC" w:rsidR="002704AC">
        <w:rPr>
          <w:rStyle w:val="DefaultParagraphFont"/>
          <w:rFonts w:ascii="Times New Roman" w:hAnsi="Times New Roman"/>
          <w:color w:val="000000"/>
          <w:sz w:val="24"/>
          <w:szCs w:val="24"/>
        </w:rPr>
        <w:t>14.4.2014-17.4.2014</w:t>
      </w:r>
      <w:r w:rsidRPr="002704AC" w:rsidR="002704AC">
        <w:rPr>
          <w:rStyle w:val="DefaultParagraphFont"/>
          <w:rFonts w:ascii="Times New Roman" w:hAnsi="Times New Roman"/>
          <w:color w:val="000000"/>
          <w:sz w:val="24"/>
          <w:szCs w:val="24"/>
        </w:rPr>
        <w:t> </w:t>
      </w:r>
      <w:r w:rsidRPr="002704AC" w:rsidR="002704AC">
        <w:rPr>
          <w:rStyle w:val="DefaultParagraphFont"/>
          <w:rFonts w:ascii="Times New Roman" w:hAnsi="Times New Roman"/>
          <w:color w:val="000000"/>
          <w:sz w:val="24"/>
          <w:szCs w:val="24"/>
        </w:rPr>
        <w:t xml:space="preserve">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A.2. Vplyvy: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30"/>
        <w:gridCol w:w="1200"/>
        <w:gridCol w:w="1200"/>
        <w:gridCol w:w="1200"/>
      </w:tblGrid>
      <w:tr>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Negatívne </w:t>
            </w: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r>
        <w:tblPrEx>
          <w:tblW w:w="5000" w:type="pct"/>
          <w:tblCellMar>
            <w:left w:w="0" w:type="dxa"/>
            <w:right w:w="0" w:type="dxa"/>
          </w:tblCellMar>
        </w:tblPrEx>
        <w:trPr>
          <w:trHeight w:hRule="auto" w:val="0"/>
        </w:trPr>
        <w:tc>
          <w:tcPr>
            <w:tcW w:w="573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r>
    </w:tbl>
    <w:p w:rsidR="00593F1E">
      <w:pP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A.3. Pozná</w:t>
      </w:r>
      <w:r>
        <w:rPr>
          <w:rStyle w:val="DefaultParagraphFont"/>
          <w:rFonts w:ascii="Times New Roman" w:hAnsi="Times New Roman"/>
          <w:b/>
          <w:bCs/>
          <w:color w:val="000000"/>
          <w:sz w:val="24"/>
          <w:szCs w:val="24"/>
        </w:rPr>
        <w:t>mky</w:t>
      </w:r>
    </w:p>
    <w:p w:rsidR="00593F1E">
      <w:pPr>
        <w:spacing w:after="0" w:line="240" w:lineRule="auto"/>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br/>
      </w: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i/>
          <w:iCs/>
          <w:color w:val="000000"/>
          <w:sz w:val="24"/>
          <w:szCs w:val="24"/>
        </w:rPr>
      </w:pPr>
      <w:r>
        <w:rPr>
          <w:rStyle w:val="DefaultParagraphFont"/>
          <w:rFonts w:ascii="Times New Roman" w:hAnsi="Times New Roman"/>
          <w:i/>
          <w:iCs/>
          <w:color w:val="000000"/>
          <w:sz w:val="24"/>
          <w:szCs w:val="24"/>
        </w:rPr>
        <w:t xml:space="preserve">      </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A.4. Alternatí</w:t>
      </w:r>
      <w:r>
        <w:rPr>
          <w:rStyle w:val="DefaultParagraphFont"/>
          <w:rFonts w:ascii="Times New Roman" w:hAnsi="Times New Roman"/>
          <w:b/>
          <w:bCs/>
          <w:color w:val="000000"/>
          <w:sz w:val="24"/>
          <w:szCs w:val="24"/>
        </w:rPr>
        <w:t>vne rieš</w:t>
      </w:r>
      <w:r>
        <w:rPr>
          <w:rStyle w:val="DefaultParagraphFont"/>
          <w:rFonts w:ascii="Times New Roman" w:hAnsi="Times New Roman"/>
          <w:b/>
          <w:bCs/>
          <w:color w:val="000000"/>
          <w:sz w:val="24"/>
          <w:szCs w:val="24"/>
        </w:rPr>
        <w:t>enia</w:t>
      </w: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color w:val="000000"/>
          <w:sz w:val="24"/>
          <w:szCs w:val="24"/>
        </w:rPr>
        <w:br/>
      </w:r>
      <w:r>
        <w:rPr>
          <w:rStyle w:val="DefaultParagraphFont"/>
          <w:rFonts w:ascii="Times New Roman" w:hAnsi="Times New Roman"/>
          <w:color w:val="000000"/>
          <w:sz w:val="24"/>
          <w:szCs w:val="24"/>
        </w:rPr>
        <w:t> </w:t>
      </w:r>
    </w:p>
    <w:p w:rsidR="00593F1E">
      <w:pPr>
        <w:spacing w:after="0" w:line="240" w:lineRule="auto"/>
        <w:jc w:val="both"/>
        <w:rPr>
          <w:rStyle w:val="DefaultParagraphFont"/>
          <w:rFonts w:ascii="Times New Roman" w:hAnsi="Times New Roman"/>
          <w:b/>
          <w:bCs/>
          <w:color w:val="000000"/>
          <w:sz w:val="24"/>
          <w:szCs w:val="24"/>
        </w:rPr>
      </w:pPr>
    </w:p>
    <w:p w:rsidR="00593F1E">
      <w:pPr>
        <w:spacing w:after="0" w:line="240" w:lineRule="auto"/>
        <w:jc w:val="both"/>
        <w:rPr>
          <w:rStyle w:val="DefaultParagraphFont"/>
          <w:rFonts w:ascii="Times New Roman" w:hAnsi="Times New Roman"/>
          <w:b/>
          <w:bCs/>
          <w:color w:val="000000"/>
          <w:sz w:val="24"/>
          <w:szCs w:val="24"/>
        </w:rPr>
      </w:pPr>
      <w:r>
        <w:rPr>
          <w:rStyle w:val="DefaultParagraphFont"/>
          <w:rFonts w:ascii="Times New Roman" w:hAnsi="Times New Roman"/>
          <w:b/>
          <w:bCs/>
          <w:color w:val="000000"/>
          <w:sz w:val="24"/>
          <w:szCs w:val="24"/>
        </w:rPr>
        <w:t>A.5. Stanovisko gestorov</w:t>
      </w:r>
    </w:p>
    <w:p w:rsidR="00593F1E">
      <w:pPr>
        <w:spacing w:after="0" w:afterAutospacing="0"/>
        <w:jc w:val="both"/>
        <w:rPr>
          <w:rStyle w:val="DefaultParagraphFont"/>
          <w:rFonts w:ascii="Times New Roman" w:hAnsi="Times New Roman"/>
          <w:b/>
          <w:bCs/>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Ministerstvo životného prostredia SR, </w:t>
      </w:r>
      <w:r>
        <w:rPr>
          <w:rStyle w:val="DefaultParagraphFont"/>
          <w:rFonts w:ascii="Times New Roman" w:hAnsi="Times New Roman"/>
          <w:color w:val="000000"/>
          <w:sz w:val="24"/>
          <w:szCs w:val="24"/>
        </w:rPr>
        <w:t>Odbor environmentálneho posudzovania (EIA/SEA), súhlasí s predloženou doložkou vybraných vplyvov bez pripomienok.</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Ministerstvo financií SR, </w:t>
      </w:r>
      <w:r>
        <w:rPr>
          <w:rStyle w:val="DefaultParagraphFont"/>
          <w:rFonts w:ascii="Times New Roman" w:hAnsi="Times New Roman"/>
          <w:color w:val="000000"/>
          <w:sz w:val="24"/>
          <w:szCs w:val="24"/>
        </w:rPr>
        <w:t>Odbor legislatívy, štandardov a bezpečnosti informačných systémov, nemá pripomienky k doložke vybraných vplyvov z hľadiska vplyvov na informatizáciu spoločnosti.</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Ministerstvo financií SR, </w:t>
      </w:r>
      <w:r>
        <w:rPr>
          <w:rStyle w:val="DefaultParagraphFont"/>
          <w:rFonts w:ascii="Times New Roman" w:hAnsi="Times New Roman"/>
          <w:color w:val="000000"/>
          <w:sz w:val="24"/>
          <w:szCs w:val="24"/>
        </w:rPr>
        <w:t>Sekcia rozpočtovej politiky, uplatňuje k  predloženej doložke vybraných vplyvov nasledovné stanovisko:</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Z doložky vybraných vplyvov vyplýva negatívny vplyv na rozpočet verejnej správy v rokoch 2015 až 2019 celkovo v sume 7,25 mil. Eur. V návrhu východísk rozpočtu verejnej správy na roky 2015 až 2017 sa v limite výdavkov pre kapitolu Ministerstva školstva, vedy, výskumu a športu SR s uvedenými objemami výdavkov neuvažuje. Zabezpečenie predmetnej dohody bude možné len v rámci navrhovaných limitov výdavkov na jednotlivé rozpočtové roky. V nadväznosti na uvedené MF SR žiada prepracovať doložku vybraných vplyvov tak, aby z nej nevyplýval rozpočtovo nekrytý vplyv. Tieto pripomienky sú zásadné.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u w:val="single"/>
        </w:rPr>
        <w:t>MŠVVaŠ SR:</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12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MŠVVaŠ SR súhlasí s pripomienkou.</w:t>
      </w:r>
    </w:p>
    <w:p w:rsidR="00593F1E">
      <w:pPr>
        <w:spacing w:after="12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Ministerstvo práce, sociálnych vecí a rodiny SR, </w:t>
      </w:r>
      <w:r>
        <w:rPr>
          <w:rStyle w:val="DefaultParagraphFont"/>
          <w:rFonts w:ascii="Times New Roman" w:hAnsi="Times New Roman"/>
          <w:color w:val="000000"/>
          <w:sz w:val="24"/>
          <w:szCs w:val="24"/>
        </w:rPr>
        <w:t>Analytické centrum, uplatňuje k  predloženej doložke vybraných vplyvov, časti sociálne vplyvy, nasledovné stanovisko:</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K časti 4.1. analýzy sociálnych vplyvov</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Text uvedený v časti 4.1. týkajúcej  sa kvantifikácie vplyvov na hospodárenie domácností („Predkladaný materiál bude mať mierny vplyv na rast príjmov....“) je potrebné vypustiť, keďže z predloženého materiálu nevyplývajú také vplyvy na hospodárenie domácností, ktoré je možné konkrétne kvantifikovať. Zároveň si Vás dovoľujeme upozorniť, že časť 4.1. týkajúca sa identifikácie vplyvov na hospodárenie domácností  je určená na kvalitatívne zhodnotenie  predpokladaných vplyvov na hospodárenie domácností a v ďalšom riadku tabuľky sa tieto identifikované vplyvy hodnotia kvantitatívne.</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K časti 4.4. analýzy sociálnych vplyvov</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Zhodnotenie vplyvov na zamestnanosť odporúčame doplniť aj o prínosy, ktoré predkladaný materiál  predstavuje pre podnikateľské prostredie.</w:t>
      </w:r>
    </w:p>
    <w:p w:rsidR="00593F1E">
      <w:pPr>
        <w:spacing w:after="12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u w:val="single"/>
        </w:rPr>
        <w:t>MŠVVaŠ SR:</w:t>
      </w:r>
    </w:p>
    <w:p w:rsidR="00593F1E">
      <w:pPr>
        <w:spacing w:after="12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Doložka vybraných vplyvov bola v pripomienkovaných častiach upravená podľa uvedených pripomienok.</w:t>
      </w:r>
    </w:p>
    <w:p w:rsidR="00593F1E">
      <w:pPr>
        <w:spacing w:after="12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Ministerstvo hospodárstva SR</w:t>
      </w:r>
      <w:r>
        <w:rPr>
          <w:rStyle w:val="DefaultParagraphFont"/>
          <w:rFonts w:ascii="Times New Roman" w:hAnsi="Times New Roman"/>
          <w:color w:val="000000"/>
          <w:sz w:val="24"/>
          <w:szCs w:val="24"/>
        </w:rPr>
        <w:t>, Odbor hospodárskych analýz, uplatňuje nasledovné pripomienky k analýze vplyvov na podnikateľské prostredie:</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bode 3.1 odporúčame predkladateľovi doplniť predpokladaný počet podnikov v Slovenskej republike s potenciálom účasti na programoch ESA, prípadne uviesť počet podnikov, ktoré v súčasnosti vykonávajú výskum a vývoj v odvetviach spomínaných vo vlastnom materiáli. V materiáli sa spomína iba počet dopytovaných organizácií (vrátane univerzít a iných vedeckých organizácií).</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bode 3.2 navrhujeme na základe tvrdenia z vlastného materiálu doplniť prínos pre podnikateľské subjekty v podobe zvýšenia obratu technologických firiem zapojených do spolupráce s ESA spolu s odôvodnením tohto predpokladu.</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u w:val="single"/>
        </w:rPr>
        <w:t>MŠVVaŠ SR:</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Doložka vybraných vplyvov bola dopracovaná v zmysle pripomienky.</w:t>
      </w:r>
      <w:r>
        <w:rPr>
          <w:rStyle w:val="DefaultParagraphFont"/>
          <w:rFonts w:ascii="Times New Roman" w:hAnsi="Times New Roman"/>
          <w:color w:val="000000"/>
          <w:sz w:val="24"/>
          <w:szCs w:val="24"/>
        </w:rPr>
        <w:br/>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8"/>
          <w:szCs w:val="24"/>
        </w:rPr>
        <w:t>Vplyvy na rozpočet verejnej správy, na zamestnanosť vo verejnej správe a financovanie návrhu</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2.1. Zhrnutie vplyvov na rozpočet verejnej správy v návrhu</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Tabuľka č. 1 </w:t>
      </w:r>
      <w:bookmarkStart w:id="0" w:name="OLE_LINK1"/>
      <w:bookmarkEnd w:id="0"/>
    </w:p>
    <w:tbl>
      <w:tblPr>
        <w:tblW w:w="9495" w:type="dxa"/>
        <w:tblCellMar>
          <w:left w:w="0" w:type="dxa"/>
          <w:right w:w="0" w:type="dxa"/>
        </w:tblCellMar>
      </w:tblPr>
      <w:tblGrid>
        <w:gridCol w:w="4371"/>
        <w:gridCol w:w="1114"/>
        <w:gridCol w:w="945"/>
        <w:gridCol w:w="1068"/>
        <w:gridCol w:w="1068"/>
        <w:gridCol w:w="929"/>
      </w:tblGrid>
      <w:tr>
        <w:tblPrEx>
          <w:tblW w:w="9495" w:type="dxa"/>
          <w:tblCellMar>
            <w:left w:w="0" w:type="dxa"/>
            <w:right w:w="0" w:type="dxa"/>
          </w:tblCellMar>
        </w:tblPrEx>
        <w:trPr>
          <w:trHeight w:val="194"/>
        </w:trPr>
        <w:tc>
          <w:tcPr>
            <w:tcW w:w="4625" w:type="dxa"/>
            <w:vMerge w:val="restart"/>
            <w:tcBorders>
              <w:top w:val="single" w:sz="8" w:space="0" w:color="000000"/>
              <w:left w:val="single" w:sz="8" w:space="0" w:color="000000"/>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 xml:space="preserve">Vplyvy na </w:t>
            </w:r>
            <w:r>
              <w:rPr>
                <w:rStyle w:val="DefaultParagraphFont"/>
                <w:rFonts w:ascii="Times New Roman" w:hAnsi="Times New Roman"/>
                <w:b/>
                <w:color w:val="000000"/>
                <w:sz w:val="24"/>
                <w:szCs w:val="24"/>
              </w:rPr>
              <w:t>rozpočet verejnej správy</w:t>
            </w:r>
          </w:p>
        </w:tc>
        <w:tc>
          <w:tcPr>
            <w:tcW w:w="3880" w:type="dxa"/>
            <w:gridSpan w:val="4"/>
            <w:tcBorders>
              <w:top w:val="single" w:sz="8" w:space="0" w:color="000000"/>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 xml:space="preserve">Vplyv na rozpočet verejnej správy </w:t>
            </w:r>
            <w:r>
              <w:rPr>
                <w:rStyle w:val="DefaultParagraphFont"/>
                <w:rFonts w:ascii="Times New Roman" w:hAnsi="Times New Roman"/>
                <w:b/>
                <w:color w:val="000000"/>
                <w:sz w:val="24"/>
                <w:szCs w:val="24"/>
              </w:rPr>
              <w:t>(v eurách)</w:t>
            </w:r>
          </w:p>
        </w:tc>
        <w:tc>
          <w:tcPr>
            <w:tcW w:w="993" w:type="dxa"/>
            <w:tcBorders>
              <w:top w:val="single" w:sz="8" w:space="0" w:color="000000"/>
              <w:left w:val="nil"/>
              <w:bottom w:val="single" w:sz="8" w:space="0" w:color="000000"/>
              <w:right w:val="single" w:sz="8" w:space="0" w:color="000000"/>
              <w:tl2br w:val="nil"/>
              <w:tr2bl w:val="nil"/>
            </w:tcBorders>
            <w:shd w:val="solid" w:color="00000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495" w:type="dxa"/>
          <w:tblInd w:w="-60" w:type="dxa"/>
          <w:tblCellMar>
            <w:left w:w="0" w:type="dxa"/>
            <w:right w:w="0" w:type="dxa"/>
          </w:tblCellMar>
        </w:tblPrEx>
        <w:trPr>
          <w:trHeight w:val="70"/>
        </w:trPr>
        <w:tc>
          <w:tcPr>
            <w:tcW w:w="0" w:type="auto"/>
            <w:vMerge/>
            <w:tcBorders>
              <w:top w:val="single" w:sz="8" w:space="0" w:color="000000"/>
              <w:left w:val="single" w:sz="8" w:space="0" w:color="000000"/>
              <w:bottom w:val="single" w:sz="8" w:space="0" w:color="000000"/>
              <w:right w:val="single" w:sz="8" w:space="0" w:color="000000"/>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1045"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2015</w:t>
            </w:r>
          </w:p>
        </w:tc>
        <w:tc>
          <w:tcPr>
            <w:tcW w:w="851"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2016</w:t>
            </w:r>
          </w:p>
        </w:tc>
        <w:tc>
          <w:tcPr>
            <w:tcW w:w="992"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2017</w:t>
            </w:r>
          </w:p>
        </w:tc>
        <w:tc>
          <w:tcPr>
            <w:tcW w:w="992"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2018</w:t>
            </w:r>
          </w:p>
        </w:tc>
        <w:tc>
          <w:tcPr>
            <w:tcW w:w="993" w:type="dxa"/>
            <w:tcBorders>
              <w:top w:val="nil"/>
              <w:left w:val="nil"/>
              <w:bottom w:val="single" w:sz="8" w:space="0" w:color="000000"/>
              <w:right w:val="single" w:sz="8" w:space="0" w:color="000000"/>
              <w:tl2br w:val="nil"/>
              <w:tr2bl w:val="nil"/>
            </w:tcBorders>
            <w:shd w:val="solid" w:color="00000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2019</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Príjmy verejnej správy celkom</w:t>
            </w:r>
          </w:p>
        </w:tc>
        <w:tc>
          <w:tcPr>
            <w:tcW w:w="1045"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shd w:val="solid" w:color="C0C0C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132"/>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tom: za každý subjekt verejnej správy zvlášť</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xml:space="preserve">z toho: </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495" w:type="dxa"/>
          <w:tblCellMar>
            <w:left w:w="0" w:type="dxa"/>
            <w:right w:w="0" w:type="dxa"/>
          </w:tblCellMar>
        </w:tblPrEx>
        <w:trPr>
          <w:trHeight w:val="125"/>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vplyv na ŠR</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125"/>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vplyv na územnú samosprávu</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125"/>
        </w:trPr>
        <w:tc>
          <w:tcPr>
            <w:tcW w:w="4625" w:type="dxa"/>
            <w:tcBorders>
              <w:top w:val="nil"/>
              <w:left w:val="single" w:sz="8" w:space="0" w:color="000000"/>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Výdavky verejnej správy celkom</w:t>
            </w:r>
          </w:p>
        </w:tc>
        <w:tc>
          <w:tcPr>
            <w:tcW w:w="1045"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1,35</w:t>
            </w:r>
          </w:p>
        </w:tc>
        <w:tc>
          <w:tcPr>
            <w:tcW w:w="851"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1,45</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1,50</w:t>
            </w:r>
          </w:p>
        </w:tc>
        <w:tc>
          <w:tcPr>
            <w:tcW w:w="993" w:type="dxa"/>
            <w:tcBorders>
              <w:top w:val="nil"/>
              <w:left w:val="nil"/>
              <w:bottom w:val="single" w:sz="8" w:space="0" w:color="000000"/>
              <w:right w:val="single" w:sz="8" w:space="0" w:color="000000"/>
              <w:tl2br w:val="nil"/>
              <w:tr2bl w:val="nil"/>
            </w:tcBorders>
            <w:shd w:val="solid" w:color="C0C0C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1,55</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tom: za každý subjekt verejnej správy / program zvlášť: Podprogram 0970A – Príspevky SR medzinárodným organizáciám</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1,35</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1,45</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1,55</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xml:space="preserve">z toho: </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vplyv na ŠR</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1,35</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1,45</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1,55</w:t>
            </w:r>
          </w:p>
        </w:tc>
      </w:tr>
      <w:tr>
        <w:tblPrEx>
          <w:tblW w:w="9495" w:type="dxa"/>
          <w:tblCellMar>
            <w:left w:w="0" w:type="dxa"/>
            <w:right w:w="0" w:type="dxa"/>
          </w:tblCellMar>
        </w:tblPrEx>
        <w:trPr>
          <w:trHeight w:val="125"/>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vplyv na územnú samosprávu</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Celková zamestnanosť </w:t>
            </w:r>
          </w:p>
        </w:tc>
        <w:tc>
          <w:tcPr>
            <w:tcW w:w="1045"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shd w:val="solid" w:color="C0C0C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i/>
                <w:color w:val="000000"/>
                <w:sz w:val="24"/>
                <w:szCs w:val="24"/>
              </w:rPr>
              <w:t>- z toho vplyv na ŠR</w:t>
            </w:r>
            <w:r>
              <w:rPr>
                <w:rStyle w:val="DefaultParagraphFont"/>
                <w:rFonts w:ascii="Times New Roman" w:hAnsi="Times New Roman"/>
                <w:color w:val="000000"/>
                <w:sz w:val="24"/>
                <w:szCs w:val="24"/>
              </w:rPr>
              <w:t xml:space="preserve"> </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Financovanie zabezpečené v rozpočte</w:t>
            </w:r>
          </w:p>
        </w:tc>
        <w:tc>
          <w:tcPr>
            <w:tcW w:w="1045"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851"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shd w:val="solid" w:color="C0C0C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shd w:val="solid" w:color="C0C0C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CellMar>
            <w:left w:w="0" w:type="dxa"/>
            <w:right w:w="0" w:type="dxa"/>
          </w:tblCellMar>
        </w:tblPrEx>
        <w:trPr>
          <w:trHeight w:val="70"/>
        </w:trPr>
        <w:tc>
          <w:tcPr>
            <w:tcW w:w="4625"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v tom: za každý subjekt verejnej správy / program zvlášť</w:t>
            </w:r>
          </w:p>
        </w:tc>
        <w:tc>
          <w:tcPr>
            <w:tcW w:w="1045"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851"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r>
      <w:tr>
        <w:tblPrEx>
          <w:tblW w:w="9495" w:type="dxa"/>
          <w:tblInd w:w="-70" w:type="dxa"/>
          <w:tblCellMar>
            <w:left w:w="0" w:type="dxa"/>
            <w:right w:w="0" w:type="dxa"/>
          </w:tblCellMar>
        </w:tblPrEx>
        <w:trPr>
          <w:trHeight w:hRule="auto" w:val="0"/>
        </w:trPr>
        <w:tc>
          <w:tcPr>
            <w:tcW w:w="4625"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1045"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851"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3" w:type="dxa"/>
            <w:tcBorders>
              <w:top w:val="nil"/>
              <w:left w:val="nil"/>
              <w:bottom w:val="nil"/>
              <w:right w:val="nil"/>
              <w:tl2br w:val="nil"/>
              <w:tr2bl w:val="nil"/>
            </w:tcBorders>
            <w:tcMar>
              <w:top w:w="0" w:type="dxa"/>
              <w:left w:w="0" w:type="dxa"/>
              <w:bottom w:w="0" w:type="dxa"/>
              <w:right w:w="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bl>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2.2. Financovanie návrhu</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Tabuľka č. 2</w:t>
      </w:r>
    </w:p>
    <w:tbl>
      <w:tblPr>
        <w:tblW w:w="9495" w:type="dxa"/>
        <w:tblCellMar>
          <w:left w:w="0" w:type="dxa"/>
          <w:right w:w="0" w:type="dxa"/>
        </w:tblCellMar>
      </w:tblPr>
      <w:tblGrid>
        <w:gridCol w:w="4036"/>
        <w:gridCol w:w="1070"/>
        <w:gridCol w:w="1070"/>
        <w:gridCol w:w="1071"/>
        <w:gridCol w:w="1194"/>
        <w:gridCol w:w="1054"/>
      </w:tblGrid>
      <w:tr>
        <w:tblPrEx>
          <w:tblW w:w="9495" w:type="dxa"/>
          <w:tblCellMar>
            <w:left w:w="0" w:type="dxa"/>
            <w:right w:w="0" w:type="dxa"/>
          </w:tblCellMar>
        </w:tblPrEx>
        <w:trPr>
          <w:trHeight w:val="70"/>
        </w:trPr>
        <w:tc>
          <w:tcPr>
            <w:tcW w:w="4253" w:type="dxa"/>
            <w:vMerge w:val="restart"/>
            <w:tcBorders>
              <w:top w:val="single" w:sz="8" w:space="0" w:color="000000"/>
              <w:left w:val="single" w:sz="8" w:space="0" w:color="000000"/>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Financovanie</w:t>
            </w:r>
          </w:p>
        </w:tc>
        <w:tc>
          <w:tcPr>
            <w:tcW w:w="4111" w:type="dxa"/>
            <w:gridSpan w:val="4"/>
            <w:tcBorders>
              <w:top w:val="single" w:sz="8" w:space="0" w:color="000000"/>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 xml:space="preserve">Vplyv na rozpočet verejnej správy </w:t>
            </w:r>
            <w:r>
              <w:rPr>
                <w:rStyle w:val="DefaultParagraphFont"/>
                <w:rFonts w:ascii="Times New Roman" w:hAnsi="Times New Roman"/>
                <w:b/>
                <w:color w:val="000000"/>
                <w:sz w:val="24"/>
                <w:szCs w:val="24"/>
              </w:rPr>
              <w:t>(v eurách)</w:t>
            </w:r>
          </w:p>
        </w:tc>
        <w:tc>
          <w:tcPr>
            <w:tcW w:w="1134" w:type="dxa"/>
            <w:tcBorders>
              <w:top w:val="single" w:sz="8" w:space="0" w:color="000000"/>
              <w:left w:val="nil"/>
              <w:bottom w:val="single" w:sz="8" w:space="0" w:color="000000"/>
              <w:right w:val="single" w:sz="8" w:space="0" w:color="000000"/>
              <w:tl2br w:val="nil"/>
              <w:tr2bl w:val="nil"/>
            </w:tcBorders>
            <w:shd w:val="solid" w:color="00000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495" w:type="dxa"/>
          <w:tblInd w:w="-60" w:type="dxa"/>
          <w:tblCellMar>
            <w:left w:w="0" w:type="dxa"/>
            <w:right w:w="0" w:type="dxa"/>
          </w:tblCellMar>
        </w:tblPrEx>
        <w:trPr>
          <w:trHeight w:val="70"/>
        </w:trPr>
        <w:tc>
          <w:tcPr>
            <w:tcW w:w="0" w:type="auto"/>
            <w:vMerge/>
            <w:tcBorders>
              <w:top w:val="single" w:sz="8" w:space="0" w:color="000000"/>
              <w:left w:val="single" w:sz="8" w:space="0" w:color="000000"/>
              <w:bottom w:val="single" w:sz="8" w:space="0" w:color="000000"/>
              <w:right w:val="single" w:sz="8" w:space="0" w:color="000000"/>
              <w:tl2br w:val="nil"/>
              <w:tr2bl w:val="nil"/>
            </w:tcBorders>
            <w:vAlign w:val="center"/>
          </w:tcPr>
          <w:p w:rsidR="00593F1E">
            <w:pPr>
              <w:spacing w:after="0" w:afterAutospacing="0"/>
              <w:jc w:val="center"/>
              <w:rPr>
                <w:rStyle w:val="DefaultParagraphFont"/>
                <w:rFonts w:ascii="Times New Roman" w:hAnsi="Times New Roman"/>
                <w:color w:val="000000"/>
                <w:sz w:val="24"/>
                <w:szCs w:val="24"/>
              </w:rPr>
            </w:pPr>
          </w:p>
        </w:tc>
        <w:tc>
          <w:tcPr>
            <w:tcW w:w="992"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2015</w:t>
            </w:r>
          </w:p>
        </w:tc>
        <w:tc>
          <w:tcPr>
            <w:tcW w:w="992"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2016</w:t>
            </w:r>
          </w:p>
        </w:tc>
        <w:tc>
          <w:tcPr>
            <w:tcW w:w="993"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2017</w:t>
            </w:r>
          </w:p>
        </w:tc>
        <w:tc>
          <w:tcPr>
            <w:tcW w:w="1134" w:type="dxa"/>
            <w:tcBorders>
              <w:top w:val="nil"/>
              <w:left w:val="nil"/>
              <w:bottom w:val="single" w:sz="8" w:space="0" w:color="000000"/>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2018</w:t>
            </w:r>
          </w:p>
        </w:tc>
        <w:tc>
          <w:tcPr>
            <w:tcW w:w="1134" w:type="dxa"/>
            <w:tcBorders>
              <w:top w:val="nil"/>
              <w:left w:val="nil"/>
              <w:bottom w:val="single" w:sz="8" w:space="0" w:color="000000"/>
              <w:right w:val="single" w:sz="8" w:space="0" w:color="000000"/>
              <w:tl2br w:val="nil"/>
              <w:tr2bl w:val="nil"/>
            </w:tcBorders>
            <w:shd w:val="solid" w:color="000000" w:fill="auto"/>
            <w:tcMar>
              <w:top w:w="0" w:type="dxa"/>
              <w:left w:w="0" w:type="dxa"/>
              <w:bottom w:w="0" w:type="dxa"/>
              <w:right w:w="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2019</w:t>
            </w:r>
          </w:p>
        </w:tc>
      </w:tr>
      <w:tr>
        <w:tblPrEx>
          <w:tblW w:w="9495" w:type="dxa"/>
          <w:tblCellMar>
            <w:left w:w="0" w:type="dxa"/>
            <w:right w:w="0" w:type="dxa"/>
          </w:tblCellMar>
        </w:tblPrEx>
        <w:trPr>
          <w:trHeight w:val="70"/>
        </w:trPr>
        <w:tc>
          <w:tcPr>
            <w:tcW w:w="4253"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Celkový vplyv na rozpočet verejnej správy ( - príjmy, výdavky)</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1,35</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1,40</w:t>
            </w:r>
          </w:p>
        </w:tc>
        <w:tc>
          <w:tcPr>
            <w:tcW w:w="99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1,45</w:t>
            </w:r>
          </w:p>
        </w:tc>
        <w:tc>
          <w:tcPr>
            <w:tcW w:w="113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1,50</w:t>
            </w:r>
          </w:p>
        </w:tc>
        <w:tc>
          <w:tcPr>
            <w:tcW w:w="1134"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1,55</w:t>
            </w:r>
          </w:p>
        </w:tc>
      </w:tr>
      <w:tr>
        <w:tblPrEx>
          <w:tblW w:w="9495" w:type="dxa"/>
          <w:tblCellMar>
            <w:left w:w="0" w:type="dxa"/>
            <w:right w:w="0" w:type="dxa"/>
          </w:tblCellMar>
        </w:tblPrEx>
        <w:trPr>
          <w:trHeight w:val="70"/>
        </w:trPr>
        <w:tc>
          <w:tcPr>
            <w:tcW w:w="4253"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z toho vplyv na ŠR</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1,35</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1,40</w:t>
            </w:r>
          </w:p>
        </w:tc>
        <w:tc>
          <w:tcPr>
            <w:tcW w:w="99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1,45</w:t>
            </w:r>
          </w:p>
        </w:tc>
        <w:tc>
          <w:tcPr>
            <w:tcW w:w="113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1,50</w:t>
            </w:r>
          </w:p>
        </w:tc>
        <w:tc>
          <w:tcPr>
            <w:tcW w:w="1134"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1,55</w:t>
            </w:r>
          </w:p>
        </w:tc>
      </w:tr>
      <w:tr>
        <w:tblPrEx>
          <w:tblW w:w="9495" w:type="dxa"/>
          <w:tblCellMar>
            <w:left w:w="0" w:type="dxa"/>
            <w:right w:w="0" w:type="dxa"/>
          </w:tblCellMar>
        </w:tblPrEx>
        <w:trPr>
          <w:trHeight w:val="151"/>
        </w:trPr>
        <w:tc>
          <w:tcPr>
            <w:tcW w:w="4253"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financovanie zabezpečené v rozpočte</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1,35</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1,40</w:t>
            </w:r>
          </w:p>
        </w:tc>
        <w:tc>
          <w:tcPr>
            <w:tcW w:w="99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1,45</w:t>
            </w:r>
          </w:p>
        </w:tc>
        <w:tc>
          <w:tcPr>
            <w:tcW w:w="113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1,50</w:t>
            </w:r>
          </w:p>
        </w:tc>
        <w:tc>
          <w:tcPr>
            <w:tcW w:w="1134"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1,55</w:t>
            </w:r>
          </w:p>
        </w:tc>
      </w:tr>
      <w:tr>
        <w:tblPrEx>
          <w:tblW w:w="9495" w:type="dxa"/>
          <w:tblCellMar>
            <w:left w:w="0" w:type="dxa"/>
            <w:right w:w="0" w:type="dxa"/>
          </w:tblCellMar>
        </w:tblPrEx>
        <w:trPr>
          <w:trHeight w:val="135"/>
        </w:trPr>
        <w:tc>
          <w:tcPr>
            <w:tcW w:w="4253"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ostatné zdroje financovania</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113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c>
          <w:tcPr>
            <w:tcW w:w="1134"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0</w:t>
            </w:r>
          </w:p>
        </w:tc>
      </w:tr>
      <w:tr>
        <w:tblPrEx>
          <w:tblW w:w="9495" w:type="dxa"/>
          <w:tblCellMar>
            <w:left w:w="0" w:type="dxa"/>
            <w:right w:w="0" w:type="dxa"/>
          </w:tblCellMar>
        </w:tblPrEx>
        <w:trPr>
          <w:trHeight w:val="70"/>
        </w:trPr>
        <w:tc>
          <w:tcPr>
            <w:tcW w:w="4253" w:type="dxa"/>
            <w:tcBorders>
              <w:top w:val="nil"/>
              <w:left w:val="single" w:sz="8" w:space="0" w:color="000000"/>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Rozpočtovo nekrytý vplyv / úspora</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2"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993"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1134" w:type="dxa"/>
            <w:tcBorders>
              <w:top w:val="nil"/>
              <w:left w:val="nil"/>
              <w:bottom w:val="single" w:sz="8" w:space="0" w:color="000000"/>
              <w:right w:val="single" w:sz="8" w:space="0" w:color="000000"/>
              <w:tl2br w:val="nil"/>
              <w:tr2bl w:val="nil"/>
            </w:tcBorders>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c>
          <w:tcPr>
            <w:tcW w:w="1134" w:type="dxa"/>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0</w:t>
            </w:r>
          </w:p>
        </w:tc>
      </w:tr>
      <w:tr>
        <w:tblPrEx>
          <w:tblW w:w="9495" w:type="dxa"/>
          <w:tblInd w:w="-70" w:type="dxa"/>
          <w:tblCellMar>
            <w:left w:w="0" w:type="dxa"/>
            <w:right w:w="0" w:type="dxa"/>
          </w:tblCellMar>
        </w:tblPrEx>
        <w:trPr>
          <w:trHeight w:hRule="auto" w:val="0"/>
        </w:trPr>
        <w:tc>
          <w:tcPr>
            <w:tcW w:w="4253"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2"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993"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1134" w:type="dxa"/>
            <w:tcBorders>
              <w:top w:val="nil"/>
              <w:left w:val="nil"/>
              <w:bottom w:val="nil"/>
              <w:right w:val="nil"/>
              <w:tl2br w:val="nil"/>
              <w:tr2bl w:val="nil"/>
            </w:tcBorders>
            <w:tcMar>
              <w:top w:w="0" w:type="dxa"/>
              <w:left w:w="0" w:type="dxa"/>
              <w:bottom w:w="0" w:type="dxa"/>
              <w:right w:w="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1134" w:type="dxa"/>
            <w:tcBorders>
              <w:top w:val="nil"/>
              <w:left w:val="nil"/>
              <w:bottom w:val="nil"/>
              <w:right w:val="nil"/>
              <w:tl2br w:val="nil"/>
              <w:tr2bl w:val="nil"/>
            </w:tcBorders>
            <w:tcMar>
              <w:top w:w="0" w:type="dxa"/>
              <w:left w:w="0" w:type="dxa"/>
              <w:bottom w:w="0" w:type="dxa"/>
              <w:right w:w="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bl>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Poznámka:</w:t>
      </w:r>
      <w:r>
        <w:rPr>
          <w:rStyle w:val="DefaultParagraphFont"/>
          <w:rFonts w:ascii="Times New Roman" w:hAnsi="Times New Roman"/>
          <w:color w:val="000000"/>
          <w:sz w:val="24"/>
          <w:szCs w:val="24"/>
        </w:rPr>
        <w:t xml:space="preserve">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Okrem priamej návratnosti finančných prostriedkov, má spolupráca s ESA nezanedbateľný vplyv na </w:t>
      </w:r>
      <w:r>
        <w:rPr>
          <w:rStyle w:val="DefaultParagraphFont"/>
          <w:rFonts w:ascii="Times New Roman" w:hAnsi="Times New Roman"/>
          <w:b/>
          <w:color w:val="000000"/>
          <w:sz w:val="24"/>
          <w:szCs w:val="24"/>
        </w:rPr>
        <w:t>nepriamu návratnosť investovaných financií</w:t>
      </w:r>
      <w:r>
        <w:rPr>
          <w:rStyle w:val="DefaultParagraphFont"/>
          <w:rFonts w:ascii="Times New Roman" w:hAnsi="Times New Roman"/>
          <w:color w:val="000000"/>
          <w:sz w:val="24"/>
          <w:szCs w:val="24"/>
        </w:rPr>
        <w:t>. Podľa viacerých zahraničných štúdií</w:t>
      </w:r>
      <w:bookmarkStart w:id="1" w:name="_ftnref1"/>
      <w:r>
        <w:rPr>
          <w:rStyle w:val="DefaultParagraphFont"/>
          <w:rFonts w:ascii="Times New Roman" w:hAnsi="Times New Roman"/>
          <w:color w:val="000000"/>
          <w:sz w:val="24"/>
          <w:szCs w:val="24"/>
        </w:rPr>
        <w:t xml:space="preserve"> (viz napr. vyhodnotenie dánskej štúdie </w:t>
      </w:r>
      <w:r>
        <w:rPr>
          <w:rStyle w:val="DefaultParagraphFont"/>
          <w:rFonts w:ascii="Times New Roman" w:hAnsi="Times New Roman"/>
          <w:i/>
          <w:color w:val="000000"/>
          <w:sz w:val="24"/>
          <w:szCs w:val="24"/>
        </w:rPr>
        <w:t>Evaluation of Danish Industrial Activities in the European Space Agency, Danish Agency for Science, Technology and Innovation</w:t>
      </w:r>
      <w:r>
        <w:rPr>
          <w:rStyle w:val="DefaultParagraphFont"/>
          <w:rFonts w:ascii="Times New Roman" w:hAnsi="Times New Roman"/>
          <w:color w:val="000000"/>
          <w:sz w:val="24"/>
          <w:szCs w:val="24"/>
        </w:rPr>
        <w:t>, Marec 2008)</w:t>
      </w:r>
      <w:bookmarkEnd w:id="1"/>
      <w:r>
        <w:rPr>
          <w:rStyle w:val="DefaultParagraphFont"/>
          <w:rFonts w:ascii="Times New Roman" w:hAnsi="Times New Roman"/>
          <w:color w:val="000000"/>
          <w:sz w:val="24"/>
          <w:szCs w:val="24"/>
        </w:rPr>
        <w:t xml:space="preserve"> </w:t>
      </w:r>
      <w:r>
        <w:rPr>
          <w:rStyle w:val="DefaultParagraphFont"/>
          <w:rFonts w:ascii="Times New Roman" w:hAnsi="Times New Roman"/>
          <w:b/>
          <w:color w:val="000000"/>
          <w:sz w:val="24"/>
          <w:szCs w:val="24"/>
        </w:rPr>
        <w:t>investície štátu do rozpočtu ESA v strednodobom horizonte generujú štvor- až päťnásobný obrat technologických firiem zapojených do spolupráce s ESA</w:t>
      </w:r>
      <w:r>
        <w:rPr>
          <w:rStyle w:val="DefaultParagraphFont"/>
          <w:rFonts w:ascii="Times New Roman" w:hAnsi="Times New Roman"/>
          <w:color w:val="000000"/>
          <w:sz w:val="24"/>
          <w:szCs w:val="24"/>
        </w:rPr>
        <w:t xml:space="preserve">, čo má za následok posilňovanie </w:t>
      </w:r>
      <w:r>
        <w:rPr>
          <w:rStyle w:val="DefaultParagraphFont"/>
          <w:rFonts w:ascii="Times New Roman" w:hAnsi="Times New Roman"/>
          <w:b/>
          <w:color w:val="000000"/>
          <w:sz w:val="24"/>
          <w:szCs w:val="24"/>
        </w:rPr>
        <w:t>vedomostnej ekonomiky, zvýšenie hospodárskeho rastu a tvorbu pracovných miest v krajine.</w:t>
      </w:r>
      <w:r>
        <w:rPr>
          <w:rStyle w:val="DefaultParagraphFont"/>
          <w:rFonts w:cs="Calibri"/>
          <w:b/>
          <w:color w:val="000000"/>
          <w:sz w:val="28"/>
          <w:szCs w:val="24"/>
        </w:rPr>
        <w:br w:type="page"/>
      </w:r>
    </w:p>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8"/>
          <w:szCs w:val="24"/>
        </w:rPr>
        <w:t>Vplyvy na podnikateľské prostredie</w:t>
      </w:r>
    </w:p>
    <w:tbl>
      <w:tblPr>
        <w:tblW w:w="9195" w:type="dxa"/>
        <w:tblCellMar>
          <w:left w:w="0" w:type="dxa"/>
          <w:right w:w="0" w:type="dxa"/>
        </w:tblCellMar>
      </w:tblPr>
      <w:tblGrid>
        <w:gridCol w:w="4179"/>
        <w:gridCol w:w="5016"/>
      </w:tblGrid>
      <w:tr>
        <w:tblPrEx>
          <w:tblW w:w="9195" w:type="dxa"/>
          <w:tblCellMar>
            <w:left w:w="0" w:type="dxa"/>
            <w:right w:w="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l2br w:val="nil"/>
              <w:tr2bl w:val="nil"/>
            </w:tcBorders>
            <w:shd w:val="solid" w:color="000000" w:fill="auto"/>
            <w:tcMar>
              <w:top w:w="0" w:type="dxa"/>
              <w:left w:w="70" w:type="dxa"/>
              <w:bottom w:w="0"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Vplyvy na podnikateľské prostredie</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3.1</w:t>
            </w:r>
            <w:r>
              <w:rPr>
                <w:rStyle w:val="DefaultParagraphFont"/>
                <w:rFonts w:ascii="Times New Roman" w:hAnsi="Times New Roman"/>
                <w:color w:val="000000"/>
                <w:sz w:val="24"/>
                <w:szCs w:val="24"/>
              </w:rPr>
              <w:t>. Ktoré podnikateľské subjekty budú predkladaným návrhom ovplyvnené a aký je ich počet?</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50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Predpokladá sa vplyv predovšetkým na výskumno-vývojové podniky, ako aj na malé a stredné inovačné firmy.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Viaceré výskumno-vývojové organizácie v SR majú priame a dlhoročné skúsenosti s implementáciou projektov ESA cez partnerov v členských krajinách ESA.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Na základe výsledkov dvoch kôl hodnotenia slovenského potenciálu pre projekty ESA vo forme online dotazníkov je </w:t>
            </w:r>
            <w:r>
              <w:rPr>
                <w:rStyle w:val="DefaultParagraphFont"/>
                <w:rFonts w:ascii="Times New Roman" w:hAnsi="Times New Roman"/>
                <w:color w:val="000000"/>
                <w:sz w:val="24"/>
                <w:szCs w:val="24"/>
              </w:rPr>
              <w:t>predpokladaný počet podnikov a výskumných inštitúcií v SR s potenciálom účasti na programoch ESA cca. 45.</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3.2</w:t>
            </w:r>
            <w:r>
              <w:rPr>
                <w:rStyle w:val="DefaultParagraphFont"/>
                <w:rFonts w:ascii="Times New Roman" w:hAnsi="Times New Roman"/>
                <w:color w:val="000000"/>
                <w:sz w:val="24"/>
                <w:szCs w:val="24"/>
              </w:rPr>
              <w:t>. Aký je predpokladaný charakter a rozsah nákladov a prínosov?</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50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Návrh nepredpokladá nárast nákladov pre podnikateľské prostredie. Prínosy opatrenia predstavujú predovšetkým nové možnosti uplatnenia na trhu pre slovenské podniky, rozvoj medzinárodnej spolupráce formou priemyselných konzorcií, zapojenie sa do dodávateľských reťazcov nadnárodných korporácií a pod.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Okrem priamej návratnosti finančných prostriedkov, má spolupráca s ESA vplyv na nepriamu návratnosť investovaného príspevku. Investície štátu do rozpočtu ESA v strednodobom horizonte zvyšujú obrat technologických firiem zapojených do spolupráce s ESA, čo má za následok posilňovanie vedomostnej ekonomiky, zvýšenie hospodárskeho rastu a tvorbu vysoko kvalifikovaných pracovných miest v krajine.</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3.3</w:t>
            </w:r>
            <w:r>
              <w:rPr>
                <w:rStyle w:val="DefaultParagraphFont"/>
                <w:rFonts w:ascii="Times New Roman" w:hAnsi="Times New Roman"/>
                <w:color w:val="000000"/>
                <w:sz w:val="24"/>
                <w:szCs w:val="24"/>
              </w:rPr>
              <w:t>. Aká je predpokladaná výška administratívnych nákladov, ktoré podniky vynaložia v súvislosti s implementáciou návrhu?</w:t>
            </w:r>
          </w:p>
          <w:p w:rsidR="00593F1E">
            <w:pPr>
              <w:spacing w:after="0" w:afterAutospacing="0"/>
              <w:ind w:left="360" w:hanging="3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50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Návrh nezakladá podnikateľskému prostrediu žiadne priame finančné náklady.</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3.4</w:t>
            </w:r>
            <w:r>
              <w:rPr>
                <w:rStyle w:val="DefaultParagraphFont"/>
                <w:rFonts w:ascii="Times New Roman" w:hAnsi="Times New Roman"/>
                <w:color w:val="000000"/>
                <w:sz w:val="24"/>
                <w:szCs w:val="24"/>
              </w:rPr>
              <w:t>. Aké sú dôsledky pripravovaného návrhu pre fungovanie podnikateľských subjektov na slovenskom trhu (ako sa zmenia operácie na trhu?)</w:t>
            </w:r>
          </w:p>
          <w:p w:rsidR="00593F1E">
            <w:pPr>
              <w:spacing w:after="0" w:afterAutospacing="0"/>
              <w:ind w:left="3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50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Nepredpokladajú sa zmeny operácií na trhu sa vplyvom pripravovaného návrhu.</w:t>
            </w:r>
          </w:p>
        </w:tc>
      </w:tr>
      <w:tr>
        <w:tblPrEx>
          <w:tblW w:w="9195" w:type="dxa"/>
          <w:tblCellMar>
            <w:left w:w="0" w:type="dxa"/>
            <w:right w:w="0" w:type="dxa"/>
          </w:tblCellMar>
        </w:tblPrEx>
        <w:trPr>
          <w:trHeight w:val="600"/>
        </w:trPr>
        <w:tc>
          <w:tcPr>
            <w:tcW w:w="415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3.5</w:t>
            </w:r>
            <w:r>
              <w:rPr>
                <w:rStyle w:val="DefaultParagraphFont"/>
                <w:rFonts w:ascii="Times New Roman" w:hAnsi="Times New Roman"/>
                <w:color w:val="000000"/>
                <w:sz w:val="24"/>
                <w:szCs w:val="24"/>
              </w:rPr>
              <w:t>. Aké sú predpokladané spoločensko – ekonomické dôsledky pripravovaných regulácií?</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50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Vplyv na podnikateľské prostredie z hľadiska spoločensko-ekonomických dôsledkov bude </w:t>
            </w:r>
            <w:r>
              <w:rPr>
                <w:rStyle w:val="DefaultParagraphFont"/>
                <w:rFonts w:ascii="Times New Roman" w:hAnsi="Times New Roman"/>
                <w:color w:val="000000"/>
                <w:sz w:val="24"/>
                <w:szCs w:val="24"/>
              </w:rPr>
              <w:t>vysoko pozitívny</w:t>
            </w:r>
            <w:r>
              <w:rPr>
                <w:rStyle w:val="DefaultParagraphFont"/>
                <w:rFonts w:ascii="Times New Roman" w:hAnsi="Times New Roman"/>
                <w:color w:val="000000"/>
                <w:sz w:val="24"/>
                <w:szCs w:val="24"/>
              </w:rPr>
              <w:t xml:space="preserve">, nakoľko prístup k výsledkom vesmírneho výskumu umožní podnikateľom na Slovensku využiť ich pre rozvoj svojich nových alebo inovovaných tovarov, výroby alebo služieb.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bl>
    <w:p w:rsidR="00593F1E">
      <w:pPr>
        <w:rPr>
          <w:rStyle w:val="DefaultParagraphFont"/>
          <w:rFonts w:ascii="Times New Roman" w:hAnsi="Times New Roman"/>
          <w:color w:val="000000"/>
          <w:sz w:val="24"/>
          <w:szCs w:val="24"/>
        </w:rPr>
      </w:pPr>
      <w:r>
        <w:rPr>
          <w:rStyle w:val="DefaultParagraphFont"/>
          <w:rFonts w:cs="Calibri"/>
          <w:b/>
          <w:color w:val="000000"/>
          <w:sz w:val="28"/>
          <w:szCs w:val="24"/>
        </w:rPr>
        <w:br w:type="page"/>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8"/>
          <w:szCs w:val="24"/>
        </w:rPr>
        <w:t>Sociálne vplyvy -</w:t>
      </w:r>
      <w:r>
        <w:rPr>
          <w:rStyle w:val="DefaultParagraphFont"/>
          <w:rFonts w:ascii="Times New Roman" w:hAnsi="Times New Roman"/>
          <w:b/>
          <w:color w:val="000000"/>
          <w:sz w:val="28"/>
          <w:szCs w:val="24"/>
        </w:rPr>
        <w:t xml:space="preserve">  </w:t>
      </w:r>
      <w:r>
        <w:rPr>
          <w:rStyle w:val="DefaultParagraphFont"/>
          <w:rFonts w:ascii="Times New Roman" w:hAnsi="Times New Roman"/>
          <w:b/>
          <w:color w:val="000000"/>
          <w:sz w:val="28"/>
          <w:szCs w:val="24"/>
        </w:rPr>
        <w:t>vplyvy na hospodárenie obyvateľstva, sociálnu exklúziu, rovnosť príležitostí a rodovú rovnosť</w:t>
      </w:r>
      <w:r>
        <w:rPr>
          <w:rStyle w:val="DefaultParagraphFont"/>
          <w:rFonts w:ascii="Times New Roman" w:hAnsi="Times New Roman"/>
          <w:b/>
          <w:color w:val="000000"/>
          <w:sz w:val="28"/>
          <w:szCs w:val="24"/>
        </w:rPr>
        <w:t xml:space="preserve">  </w:t>
      </w:r>
      <w:r>
        <w:rPr>
          <w:rStyle w:val="DefaultParagraphFont"/>
          <w:rFonts w:ascii="Times New Roman" w:hAnsi="Times New Roman"/>
          <w:b/>
          <w:color w:val="000000"/>
          <w:sz w:val="28"/>
          <w:szCs w:val="24"/>
        </w:rPr>
        <w:t>a na zamestnanosť</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bl>
      <w:tblPr>
        <w:tblW w:w="9015" w:type="dxa"/>
        <w:tblCellMar>
          <w:left w:w="0" w:type="dxa"/>
          <w:right w:w="0" w:type="dxa"/>
        </w:tblCellMar>
      </w:tblPr>
      <w:tblGrid>
        <w:gridCol w:w="4874"/>
        <w:gridCol w:w="4141"/>
      </w:tblGrid>
      <w:tr>
        <w:tblPrEx>
          <w:tblW w:w="9015" w:type="dxa"/>
          <w:tblCellMar>
            <w:left w:w="0" w:type="dxa"/>
            <w:right w:w="0" w:type="dxa"/>
          </w:tblCellMar>
        </w:tblPrEx>
        <w:trPr>
          <w:trHeight w:val="660"/>
        </w:trPr>
        <w:tc>
          <w:tcPr>
            <w:tcW w:w="9015" w:type="dxa"/>
            <w:gridSpan w:val="2"/>
            <w:tcBorders>
              <w:top w:val="single" w:sz="8" w:space="0" w:color="auto"/>
              <w:left w:val="single" w:sz="8" w:space="0" w:color="auto"/>
              <w:bottom w:val="single" w:sz="8" w:space="0" w:color="auto"/>
              <w:right w:val="single" w:sz="8" w:space="0" w:color="000000"/>
              <w:tl2br w:val="nil"/>
              <w:tr2bl w:val="nil"/>
            </w:tcBorders>
            <w:shd w:val="solid" w:color="0C0C0C" w:fill="auto"/>
            <w:tcMar>
              <w:top w:w="0" w:type="dxa"/>
              <w:left w:w="70" w:type="dxa"/>
              <w:bottom w:w="0" w:type="dxa"/>
              <w:right w:w="7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Sociálne vplyvy predkladaného materiálu -</w:t>
            </w:r>
            <w:r>
              <w:rPr>
                <w:rStyle w:val="DefaultParagraphFont"/>
                <w:rFonts w:ascii="Times New Roman" w:hAnsi="Times New Roman"/>
                <w:b/>
                <w:color w:val="FFFFFF"/>
                <w:sz w:val="24"/>
                <w:szCs w:val="24"/>
              </w:rPr>
              <w:t xml:space="preserve">  </w:t>
            </w:r>
            <w:r>
              <w:rPr>
                <w:rStyle w:val="DefaultParagraphFont"/>
                <w:rFonts w:ascii="Times New Roman" w:hAnsi="Times New Roman"/>
                <w:b/>
                <w:color w:val="FFFFFF"/>
                <w:sz w:val="24"/>
                <w:szCs w:val="24"/>
              </w:rPr>
              <w:t>vplyvy na hospodárenie obyvateľstva, sociálnu exklúziu, rovnosť príležitostí a rodovú rovnosť a vplyvy na zamestnanosť</w:t>
            </w:r>
          </w:p>
        </w:tc>
      </w:tr>
      <w:tr>
        <w:tblPrEx>
          <w:tblW w:w="9015" w:type="dxa"/>
          <w:tblCellMar>
            <w:left w:w="0" w:type="dxa"/>
            <w:right w:w="0" w:type="dxa"/>
          </w:tblCellMar>
        </w:tblPrEx>
        <w:trPr>
          <w:trHeight w:val="1530"/>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4.1.</w:t>
            </w:r>
            <w:r>
              <w:rPr>
                <w:rStyle w:val="DefaultParagraphFont"/>
                <w:rFonts w:ascii="Times New Roman" w:hAnsi="Times New Roman"/>
                <w:color w:val="000000"/>
                <w:sz w:val="24"/>
                <w:szCs w:val="24"/>
              </w:rPr>
              <w:t xml:space="preserve"> Identifikujte vplyv na hospodárenie</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 domácností a špecifikujte ovplyvnené skupiny domácností, ktoré budú pozitívne/negatívne ovplyvnené.</w:t>
            </w:r>
            <w:r>
              <w:rPr>
                <w:rStyle w:val="DefaultParagraphFont"/>
                <w:rFonts w:ascii="Times New Roman" w:hAnsi="Times New Roman"/>
                <w:color w:val="000000"/>
                <w:sz w:val="24"/>
                <w:szCs w:val="24"/>
              </w:rPr>
              <w:t xml:space="preserve">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Žiadne vplyvy.</w:t>
            </w:r>
          </w:p>
        </w:tc>
      </w:tr>
      <w:tr>
        <w:tblPrEx>
          <w:tblW w:w="9015" w:type="dxa"/>
          <w:tblCellMar>
            <w:left w:w="0" w:type="dxa"/>
            <w:right w:w="0" w:type="dxa"/>
          </w:tblCellMar>
        </w:tblPrEx>
        <w:trPr>
          <w:trHeight w:val="528"/>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after="0" w:afterAutospacing="0"/>
              <w:ind w:firstLine="44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Kvantifikujte: </w:t>
            </w:r>
          </w:p>
        </w:tc>
        <w:tc>
          <w:tcPr>
            <w:tcW w:w="4140" w:type="dxa"/>
            <w:vMerge w:val="restart"/>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Žiadne vplyvy.</w:t>
            </w:r>
          </w:p>
        </w:tc>
      </w:tr>
      <w:tr>
        <w:tblPrEx>
          <w:tblW w:w="9015" w:type="dxa"/>
          <w:tblCellMar>
            <w:left w:w="0" w:type="dxa"/>
            <w:right w:w="0" w:type="dxa"/>
          </w:tblCellMar>
        </w:tblPrEx>
        <w:trPr>
          <w:trHeight w:val="549"/>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after="0" w:afterAutospacing="0"/>
              <w:ind w:firstLine="6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Rast alebo pokles príjmov/výdavkov</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na priemerného obyvateľa</w:t>
            </w:r>
          </w:p>
        </w:tc>
        <w:tc>
          <w:tcPr>
            <w:tcW w:w="0" w:type="auto"/>
            <w:vMerge/>
            <w:tcBorders>
              <w:top w:val="nil"/>
              <w:left w:val="nil"/>
              <w:bottom w:val="single" w:sz="8" w:space="0" w:color="auto"/>
              <w:right w:val="single" w:sz="8" w:space="0" w:color="auto"/>
              <w:tl2br w:val="nil"/>
              <w:tr2bl w:val="nil"/>
            </w:tcBorders>
            <w:vAlign w:val="center"/>
          </w:tcPr>
          <w:p w:rsidR="00593F1E">
            <w:pPr>
              <w:spacing w:after="0" w:afterAutospacing="0"/>
              <w:ind w:firstLine="66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870"/>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after="280" w:afterAutospacing="1"/>
              <w:ind w:firstLine="6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Rast alebo pokles príjmov/výdavkov</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za jednotlivé ovplyvnené</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skupiny domácností</w:t>
            </w:r>
          </w:p>
          <w:p w:rsidR="00593F1E">
            <w:pPr>
              <w:spacing w:after="0" w:afterAutospacing="0"/>
              <w:ind w:firstLine="6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Celkový počet obyvateľstva/domácností ovplyvnených predkladaným materiálom</w:t>
            </w:r>
          </w:p>
        </w:tc>
        <w:tc>
          <w:tcPr>
            <w:tcW w:w="0" w:type="auto"/>
            <w:vMerge/>
            <w:tcBorders>
              <w:top w:val="nil"/>
              <w:left w:val="nil"/>
              <w:bottom w:val="single" w:sz="8" w:space="0" w:color="auto"/>
              <w:right w:val="single" w:sz="8" w:space="0" w:color="auto"/>
              <w:tl2br w:val="nil"/>
              <w:tr2bl w:val="nil"/>
            </w:tcBorders>
            <w:vAlign w:val="center"/>
          </w:tcPr>
          <w:p w:rsidR="00593F1E">
            <w:pPr>
              <w:spacing w:after="0" w:afterAutospacing="0"/>
              <w:ind w:firstLine="66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128"/>
        </w:trPr>
        <w:tc>
          <w:tcPr>
            <w:tcW w:w="4875" w:type="dxa"/>
            <w:tcBorders>
              <w:top w:val="nil"/>
              <w:left w:val="single" w:sz="8" w:space="0" w:color="auto"/>
              <w:bottom w:val="nil"/>
              <w:right w:val="single" w:sz="8" w:space="0" w:color="auto"/>
              <w:tl2br w:val="nil"/>
              <w:tr2bl w:val="nil"/>
            </w:tcBorders>
            <w:tcMar>
              <w:top w:w="0" w:type="dxa"/>
              <w:left w:w="70" w:type="dxa"/>
              <w:bottom w:w="0" w:type="dxa"/>
              <w:right w:w="70" w:type="dxa"/>
            </w:tcMar>
            <w:vAlign w:val="center"/>
          </w:tcPr>
          <w:p w:rsidR="00593F1E">
            <w:pPr>
              <w:spacing w:after="0" w:afterAutospacing="0"/>
              <w:ind w:firstLine="36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0" w:type="auto"/>
            <w:vMerge/>
            <w:tcBorders>
              <w:top w:val="nil"/>
              <w:left w:val="nil"/>
              <w:bottom w:val="single" w:sz="8" w:space="0" w:color="auto"/>
              <w:right w:val="single" w:sz="8" w:space="0" w:color="auto"/>
              <w:tl2br w:val="nil"/>
              <w:tr2bl w:val="nil"/>
            </w:tcBorders>
            <w:vAlign w:val="center"/>
          </w:tcPr>
          <w:p w:rsidR="00593F1E">
            <w:pPr>
              <w:spacing w:after="0" w:afterAutospacing="0"/>
              <w:ind w:firstLine="360"/>
              <w:jc w:val="both"/>
              <w:rPr>
                <w:rStyle w:val="DefaultParagraphFont"/>
                <w:rFonts w:ascii="Times New Roman" w:hAnsi="Times New Roman"/>
                <w:color w:val="000000"/>
                <w:sz w:val="24"/>
                <w:szCs w:val="24"/>
              </w:rPr>
            </w:pPr>
          </w:p>
        </w:tc>
      </w:tr>
      <w:tr>
        <w:tblPrEx>
          <w:tblW w:w="9015" w:type="dxa"/>
          <w:tblCellMar>
            <w:left w:w="0" w:type="dxa"/>
            <w:right w:w="0" w:type="dxa"/>
          </w:tblCellMar>
        </w:tblPrEx>
        <w:trPr>
          <w:trHeight w:val="1608"/>
        </w:trPr>
        <w:tc>
          <w:tcPr>
            <w:tcW w:w="4875" w:type="dxa"/>
            <w:tcBorders>
              <w:top w:val="single" w:sz="8" w:space="0" w:color="auto"/>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4.2.</w:t>
            </w:r>
            <w:r>
              <w:rPr>
                <w:rStyle w:val="DefaultParagraphFont"/>
                <w:rFonts w:ascii="Times New Roman" w:hAnsi="Times New Roman"/>
                <w:color w:val="000000"/>
                <w:sz w:val="24"/>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Žiadne vplyvy.</w:t>
            </w:r>
          </w:p>
        </w:tc>
      </w:tr>
      <w:tr>
        <w:tblPrEx>
          <w:tblW w:w="9015" w:type="dxa"/>
          <w:tblCellMar>
            <w:left w:w="0" w:type="dxa"/>
            <w:right w:w="0" w:type="dxa"/>
          </w:tblCellMar>
        </w:tblPrEx>
        <w:trPr>
          <w:trHeight w:val="660"/>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4.3.</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Zhodnoťte vplyv na rovnosť príležitostí:</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Zhodnoťte vplyv na rodovú rovnosť.</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Žiadne vplyvy.</w:t>
            </w:r>
          </w:p>
        </w:tc>
      </w:tr>
      <w:tr>
        <w:tblPrEx>
          <w:tblW w:w="9015" w:type="dxa"/>
          <w:tblCellMar>
            <w:left w:w="0" w:type="dxa"/>
            <w:right w:w="0" w:type="dxa"/>
          </w:tblCellMar>
        </w:tblPrEx>
        <w:trPr>
          <w:trHeight w:val="2252"/>
        </w:trPr>
        <w:tc>
          <w:tcPr>
            <w:tcW w:w="4875" w:type="dxa"/>
            <w:tcBorders>
              <w:top w:val="nil"/>
              <w:left w:val="single" w:sz="8" w:space="0" w:color="auto"/>
              <w:bottom w:val="single" w:sz="8" w:space="0" w:color="auto"/>
              <w:right w:val="single" w:sz="8" w:space="0" w:color="auto"/>
              <w:tl2br w:val="nil"/>
              <w:tr2bl w:val="nil"/>
            </w:tcBorders>
            <w:tcMar>
              <w:top w:w="0" w:type="dxa"/>
              <w:left w:w="70" w:type="dxa"/>
              <w:bottom w:w="0" w:type="dxa"/>
              <w:right w:w="70" w:type="dxa"/>
            </w:tcMar>
            <w:vAlign w:val="center"/>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4.4. </w:t>
            </w:r>
            <w:r>
              <w:rPr>
                <w:rStyle w:val="DefaultParagraphFont"/>
                <w:rFonts w:ascii="Times New Roman" w:hAnsi="Times New Roman"/>
                <w:color w:val="000000"/>
                <w:sz w:val="24"/>
                <w:szCs w:val="24"/>
              </w:rPr>
              <w:t>Zhodnoťte vplyvy na zamestnanosť.</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Aké sú</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vplyvy na zamestnanosť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Ktoré skupiny zamestnancov budú ohrozené schválením predkladaného materiálu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Hrozí v prípade schválenia predkladaného materiálu hromadné prepúšťanie ?</w:t>
            </w:r>
          </w:p>
        </w:tc>
        <w:tc>
          <w:tcPr>
            <w:tcW w:w="4140" w:type="dxa"/>
            <w:tcBorders>
              <w:top w:val="nil"/>
              <w:left w:val="nil"/>
              <w:bottom w:val="single" w:sz="8" w:space="0" w:color="auto"/>
              <w:right w:val="single" w:sz="8" w:space="0" w:color="auto"/>
              <w:tl2br w:val="nil"/>
              <w:tr2bl w:val="nil"/>
            </w:tcBorders>
            <w:tcMar>
              <w:top w:w="0" w:type="dxa"/>
              <w:left w:w="70" w:type="dxa"/>
              <w:bottom w:w="0"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Predkladaný materiál bude mať pozitívny vplyv na rast zamestnanosti.</w:t>
            </w:r>
            <w:r>
              <w:rPr>
                <w:rStyle w:val="DefaultParagraphFont"/>
                <w:rFonts w:ascii="Times New Roman" w:hAnsi="Times New Roman"/>
                <w:color w:val="000000"/>
                <w:sz w:val="24"/>
                <w:szCs w:val="24"/>
              </w:rPr>
              <w:t xml:space="preserve"> Účasť SR na spolupráci s ESA otvorí možnosti uplatnenia odborníkov zo Slovenska nielen v technicko-administratívnych štruktúrach samotnej ESA, ale získavať aj pozície v oblasti výskumu a vývoja v iných členských krajinách, s ktorými sa SR dostane do kontaktu počas spolupráce.</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Materiál neohrozuje žiadne skupiny zamestnancov, nehrozí ani hromadné prepúšťanie.</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Predpokladá sa pozitívny vplyv na rozvoj</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 xml:space="preserve">výskumno-vývojových podnikov, malých a stredných inovačných firiem. </w:t>
            </w:r>
            <w:r>
              <w:rPr>
                <w:rStyle w:val="DefaultParagraphFont"/>
                <w:rFonts w:ascii="Times New Roman" w:hAnsi="Times New Roman"/>
                <w:color w:val="000000"/>
                <w:sz w:val="24"/>
                <w:szCs w:val="24"/>
              </w:rPr>
              <w:t xml:space="preserve">Návrh nepredpokladá nárast nákladov pre podnikateľské prostredie. </w:t>
            </w:r>
            <w:r>
              <w:rPr>
                <w:rStyle w:val="DefaultParagraphFont"/>
                <w:rFonts w:ascii="Times New Roman" w:hAnsi="Times New Roman"/>
                <w:color w:val="000000"/>
                <w:sz w:val="24"/>
                <w:szCs w:val="24"/>
              </w:rPr>
              <w:t> </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Prínosy opatrenia predstavujú predovšetkým nové možnosti uplatnenia na trhu pre slovenské podniky, rozvoj medzinárodnej spolupráce formou priemyselných konzorcií, zapojenie sa do dodávateľských reťazcov nadnárodných korporácií a pod.</w:t>
            </w:r>
          </w:p>
        </w:tc>
      </w:tr>
    </w:tbl>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8"/>
          <w:szCs w:val="24"/>
        </w:rPr>
        <w:t>V</w:t>
      </w:r>
      <w:r>
        <w:rPr>
          <w:rStyle w:val="DefaultParagraphFont"/>
          <w:rFonts w:ascii="Times New Roman" w:hAnsi="Times New Roman"/>
          <w:b/>
          <w:color w:val="000000"/>
          <w:sz w:val="28"/>
          <w:szCs w:val="24"/>
        </w:rPr>
        <w:t>plyvy na životné prostredie</w:t>
      </w:r>
    </w:p>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bl>
      <w:tblPr>
        <w:tblW w:w="8835" w:type="dxa"/>
        <w:tblCellMar>
          <w:left w:w="0" w:type="dxa"/>
          <w:right w:w="0" w:type="dxa"/>
        </w:tblCellMar>
      </w:tblPr>
      <w:tblGrid>
        <w:gridCol w:w="4331"/>
        <w:gridCol w:w="4504"/>
      </w:tblGrid>
      <w:tr>
        <w:tblPrEx>
          <w:tblW w:w="8835" w:type="dxa"/>
          <w:tblCellMar>
            <w:left w:w="0" w:type="dxa"/>
            <w:right w:w="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l2br w:val="nil"/>
              <w:tr2bl w:val="nil"/>
            </w:tcBorders>
            <w:shd w:val="solid" w:color="000000" w:fill="auto"/>
            <w:tcMar>
              <w:top w:w="28" w:type="dxa"/>
              <w:left w:w="70" w:type="dxa"/>
              <w:bottom w:w="28" w:type="dxa"/>
              <w:right w:w="70" w:type="dxa"/>
            </w:tcMar>
            <w:vAlign w:val="center"/>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b/>
                <w:color w:val="FFFFFF"/>
                <w:sz w:val="24"/>
                <w:szCs w:val="24"/>
              </w:rPr>
              <w:t>Životné prostredie</w:t>
            </w:r>
          </w:p>
        </w:tc>
      </w:tr>
      <w:tr>
        <w:tblPrEx>
          <w:tblW w:w="8835" w:type="dxa"/>
          <w:tblCellMar>
            <w:left w:w="0" w:type="dxa"/>
            <w:right w:w="0" w:type="dxa"/>
          </w:tblCellMar>
        </w:tblPrEx>
        <w:trPr>
          <w:trHeight w:val="600"/>
        </w:trPr>
        <w:tc>
          <w:tcPr>
            <w:tcW w:w="43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5.1.</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Ktoré zložky životného prostredia (najmä ovzdušie, voda, horniny, pôda, organizmy) budú návrhom ovplyvnené a aký bude ich vplyv (pozitívny alebo negatívny)?</w:t>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450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Predpokladať možno pozitívny vplyv na všetky zložky životného prostredia. </w:t>
            </w:r>
            <w:r>
              <w:rPr>
                <w:rStyle w:val="DefaultParagraphFont"/>
                <w:rFonts w:ascii="Times New Roman" w:hAnsi="Times New Roman"/>
                <w:color w:val="000000"/>
                <w:sz w:val="24"/>
                <w:szCs w:val="24"/>
              </w:rPr>
              <w:t xml:space="preserve">Prístup ku výsledkom satelitného pozorovania Zeme zásadným spôsobom zlepší predikciu ochrany a tvorby  životného prostredia. Umožní sa tiež intenzívnejšie zapojenie SR do implementácie vlajkového programu EÚ pre monitorovanie životného prostredia s názvom Copernicus. Aktívnym a koordinovaným zapojením do služieb programu Copernicus má SR možnosť získavať kvalitné satelitné snímky a zabezpečiť kvalitnejšie hodnotenie stavu zložiek životného prostredia, bezpečnosti a reakcie na krízové situácie, ochranu životného prostredia, hodnotenie kvality ovzdušia, hodnotenie vplyvu klimatických zmien, kvality zdrojov pitných vôd, rozsahu škôd spôsobených kalamitami, sledovania kvality biotopov, sledovanie stavu rádioaktivity v prostredí a pod. </w:t>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8835" w:type="dxa"/>
          <w:tblCellMar>
            <w:left w:w="0" w:type="dxa"/>
            <w:right w:w="0" w:type="dxa"/>
          </w:tblCellMar>
        </w:tblPrEx>
        <w:trPr>
          <w:trHeight w:val="1020"/>
        </w:trPr>
        <w:tc>
          <w:tcPr>
            <w:tcW w:w="43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 xml:space="preserve">5.2. </w:t>
            </w:r>
            <w:r>
              <w:rPr>
                <w:rStyle w:val="DefaultParagraphFont"/>
                <w:rFonts w:ascii="Times New Roman" w:hAnsi="Times New Roman"/>
                <w:color w:val="000000"/>
                <w:sz w:val="24"/>
                <w:szCs w:val="24"/>
              </w:rPr>
              <w:t>Bude mať navrhovaný materiál vplyv na chránené územia a ak áno aký?</w:t>
            </w:r>
          </w:p>
        </w:tc>
        <w:tc>
          <w:tcPr>
            <w:tcW w:w="450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Predpokladá sa pozitívny vplyv.</w:t>
            </w:r>
          </w:p>
        </w:tc>
      </w:tr>
      <w:tr>
        <w:tblPrEx>
          <w:tblW w:w="8835" w:type="dxa"/>
          <w:tblCellMar>
            <w:left w:w="0" w:type="dxa"/>
            <w:right w:w="0" w:type="dxa"/>
          </w:tblCellMar>
        </w:tblPrEx>
        <w:trPr>
          <w:trHeight w:val="600"/>
        </w:trPr>
        <w:tc>
          <w:tcPr>
            <w:tcW w:w="4335" w:type="dxa"/>
            <w:tcBorders>
              <w:top w:val="nil"/>
              <w:left w:val="single" w:sz="8" w:space="0" w:color="auto"/>
              <w:bottom w:val="nil"/>
              <w:right w:val="single" w:sz="8" w:space="0" w:color="auto"/>
              <w:tl2br w:val="nil"/>
              <w:tr2bl w:val="nil"/>
            </w:tcBorders>
            <w:tcMar>
              <w:top w:w="28" w:type="dxa"/>
              <w:left w:w="70" w:type="dxa"/>
              <w:bottom w:w="28" w:type="dxa"/>
              <w:right w:w="70" w:type="dxa"/>
            </w:tcMar>
            <w:vAlign w:val="top"/>
          </w:tcPr>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5.3.</w:t>
            </w:r>
            <w:r>
              <w:rPr>
                <w:rStyle w:val="DefaultParagraphFont"/>
                <w:rFonts w:ascii="Times New Roman" w:hAnsi="Times New Roman"/>
                <w:color w:val="000000"/>
                <w:sz w:val="24"/>
                <w:szCs w:val="24"/>
              </w:rPr>
              <w:t xml:space="preserve"> Bude mať návrh vplyv na životné prostredie presahujúce štátne hranice?</w:t>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4500" w:type="dxa"/>
            <w:tcBorders>
              <w:top w:val="nil"/>
              <w:left w:val="nil"/>
              <w:bottom w:val="nil"/>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Nie.</w:t>
            </w:r>
          </w:p>
        </w:tc>
      </w:tr>
      <w:tr>
        <w:tblPrEx>
          <w:tblW w:w="8835" w:type="dxa"/>
          <w:tblCellMar>
            <w:left w:w="0" w:type="dxa"/>
            <w:right w:w="0" w:type="dxa"/>
          </w:tblCellMar>
        </w:tblPrEx>
        <w:trPr>
          <w:trHeight w:val="52"/>
        </w:trPr>
        <w:tc>
          <w:tcPr>
            <w:tcW w:w="43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c>
          <w:tcPr>
            <w:tcW w:w="450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bl>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jc w:val="center"/>
        <w:rPr>
          <w:rStyle w:val="DefaultParagraphFont"/>
          <w:rFonts w:ascii="Times New Roman" w:hAnsi="Times New Roman"/>
          <w:color w:val="000000"/>
          <w:sz w:val="24"/>
          <w:szCs w:val="24"/>
        </w:rPr>
      </w:pPr>
      <w:r>
        <w:rPr>
          <w:rStyle w:val="DefaultParagraphFont"/>
          <w:rFonts w:ascii="Times New Roman" w:hAnsi="Times New Roman"/>
          <w:b/>
          <w:color w:val="000000"/>
          <w:sz w:val="28"/>
          <w:szCs w:val="24"/>
        </w:rPr>
        <w:t>Vplyvy na informatizáciu spoločnosti</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26"/>
        <w:gridCol w:w="3759"/>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Budovanie základných pilierov informatizácie</w:t>
            </w:r>
          </w:p>
        </w:tc>
        <w:tc>
          <w:tcPr>
            <w:tcW w:w="3780" w:type="dxa"/>
            <w:tcBorders>
              <w:top w:val="single" w:sz="8" w:space="0" w:color="auto"/>
              <w:left w:val="nil"/>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C0C0C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Obsah</w:t>
            </w:r>
          </w:p>
        </w:tc>
        <w:tc>
          <w:tcPr>
            <w:tcW w:w="3780" w:type="dxa"/>
            <w:tcBorders>
              <w:top w:val="nil"/>
              <w:left w:val="nil"/>
              <w:bottom w:val="single" w:sz="8" w:space="0" w:color="auto"/>
              <w:right w:val="single" w:sz="8" w:space="0" w:color="auto"/>
              <w:tl2br w:val="nil"/>
              <w:tr2bl w:val="nil"/>
            </w:tcBorders>
            <w:shd w:val="solid" w:color="C0C0C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w:t>
            </w:r>
            <w:r>
              <w:rPr>
                <w:rStyle w:val="DefaultParagraphFont"/>
                <w:rFonts w:ascii="Times New Roman" w:hAnsi="Times New Roman"/>
                <w:color w:val="000000"/>
                <w:sz w:val="24"/>
                <w:szCs w:val="24"/>
              </w:rPr>
              <w:t xml:space="preserve"> Rozširujú alebo inovujú</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sa existujúce alebo vytvárajú sa či zavádzajú</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sa nové elektronické služby?</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(Popíšte ich funkciu a úroveň poskytovania.)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6.2.</w:t>
            </w:r>
            <w:r>
              <w:rPr>
                <w:rStyle w:val="DefaultParagraphFont"/>
                <w:rFonts w:ascii="Times New Roman" w:hAnsi="Times New Roman"/>
                <w:color w:val="000000"/>
                <w:sz w:val="24"/>
                <w:szCs w:val="24"/>
              </w:rPr>
              <w:t xml:space="preserve"> Vytvárajú sa podmienky pre sémantickú interoperabilitu?</w:t>
            </w:r>
            <w:r>
              <w:rPr>
                <w:rStyle w:val="DefaultParagraphFont"/>
                <w:rFonts w:ascii="Times New Roman" w:hAnsi="Times New Roman"/>
                <w:color w:val="000000"/>
                <w:sz w:val="24"/>
                <w:szCs w:val="24"/>
              </w:rPr>
              <w:t xml:space="preserve"> </w:t>
            </w:r>
            <w:r>
              <w:rPr>
                <w:rStyle w:val="DefaultParagraphFont"/>
                <w:rFonts w:ascii="Times New Roman" w:hAnsi="Times New Roman"/>
                <w:i/>
                <w:color w:val="000000"/>
                <w:sz w:val="24"/>
                <w:szCs w:val="24"/>
              </w:rPr>
              <w:t>(Popíšte spôsob jej zabezpečenia.)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C0C0C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Ľudia</w:t>
            </w:r>
          </w:p>
        </w:tc>
        <w:tc>
          <w:tcPr>
            <w:tcW w:w="3780" w:type="dxa"/>
            <w:tcBorders>
              <w:top w:val="nil"/>
              <w:left w:val="nil"/>
              <w:bottom w:val="single" w:sz="8" w:space="0" w:color="auto"/>
              <w:right w:val="single" w:sz="8" w:space="0" w:color="auto"/>
              <w:tl2br w:val="nil"/>
              <w:tr2bl w:val="nil"/>
            </w:tcBorders>
            <w:shd w:val="solid" w:color="C0C0C0" w:fill="auto"/>
            <w:tcMar>
              <w:top w:w="28" w:type="dxa"/>
              <w:left w:w="70" w:type="dxa"/>
              <w:bottom w:w="28"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6.3.</w:t>
            </w:r>
            <w:r>
              <w:rPr>
                <w:rStyle w:val="DefaultParagraphFont"/>
                <w:rFonts w:ascii="Times New Roman" w:hAnsi="Times New Roman"/>
                <w:color w:val="000000"/>
                <w:sz w:val="24"/>
                <w:szCs w:val="24"/>
              </w:rPr>
              <w:t xml:space="preserve"> Zabezpečuje sa vzdelávanie v oblasti počítačovej gramotnosti a rozširovanie vedomostí o informačných a komunikačných technológiách (IKT)?</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spôsob, napr. projekty, školenia.)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center"/>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Materiál vytvára predpoklady pre účasť slovenských stredných škôl v programe </w:t>
            </w:r>
            <w:r>
              <w:rPr>
                <w:rStyle w:val="DefaultParagraphFont"/>
                <w:rFonts w:ascii="Times New Roman" w:hAnsi="Times New Roman"/>
                <w:i/>
                <w:color w:val="000000"/>
                <w:sz w:val="24"/>
                <w:szCs w:val="24"/>
              </w:rPr>
              <w:t xml:space="preserve">ESA education </w:t>
            </w:r>
            <w:r>
              <w:rPr>
                <w:rStyle w:val="DefaultParagraphFont"/>
                <w:rFonts w:ascii="Times New Roman" w:hAnsi="Times New Roman"/>
                <w:color w:val="000000"/>
                <w:sz w:val="24"/>
                <w:szCs w:val="24"/>
              </w:rPr>
              <w:t xml:space="preserve">zameraných na vzdelávanie elektronickými prostriedkami vrátane e-learningu v oblasti fyziky, biológie, matematiky a ďalších predmetov.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6.4.</w:t>
            </w:r>
            <w:r>
              <w:rPr>
                <w:rStyle w:val="DefaultParagraphFont"/>
                <w:rFonts w:ascii="Times New Roman" w:hAnsi="Times New Roman"/>
                <w:color w:val="000000"/>
                <w:sz w:val="24"/>
                <w:szCs w:val="24"/>
              </w:rPr>
              <w:t xml:space="preserve"> Zabezpečuje sa rozvoj elektronického vzdelávania?</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typ a spôsob zabezpečenia vzdelávacích aktivít.)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Materiál vytvára predpoklady pre účasť slovenských stredných škôl v programe </w:t>
            </w:r>
            <w:r>
              <w:rPr>
                <w:rStyle w:val="DefaultParagraphFont"/>
                <w:rFonts w:ascii="Times New Roman" w:hAnsi="Times New Roman"/>
                <w:i/>
                <w:color w:val="000000"/>
                <w:sz w:val="24"/>
                <w:szCs w:val="24"/>
              </w:rPr>
              <w:t>ESA education</w:t>
            </w:r>
            <w:r>
              <w:rPr>
                <w:rStyle w:val="DefaultParagraphFont"/>
                <w:rFonts w:ascii="Times New Roman" w:hAnsi="Times New Roman"/>
                <w:color w:val="000000"/>
                <w:sz w:val="24"/>
                <w:szCs w:val="24"/>
              </w:rPr>
              <w:t xml:space="preserve"> zameraných na vzdelávanie elektronickými prostriedkami vrátane e-learningu v oblasti fyziky, biológie, matematiky a ďalších predmetov.</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6.5.</w:t>
            </w:r>
            <w:r>
              <w:rPr>
                <w:rStyle w:val="DefaultParagraphFont"/>
                <w:rFonts w:ascii="Times New Roman" w:hAnsi="Times New Roman"/>
                <w:color w:val="000000"/>
                <w:sz w:val="24"/>
                <w:szCs w:val="24"/>
              </w:rPr>
              <w:t xml:space="preserve"> Zabezpečuje sa podporná a propagačná aktivita zameraná na zvyšovanie povedomia o informatizácii a IKT?</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typ a spôsob zabezpečenia propagačných aktivít.)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xml:space="preserve">Podporná a propagačná aktivita v rámci spolupráce SR s ESA bude zameraná aj na uvedené programy </w:t>
            </w:r>
            <w:r>
              <w:rPr>
                <w:rStyle w:val="DefaultParagraphFont"/>
                <w:rFonts w:ascii="Times New Roman" w:hAnsi="Times New Roman"/>
                <w:i/>
                <w:color w:val="000000"/>
                <w:sz w:val="24"/>
                <w:szCs w:val="24"/>
              </w:rPr>
              <w:t>ESA education.</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6.6.</w:t>
            </w:r>
            <w:r>
              <w:rPr>
                <w:rStyle w:val="DefaultParagraphFont"/>
                <w:rFonts w:ascii="Times New Roman" w:hAnsi="Times New Roman"/>
                <w:color w:val="000000"/>
                <w:sz w:val="24"/>
                <w:szCs w:val="24"/>
              </w:rPr>
              <w:t xml:space="preserve"> Zabezpečuje/zohľadňuje/zlepšuje sa prístup znevýhodnených osôb k službám informačnej spoločnosti?</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spôsob sprístupnenia digitálneho prostredia.)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Materiál nemá vplyv na prístup znevýhodnených osôb k službám informačnej spoločnosti.</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C0C0C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Infraštruktúra</w:t>
            </w:r>
          </w:p>
        </w:tc>
        <w:tc>
          <w:tcPr>
            <w:tcW w:w="3780" w:type="dxa"/>
            <w:tcBorders>
              <w:top w:val="nil"/>
              <w:left w:val="nil"/>
              <w:bottom w:val="single" w:sz="8" w:space="0" w:color="auto"/>
              <w:right w:val="single" w:sz="8" w:space="0" w:color="auto"/>
              <w:tl2br w:val="nil"/>
              <w:tr2bl w:val="nil"/>
            </w:tcBorders>
            <w:shd w:val="solid" w:color="C0C0C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6.7.</w:t>
            </w:r>
            <w:r>
              <w:rPr>
                <w:rStyle w:val="DefaultParagraphFont"/>
                <w:rFonts w:ascii="Times New Roman" w:hAnsi="Times New Roman"/>
                <w:color w:val="000000"/>
                <w:sz w:val="24"/>
                <w:szCs w:val="24"/>
              </w:rPr>
              <w:t xml:space="preserve"> Rozširuje, inovuje, vytvára alebo zavádza sa nový informačný systém?</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jeho funkciu.)</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6.8.</w:t>
            </w:r>
            <w:r>
              <w:rPr>
                <w:rStyle w:val="DefaultParagraphFont"/>
                <w:rFonts w:ascii="Times New Roman" w:hAnsi="Times New Roman"/>
                <w:color w:val="000000"/>
                <w:sz w:val="24"/>
                <w:szCs w:val="24"/>
              </w:rPr>
              <w:t xml:space="preserve"> Rozširuje sa prístupnosť k internetu?</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spôsob rozširovania prístupnosti.)</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6.9.</w:t>
            </w:r>
            <w:r>
              <w:rPr>
                <w:rStyle w:val="DefaultParagraphFont"/>
                <w:rFonts w:ascii="Times New Roman" w:hAnsi="Times New Roman"/>
                <w:color w:val="000000"/>
                <w:sz w:val="24"/>
                <w:szCs w:val="24"/>
              </w:rPr>
              <w:t xml:space="preserve"> Rozširuje sa prístupnosť k elektronickým službám?</w:t>
            </w:r>
          </w:p>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spôsob rozširovania prístupnosti.)</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6.10.</w:t>
            </w:r>
            <w:r>
              <w:rPr>
                <w:rStyle w:val="DefaultParagraphFont"/>
                <w:rFonts w:ascii="Times New Roman" w:hAnsi="Times New Roman"/>
                <w:color w:val="000000"/>
                <w:sz w:val="24"/>
                <w:szCs w:val="24"/>
              </w:rPr>
              <w:t xml:space="preserve"> Zabezpečuje sa technická interoperabilita?</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i/>
                <w:color w:val="000000"/>
                <w:sz w:val="24"/>
                <w:szCs w:val="24"/>
              </w:rPr>
              <w:t>(Uveďte spôsob jej zabezpečenia.)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6.11.</w:t>
            </w:r>
            <w:r>
              <w:rPr>
                <w:rStyle w:val="DefaultParagraphFont"/>
                <w:rFonts w:ascii="Times New Roman" w:hAnsi="Times New Roman"/>
                <w:color w:val="000000"/>
                <w:sz w:val="24"/>
                <w:szCs w:val="24"/>
              </w:rPr>
              <w:t xml:space="preserve"> Zvyšuje sa bezpečnosť IT?</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w:t>
            </w:r>
            <w:r>
              <w:rPr>
                <w:rStyle w:val="DefaultParagraphFont"/>
                <w:rFonts w:ascii="Times New Roman" w:hAnsi="Times New Roman"/>
                <w:i/>
                <w:color w:val="000000"/>
                <w:sz w:val="24"/>
                <w:szCs w:val="24"/>
              </w:rPr>
              <w:t>Uveďte spôsob zvýšenia bezpečnosti a ochrany IT.)</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280" w:afterAutospacing="1"/>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6.12.</w:t>
            </w:r>
            <w:r>
              <w:rPr>
                <w:rStyle w:val="DefaultParagraphFont"/>
                <w:rFonts w:ascii="Times New Roman" w:hAnsi="Times New Roman"/>
                <w:color w:val="000000"/>
                <w:sz w:val="24"/>
                <w:szCs w:val="24"/>
              </w:rPr>
              <w:t xml:space="preserve"> Rozširuje sa technická infraštruktúra?</w:t>
            </w:r>
          </w:p>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w:t>
            </w:r>
            <w:r>
              <w:rPr>
                <w:rStyle w:val="DefaultParagraphFont"/>
                <w:rFonts w:ascii="Times New Roman" w:hAnsi="Times New Roman"/>
                <w:i/>
                <w:color w:val="000000"/>
                <w:sz w:val="24"/>
                <w:szCs w:val="24"/>
              </w:rPr>
              <w:t>Uveďte stručný popis zavádzanej infraštruktúry.</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Riadenie procesu informatizácie</w:t>
            </w:r>
          </w:p>
        </w:tc>
        <w:tc>
          <w:tcPr>
            <w:tcW w:w="3780" w:type="dxa"/>
            <w:tcBorders>
              <w:top w:val="nil"/>
              <w:left w:val="nil"/>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jc w:val="center"/>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6.13.</w:t>
            </w:r>
            <w:r>
              <w:rPr>
                <w:rStyle w:val="DefaultParagraphFont"/>
                <w:rFonts w:ascii="Times New Roman" w:hAnsi="Times New Roman"/>
                <w:color w:val="000000"/>
                <w:sz w:val="24"/>
                <w:szCs w:val="24"/>
              </w:rPr>
              <w:t xml:space="preserve"> Predpokladajú sa zmeny v riadení procesu informatizácie?</w:t>
            </w:r>
            <w:r>
              <w:rPr>
                <w:rStyle w:val="DefaultParagraphFont"/>
                <w:rFonts w:ascii="Times New Roman" w:hAnsi="Times New Roman"/>
                <w:color w:val="000000"/>
                <w:sz w:val="24"/>
                <w:szCs w:val="24"/>
              </w:rPr>
              <w:t xml:space="preserve"> </w:t>
            </w:r>
            <w:r>
              <w:rPr>
                <w:rStyle w:val="DefaultParagraphFont"/>
                <w:rFonts w:ascii="Times New Roman" w:hAnsi="Times New Roman"/>
                <w:i/>
                <w:color w:val="000000"/>
                <w:sz w:val="24"/>
                <w:szCs w:val="24"/>
              </w:rPr>
              <w:t>(Uveďte popis zmien.)</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Financovanie procesu informatizácie</w:t>
            </w:r>
          </w:p>
        </w:tc>
        <w:tc>
          <w:tcPr>
            <w:tcW w:w="3780" w:type="dxa"/>
            <w:tcBorders>
              <w:top w:val="nil"/>
              <w:left w:val="nil"/>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6.14.</w:t>
            </w:r>
            <w:r>
              <w:rPr>
                <w:rStyle w:val="DefaultParagraphFont"/>
                <w:rFonts w:ascii="Times New Roman" w:hAnsi="Times New Roman"/>
                <w:color w:val="000000"/>
                <w:sz w:val="24"/>
                <w:szCs w:val="24"/>
              </w:rPr>
              <w:t xml:space="preserve"> Vyžaduje si proces informatizácie</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finančné investície?</w:t>
            </w:r>
            <w:r>
              <w:rPr>
                <w:rStyle w:val="DefaultParagraphFont"/>
                <w:rFonts w:ascii="Times New Roman" w:hAnsi="Times New Roman"/>
                <w:color w:val="000000"/>
                <w:sz w:val="24"/>
                <w:szCs w:val="24"/>
              </w:rPr>
              <w:t xml:space="preserve"> </w:t>
            </w:r>
            <w:r>
              <w:rPr>
                <w:rStyle w:val="DefaultParagraphFont"/>
                <w:rFonts w:ascii="Times New Roman" w:hAnsi="Times New Roman"/>
                <w:i/>
                <w:color w:val="000000"/>
                <w:sz w:val="24"/>
                <w:szCs w:val="24"/>
              </w:rPr>
              <w:t>(Popíšte príslušnú úroveň financovania.)</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Legislatívne prostredie procesu informatizácie</w:t>
            </w:r>
          </w:p>
        </w:tc>
        <w:tc>
          <w:tcPr>
            <w:tcW w:w="3780" w:type="dxa"/>
            <w:tcBorders>
              <w:top w:val="nil"/>
              <w:left w:val="nil"/>
              <w:bottom w:val="single" w:sz="8" w:space="0" w:color="auto"/>
              <w:right w:val="single" w:sz="8" w:space="0" w:color="auto"/>
              <w:tl2br w:val="nil"/>
              <w:tr2bl w:val="nil"/>
            </w:tcBorders>
            <w:shd w:val="solid" w:color="000000" w:fill="auto"/>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tc>
      </w:tr>
      <w:tr>
        <w:tblPrEx>
          <w:tblW w:w="9015" w:type="dxa"/>
          <w:tblCellMar>
            <w:left w:w="0" w:type="dxa"/>
            <w:right w:w="0" w:type="dxa"/>
          </w:tblCellMar>
        </w:tblPrEx>
        <w:trPr>
          <w:trHeight w:val="20"/>
        </w:trPr>
        <w:tc>
          <w:tcPr>
            <w:tcW w:w="5235" w:type="dxa"/>
            <w:tcBorders>
              <w:top w:val="nil"/>
              <w:left w:val="single" w:sz="8" w:space="0" w:color="auto"/>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b/>
                <w:color w:val="000000"/>
                <w:sz w:val="24"/>
                <w:szCs w:val="24"/>
              </w:rPr>
              <w:t>6.15.</w:t>
            </w:r>
            <w:r>
              <w:rPr>
                <w:rStyle w:val="DefaultParagraphFont"/>
                <w:rFonts w:ascii="Times New Roman" w:hAnsi="Times New Roman"/>
                <w:color w:val="000000"/>
                <w:sz w:val="24"/>
                <w:szCs w:val="24"/>
              </w:rPr>
              <w:t xml:space="preserve"> Predpokladá nelegislatívny materiál potrebu úpravy legislatívneho prostredia</w:t>
            </w:r>
            <w:r>
              <w:rPr>
                <w:rStyle w:val="DefaultParagraphFont"/>
                <w:rFonts w:ascii="Times New Roman" w:hAnsi="Times New Roman"/>
                <w:color w:val="000000"/>
                <w:sz w:val="24"/>
                <w:szCs w:val="24"/>
              </w:rPr>
              <w:t xml:space="preserve">  </w:t>
            </w:r>
            <w:r>
              <w:rPr>
                <w:rStyle w:val="DefaultParagraphFont"/>
                <w:rFonts w:ascii="Times New Roman" w:hAnsi="Times New Roman"/>
                <w:color w:val="000000"/>
                <w:sz w:val="24"/>
                <w:szCs w:val="24"/>
              </w:rPr>
              <w:t>procesu informatizácie?</w:t>
            </w:r>
            <w:r>
              <w:rPr>
                <w:rStyle w:val="DefaultParagraphFont"/>
                <w:rFonts w:ascii="Times New Roman" w:hAnsi="Times New Roman"/>
                <w:color w:val="000000"/>
                <w:sz w:val="24"/>
                <w:szCs w:val="24"/>
              </w:rPr>
              <w:t xml:space="preserve"> </w:t>
            </w:r>
            <w:r>
              <w:rPr>
                <w:rStyle w:val="DefaultParagraphFont"/>
                <w:rFonts w:ascii="Times New Roman" w:hAnsi="Times New Roman"/>
                <w:i/>
                <w:color w:val="000000"/>
                <w:sz w:val="24"/>
                <w:szCs w:val="24"/>
              </w:rPr>
              <w:t>(Stručne popíšte navrhované legislatívne zmeny.)</w:t>
            </w:r>
          </w:p>
        </w:tc>
        <w:tc>
          <w:tcPr>
            <w:tcW w:w="3780" w:type="dxa"/>
            <w:tcBorders>
              <w:top w:val="nil"/>
              <w:left w:val="nil"/>
              <w:bottom w:val="single" w:sz="8" w:space="0" w:color="auto"/>
              <w:right w:val="single" w:sz="8" w:space="0" w:color="auto"/>
              <w:tl2br w:val="nil"/>
              <w:tr2bl w:val="nil"/>
            </w:tcBorders>
            <w:tcMar>
              <w:top w:w="28" w:type="dxa"/>
              <w:left w:w="70" w:type="dxa"/>
              <w:bottom w:w="28" w:type="dxa"/>
              <w:right w:w="70" w:type="dxa"/>
            </w:tcMar>
            <w:vAlign w:val="top"/>
          </w:tcPr>
          <w:p w:rsidR="00593F1E">
            <w:pPr>
              <w:spacing w:after="0" w:afterAutospacing="0"/>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Nie.</w:t>
            </w:r>
          </w:p>
        </w:tc>
      </w:tr>
    </w:tbl>
    <w:p w:rsidR="00593F1E">
      <w:pPr>
        <w:spacing w:after="0" w:afterAutospacing="0"/>
        <w:jc w:val="both"/>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t> </w:t>
      </w:r>
    </w:p>
    <w:p w:rsidR="00593F1E">
      <w:pPr>
        <w:spacing w:after="280" w:afterAutospacing="1"/>
        <w:rPr>
          <w:rStyle w:val="DefaultParagraphFont"/>
          <w:rFonts w:ascii="Times New Roman" w:hAnsi="Times New Roman"/>
          <w:color w:val="000000"/>
          <w:sz w:val="24"/>
          <w:szCs w:val="24"/>
        </w:rPr>
      </w:pPr>
      <w:r>
        <w:rPr>
          <w:rStyle w:val="DefaultParagraphFont"/>
          <w:rFonts w:ascii="Times New Roman" w:hAnsi="Times New Roman"/>
          <w:color w:val="000000"/>
          <w:sz w:val="24"/>
          <w:szCs w:val="24"/>
        </w:rPr>
        <w:br/>
      </w:r>
      <w:r>
        <w:rPr>
          <w:rStyle w:val="DefaultParagraphFont"/>
          <w:rFonts w:ascii="Times New Roman" w:hAnsi="Times New Roman"/>
          <w:color w:val="000000"/>
          <w:sz w:val="24"/>
          <w:szCs w:val="24"/>
        </w:rPr>
        <w:t> </w:t>
      </w:r>
    </w:p>
    <w:sectPr>
      <w:pgSz w:w="12240" w:h="15840"/>
      <w:pgMar w:top="1440" w:right="1440" w:bottom="1440" w:left="1440" w:header="708" w:footer="708"/>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isplayHorizontalDrawingGridEvery w:val="0"/>
  <w:displayVerticalDrawingGridEvery w:val="3"/>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704AC"/>
    <w:rsid w:val="00593F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spacing w:after="200" w:line="276" w:lineRule="auto"/>
      <w:ind w:left="0" w:right="0"/>
      <w:jc w:val="left"/>
      <w:textAlignment w:val="auto"/>
    </w:pPr>
    <w:rPr>
      <w:rFonts w:ascii="Calibri" w:hAnsi="Calibri" w:cs="Times New Roman"/>
      <w:sz w:val="22"/>
      <w:szCs w:val="22"/>
      <w:rtl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73</TotalTime>
  <Pages>1</Pages>
  <Words>27</Words>
  <Characters>275</Characters>
  <Application>Microsoft Office Word</Application>
  <DocSecurity>0</DocSecurity>
  <Lines>0</Lines>
  <Paragraphs>0</Paragraphs>
  <ScaleCrop>false</ScaleCrop>
  <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Vladimir.Irman</cp:lastModifiedBy>
  <cp:revision>3</cp:revision>
  <dcterms:created xsi:type="dcterms:W3CDTF">2010-06-23T09:37:00Z</dcterms:created>
  <dcterms:modified xsi:type="dcterms:W3CDTF">2010-06-23T11:50:00Z</dcterms:modified>
</cp:coreProperties>
</file>