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715F" w:rsidRPr="00A9700F" w:rsidP="001750CC">
      <w:pPr>
        <w:bidi w:val="0"/>
        <w:adjustRightInd w:val="0"/>
        <w:ind w:left="7788"/>
        <w:jc w:val="both"/>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84715F" w:rsidRPr="00A9700F" w:rsidP="001750CC">
      <w:pPr>
        <w:bidi w:val="0"/>
        <w:adjustRightInd w:val="0"/>
        <w:jc w:val="center"/>
        <w:outlineLvl w:val="0"/>
        <w:rPr>
          <w:rFonts w:ascii="Times New Roman" w:hAnsi="Times New Roman"/>
          <w:color w:val="000000"/>
          <w:sz w:val="24"/>
          <w:szCs w:val="24"/>
          <w:lang w:eastAsia="en-US"/>
        </w:rPr>
      </w:pPr>
      <w:r w:rsidRPr="00A9700F">
        <w:rPr>
          <w:rFonts w:ascii="Times New Roman" w:hAnsi="Times New Roman"/>
          <w:b/>
          <w:color w:val="000000"/>
          <w:sz w:val="28"/>
          <w:szCs w:val="24"/>
          <w:lang w:eastAsia="en-US"/>
        </w:rPr>
        <w:t>Vplyvy na rozpočet verejnej správy,</w:t>
      </w:r>
    </w:p>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000000"/>
          <w:sz w:val="28"/>
          <w:szCs w:val="24"/>
          <w:lang w:eastAsia="en-US"/>
        </w:rPr>
        <w:t>na zamestnanosť vo verejnej správe a financovanie návrhu</w:t>
      </w:r>
    </w:p>
    <w:p w:rsidR="0084715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2C6C1F" w:rsidRPr="00A9700F" w:rsidP="001750CC">
      <w:pPr>
        <w:bidi w:val="0"/>
        <w:adjustRightInd w:val="0"/>
        <w:rPr>
          <w:rFonts w:ascii="Times New Roman" w:hAnsi="Times New Roman"/>
          <w:color w:val="000000"/>
          <w:sz w:val="24"/>
          <w:szCs w:val="24"/>
          <w:lang w:eastAsia="en-US"/>
        </w:rPr>
      </w:pPr>
    </w:p>
    <w:p w:rsidR="0084715F" w:rsidRPr="00A9700F" w:rsidP="001750CC">
      <w:pPr>
        <w:bidi w:val="0"/>
        <w:adjustRightInd w:val="0"/>
        <w:outlineLvl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2.1. Zhrnutie vplyvov na rozpočet verejnej správy v návrhu</w:t>
      </w:r>
    </w:p>
    <w:p w:rsidR="0084715F" w:rsidRPr="00A9700F" w:rsidP="001750CC">
      <w:pPr>
        <w:bidi w:val="0"/>
        <w:adjustRightInd w:val="0"/>
        <w:jc w:val="both"/>
        <w:rPr>
          <w:rFonts w:ascii="Times New Roman" w:hAnsi="Times New Roman"/>
          <w:color w:val="000000"/>
          <w:sz w:val="24"/>
          <w:szCs w:val="24"/>
          <w:lang w:eastAsia="en-US"/>
        </w:rPr>
      </w:pPr>
      <w:r w:rsidRPr="00A9700F">
        <w:rPr>
          <w:rFonts w:ascii="Times New Roman" w:hAnsi="Times New Roman"/>
          <w:color w:val="000000"/>
          <w:szCs w:val="24"/>
          <w:lang w:eastAsia="en-US"/>
        </w:rPr>
        <w:t xml:space="preserve">Tabuľka č. 1 </w:t>
      </w:r>
    </w:p>
    <w:tbl>
      <w:tblPr>
        <w:tblStyle w:val="TableNormal"/>
        <w:tblW w:w="9851" w:type="dxa"/>
        <w:tblCellMar>
          <w:left w:w="0" w:type="dxa"/>
          <w:right w:w="0" w:type="dxa"/>
        </w:tblCellMar>
      </w:tblPr>
      <w:tblGrid>
        <w:gridCol w:w="4508"/>
        <w:gridCol w:w="1374"/>
        <w:gridCol w:w="1276"/>
        <w:gridCol w:w="1276"/>
        <w:gridCol w:w="1417"/>
      </w:tblGrid>
      <w:tr>
        <w:tblPrEx>
          <w:tblW w:w="9851" w:type="dxa"/>
          <w:tblCellMar>
            <w:left w:w="0" w:type="dxa"/>
            <w:right w:w="0" w:type="dxa"/>
          </w:tblCellMar>
        </w:tblPrEx>
        <w:trPr>
          <w:trHeight w:val="194"/>
        </w:trPr>
        <w:tc>
          <w:tcPr>
            <w:tcW w:w="4508" w:type="dxa"/>
            <w:vMerge w:val="restart"/>
            <w:tcBorders>
              <w:top w:val="single" w:sz="8" w:space="0" w:color="000000"/>
              <w:left w:val="single" w:sz="8" w:space="0" w:color="000000"/>
              <w:bottom w:val="single" w:sz="8" w:space="0" w:color="000000"/>
              <w:right w:val="single" w:sz="4" w:space="0" w:color="auto"/>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Vplyvy na </w:t>
            </w:r>
            <w:r w:rsidRPr="00A9700F">
              <w:rPr>
                <w:rFonts w:ascii="Times New Roman" w:hAnsi="Times New Roman"/>
                <w:b/>
                <w:color w:val="000000"/>
                <w:sz w:val="24"/>
                <w:szCs w:val="24"/>
                <w:lang w:eastAsia="en-US"/>
              </w:rPr>
              <w:t>rozpočet verejnej správy</w:t>
            </w:r>
          </w:p>
        </w:tc>
        <w:tc>
          <w:tcPr>
            <w:tcW w:w="5343" w:type="dxa"/>
            <w:gridSpan w:val="4"/>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 na rozpočet verejnej správy </w:t>
            </w:r>
            <w:r w:rsidRPr="00A9700F">
              <w:rPr>
                <w:rFonts w:ascii="Times New Roman" w:hAnsi="Times New Roman"/>
                <w:b/>
                <w:color w:val="000000"/>
                <w:sz w:val="24"/>
                <w:szCs w:val="24"/>
                <w:lang w:eastAsia="en-US"/>
              </w:rPr>
              <w:t>(v eurách)</w:t>
            </w:r>
          </w:p>
        </w:tc>
      </w:tr>
      <w:tr>
        <w:tblPrEx>
          <w:tblW w:w="9851" w:type="dxa"/>
          <w:tblCellMar>
            <w:left w:w="0" w:type="dxa"/>
            <w:right w:w="0" w:type="dxa"/>
          </w:tblCellMar>
        </w:tblPrEx>
        <w:trPr>
          <w:trHeight w:val="70"/>
        </w:trPr>
        <w:tc>
          <w:tcPr>
            <w:tcW w:w="4508" w:type="dxa"/>
            <w:vMerge/>
            <w:tcBorders>
              <w:top w:val="single" w:sz="8" w:space="0" w:color="000000"/>
              <w:left w:val="single" w:sz="8" w:space="0" w:color="000000"/>
              <w:bottom w:val="single" w:sz="8" w:space="0" w:color="000000"/>
              <w:right w:val="single" w:sz="8" w:space="0" w:color="000000"/>
            </w:tcBorders>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p>
        </w:tc>
        <w:tc>
          <w:tcPr>
            <w:tcW w:w="1374"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4</w:t>
            </w:r>
          </w:p>
        </w:tc>
        <w:tc>
          <w:tcPr>
            <w:tcW w:w="1276"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5</w:t>
            </w:r>
          </w:p>
        </w:tc>
        <w:tc>
          <w:tcPr>
            <w:tcW w:w="1276"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6</w:t>
            </w:r>
          </w:p>
        </w:tc>
        <w:tc>
          <w:tcPr>
            <w:tcW w:w="1417" w:type="dxa"/>
            <w:tcBorders>
              <w:top w:val="single" w:sz="4" w:space="0" w:color="auto"/>
              <w:left w:val="nil"/>
              <w:bottom w:val="single" w:sz="8" w:space="0" w:color="000000"/>
              <w:right w:val="single" w:sz="4" w:space="0" w:color="auto"/>
            </w:tcBorders>
            <w:shd w:val="solid" w:color="000000" w:fill="auto"/>
            <w:tcMar>
              <w:top w:w="0" w:type="dxa"/>
              <w:left w:w="70" w:type="dxa"/>
              <w:bottom w:w="0" w:type="dxa"/>
              <w:right w:w="70" w:type="dxa"/>
            </w:tcMar>
            <w:textDirection w:val="lrTb"/>
            <w:vAlign w:val="center"/>
          </w:tcPr>
          <w:p w:rsidR="0084715F" w:rsidRPr="00A9700F" w:rsidP="006D46B0">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sidR="006D46B0">
              <w:rPr>
                <w:rFonts w:ascii="Times New Roman" w:hAnsi="Times New Roman"/>
                <w:b/>
                <w:color w:val="FFFFFF"/>
                <w:sz w:val="24"/>
                <w:szCs w:val="24"/>
                <w:lang w:eastAsia="en-US"/>
              </w:rPr>
              <w:t>7</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 xml:space="preserve">Príjmy verejnej správy celkom </w:t>
            </w:r>
          </w:p>
        </w:tc>
        <w:tc>
          <w:tcPr>
            <w:tcW w:w="137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p>
        </w:tc>
        <w:tc>
          <w:tcPr>
            <w:tcW w:w="127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p>
        </w:tc>
        <w:tc>
          <w:tcPr>
            <w:tcW w:w="127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r w:rsidR="002D419C">
              <w:rPr>
                <w:rFonts w:ascii="Times New Roman" w:hAnsi="Times New Roman"/>
                <w:b/>
                <w:sz w:val="24"/>
                <w:szCs w:val="24"/>
                <w:lang w:eastAsia="en-US"/>
              </w:rPr>
              <w:t>- 261 580</w:t>
            </w:r>
          </w:p>
        </w:tc>
        <w:tc>
          <w:tcPr>
            <w:tcW w:w="1417" w:type="dxa"/>
            <w:tcBorders>
              <w:top w:val="nil"/>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r w:rsidR="002D419C">
              <w:rPr>
                <w:rFonts w:ascii="Times New Roman" w:hAnsi="Times New Roman"/>
                <w:b/>
                <w:sz w:val="24"/>
                <w:szCs w:val="24"/>
                <w:lang w:eastAsia="en-US"/>
              </w:rPr>
              <w:t>- 261 580</w:t>
            </w:r>
          </w:p>
        </w:tc>
      </w:tr>
      <w:tr>
        <w:tblPrEx>
          <w:tblW w:w="9851" w:type="dxa"/>
          <w:tblCellMar>
            <w:left w:w="0" w:type="dxa"/>
            <w:right w:w="0" w:type="dxa"/>
          </w:tblCellMar>
        </w:tblPrEx>
        <w:trPr>
          <w:trHeight w:val="132"/>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14271B" w:rsidP="008F5DB0">
            <w:pPr>
              <w:bidi w:val="0"/>
              <w:adjustRightInd w:val="0"/>
              <w:rPr>
                <w:rFonts w:ascii="Times New Roman" w:hAnsi="Times New Roman"/>
                <w:color w:val="000000"/>
                <w:sz w:val="24"/>
                <w:szCs w:val="24"/>
                <w:lang w:eastAsia="en-US"/>
              </w:rPr>
            </w:pPr>
            <w:r w:rsidRPr="00A9700F" w:rsidR="0084715F">
              <w:rPr>
                <w:rFonts w:ascii="Times New Roman" w:hAnsi="Times New Roman"/>
                <w:color w:val="000000"/>
                <w:sz w:val="24"/>
                <w:szCs w:val="24"/>
                <w:lang w:eastAsia="en-US"/>
              </w:rPr>
              <w:t xml:space="preserve">v tom: </w:t>
            </w:r>
            <w:r w:rsidR="008F5DB0">
              <w:rPr>
                <w:rFonts w:ascii="Times New Roman" w:hAnsi="Times New Roman"/>
                <w:color w:val="000000"/>
                <w:sz w:val="24"/>
                <w:szCs w:val="24"/>
                <w:lang w:eastAsia="en-US"/>
              </w:rPr>
              <w:t>Ministerstvo spravodlivosti SR/</w:t>
            </w:r>
          </w:p>
          <w:p w:rsidR="008F5DB0" w:rsidRPr="00A9700F" w:rsidP="008F5DB0">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Zbor väzenskej a justičnej stráže</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r w:rsidR="002D419C">
              <w:rPr>
                <w:rFonts w:ascii="Times New Roman" w:hAnsi="Times New Roman"/>
                <w:color w:val="000000"/>
                <w:sz w:val="24"/>
                <w:szCs w:val="24"/>
                <w:lang w:eastAsia="en-US"/>
              </w:rPr>
              <w:t>- 261 580</w:t>
            </w: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r w:rsidR="002D419C">
              <w:rPr>
                <w:rFonts w:ascii="Times New Roman" w:hAnsi="Times New Roman"/>
                <w:color w:val="000000"/>
                <w:sz w:val="24"/>
                <w:szCs w:val="24"/>
                <w:lang w:eastAsia="en-US"/>
              </w:rPr>
              <w:t>- 261 580</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xml:space="preserve">z toho:  </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vplyv na ŠR</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640E5" w:rsidP="005F728D">
            <w:pPr>
              <w:bidi w:val="0"/>
              <w:adjustRightInd w:val="0"/>
              <w:jc w:val="right"/>
              <w:rPr>
                <w:rFonts w:ascii="Times New Roman" w:hAnsi="Times New Roman"/>
                <w:b/>
                <w:i/>
                <w:color w:val="000000"/>
                <w:sz w:val="24"/>
                <w:szCs w:val="24"/>
                <w:lang w:eastAsia="en-US"/>
              </w:rPr>
            </w:pPr>
            <w:r w:rsidR="002D419C">
              <w:rPr>
                <w:rFonts w:ascii="Times New Roman" w:hAnsi="Times New Roman"/>
                <w:b/>
                <w:i/>
                <w:color w:val="000000"/>
                <w:sz w:val="24"/>
                <w:szCs w:val="24"/>
                <w:lang w:eastAsia="en-US"/>
              </w:rPr>
              <w:t>- 261 580</w:t>
            </w: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bottom"/>
          </w:tcPr>
          <w:p w:rsidR="0084715F" w:rsidRPr="00C640E5" w:rsidP="005F728D">
            <w:pPr>
              <w:bidi w:val="0"/>
              <w:adjustRightInd w:val="0"/>
              <w:jc w:val="right"/>
              <w:rPr>
                <w:rFonts w:ascii="Times New Roman" w:hAnsi="Times New Roman"/>
                <w:b/>
                <w:i/>
                <w:color w:val="000000"/>
                <w:sz w:val="24"/>
                <w:szCs w:val="24"/>
                <w:lang w:eastAsia="en-US"/>
              </w:rPr>
            </w:pPr>
            <w:r w:rsidR="002D419C">
              <w:rPr>
                <w:rFonts w:ascii="Times New Roman" w:hAnsi="Times New Roman"/>
                <w:b/>
                <w:i/>
                <w:color w:val="000000"/>
                <w:sz w:val="24"/>
                <w:szCs w:val="24"/>
                <w:lang w:eastAsia="en-US"/>
              </w:rPr>
              <w:t>- 261 580</w:t>
            </w:r>
          </w:p>
        </w:tc>
      </w:tr>
      <w:tr>
        <w:tblPrEx>
          <w:tblW w:w="9851" w:type="dxa"/>
          <w:tblCellMar>
            <w:left w:w="0" w:type="dxa"/>
            <w:right w:w="0" w:type="dxa"/>
          </w:tblCellMar>
        </w:tblPrEx>
        <w:trPr>
          <w:trHeight w:val="125"/>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vplyv na územnú samosprávu</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Výdavky verejnej správy celkom</w:t>
            </w:r>
          </w:p>
        </w:tc>
        <w:tc>
          <w:tcPr>
            <w:tcW w:w="1374"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r w:rsidR="00197DEC">
              <w:rPr>
                <w:rFonts w:ascii="Times New Roman" w:hAnsi="Times New Roman"/>
                <w:b/>
                <w:color w:val="000000"/>
                <w:sz w:val="24"/>
                <w:szCs w:val="24"/>
                <w:lang w:eastAsia="en-US"/>
              </w:rPr>
              <w:t>125 468</w:t>
            </w: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r w:rsidR="006D10BE">
              <w:rPr>
                <w:rFonts w:ascii="Times New Roman" w:hAnsi="Times New Roman"/>
                <w:b/>
                <w:color w:val="000000"/>
                <w:sz w:val="24"/>
                <w:szCs w:val="24"/>
                <w:lang w:eastAsia="en-US"/>
              </w:rPr>
              <w:t>4 841 637</w:t>
            </w:r>
          </w:p>
        </w:tc>
        <w:tc>
          <w:tcPr>
            <w:tcW w:w="1417" w:type="dxa"/>
            <w:tcBorders>
              <w:top w:val="nil"/>
              <w:left w:val="nil"/>
              <w:bottom w:val="single" w:sz="4" w:space="0" w:color="auto"/>
              <w:right w:val="single" w:sz="4" w:space="0" w:color="auto"/>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r w:rsidR="006D10BE">
              <w:rPr>
                <w:rFonts w:ascii="Times New Roman" w:hAnsi="Times New Roman"/>
                <w:b/>
                <w:color w:val="000000"/>
                <w:sz w:val="24"/>
                <w:szCs w:val="24"/>
                <w:lang w:eastAsia="en-US"/>
              </w:rPr>
              <w:t>4 839 037</w:t>
            </w:r>
          </w:p>
        </w:tc>
      </w:tr>
      <w:tr>
        <w:tblPrEx>
          <w:tblW w:w="9851" w:type="dxa"/>
          <w:tblCellMar>
            <w:left w:w="0" w:type="dxa"/>
            <w:right w:w="0" w:type="dxa"/>
          </w:tblCellMar>
        </w:tblPrEx>
        <w:trPr>
          <w:trHeight w:val="70"/>
        </w:trPr>
        <w:tc>
          <w:tcPr>
            <w:tcW w:w="450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P="00C640E5">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xml:space="preserve">v tom: </w:t>
            </w:r>
            <w:r>
              <w:rPr>
                <w:rFonts w:ascii="Times New Roman" w:hAnsi="Times New Roman"/>
                <w:color w:val="000000"/>
                <w:sz w:val="24"/>
                <w:szCs w:val="24"/>
                <w:lang w:eastAsia="en-US"/>
              </w:rPr>
              <w:t>Ministerstvo spravodlivosti SR /</w:t>
            </w:r>
          </w:p>
          <w:p w:rsidR="00C640E5" w:rsidP="00C640E5">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08P Financovanie systému súdnictva</w:t>
            </w:r>
          </w:p>
          <w:p w:rsidR="00AC5AE6" w:rsidRPr="00A9700F" w:rsidP="006D10BE">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08R Tvorba a implementácia politík</w:t>
            </w:r>
          </w:p>
        </w:tc>
        <w:tc>
          <w:tcPr>
            <w:tcW w:w="1374"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197DEC">
            <w:pPr>
              <w:bidi w:val="0"/>
              <w:adjustRightInd w:val="0"/>
              <w:jc w:val="right"/>
              <w:rPr>
                <w:rFonts w:ascii="Times New Roman" w:hAnsi="Times New Roman"/>
                <w:color w:val="000000"/>
                <w:sz w:val="24"/>
                <w:szCs w:val="24"/>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C640E5" w:rsidP="00197DEC">
            <w:pPr>
              <w:bidi w:val="0"/>
              <w:adjustRightInd w:val="0"/>
              <w:jc w:val="right"/>
              <w:rPr>
                <w:rFonts w:ascii="Times New Roman" w:hAnsi="Times New Roman"/>
                <w:color w:val="000000"/>
                <w:sz w:val="24"/>
                <w:szCs w:val="24"/>
                <w:lang w:eastAsia="en-US"/>
              </w:rPr>
            </w:pPr>
          </w:p>
          <w:p w:rsidR="00197DEC" w:rsidP="00197DEC">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77 696</w:t>
            </w:r>
          </w:p>
          <w:p w:rsidR="00197DEC" w:rsidRPr="00A9700F" w:rsidP="00197DEC">
            <w:pPr>
              <w:bidi w:val="0"/>
              <w:adjustRightInd w:val="0"/>
              <w:jc w:val="right"/>
              <w:rPr>
                <w:rFonts w:ascii="Times New Roman" w:hAnsi="Times New Roman"/>
                <w:color w:val="000000"/>
                <w:sz w:val="24"/>
                <w:szCs w:val="24"/>
                <w:lang w:eastAsia="en-US"/>
              </w:rPr>
            </w:pPr>
            <w:r w:rsidR="0023151F">
              <w:rPr>
                <w:rFonts w:ascii="Times New Roman" w:hAnsi="Times New Roman"/>
                <w:color w:val="000000"/>
                <w:sz w:val="24"/>
                <w:szCs w:val="24"/>
                <w:lang w:eastAsia="en-US"/>
              </w:rPr>
              <w:t>47 772</w:t>
            </w: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C640E5" w:rsidP="00197DEC">
            <w:pPr>
              <w:bidi w:val="0"/>
              <w:adjustRightInd w:val="0"/>
              <w:jc w:val="right"/>
              <w:rPr>
                <w:rFonts w:ascii="Times New Roman" w:hAnsi="Times New Roman"/>
                <w:color w:val="000000"/>
                <w:sz w:val="24"/>
                <w:szCs w:val="24"/>
                <w:lang w:eastAsia="en-US"/>
              </w:rPr>
            </w:pPr>
          </w:p>
          <w:p w:rsidR="0023151F" w:rsidP="00197DEC">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155 392</w:t>
            </w:r>
          </w:p>
          <w:p w:rsidR="0023151F" w:rsidRPr="00A9700F" w:rsidP="006D10BE">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4 686 245</w:t>
            </w:r>
          </w:p>
        </w:tc>
        <w:tc>
          <w:tcPr>
            <w:tcW w:w="1417" w:type="dxa"/>
            <w:tcBorders>
              <w:top w:val="single" w:sz="8" w:space="0" w:color="000000"/>
              <w:left w:val="nil"/>
              <w:bottom w:val="single" w:sz="8" w:space="0" w:color="000000"/>
              <w:right w:val="single" w:sz="4" w:space="0" w:color="auto"/>
            </w:tcBorders>
            <w:tcMar>
              <w:top w:w="0" w:type="dxa"/>
              <w:left w:w="70" w:type="dxa"/>
              <w:bottom w:w="0" w:type="dxa"/>
              <w:right w:w="70" w:type="dxa"/>
            </w:tcMar>
            <w:textDirection w:val="lrTb"/>
            <w:vAlign w:val="top"/>
          </w:tcPr>
          <w:p w:rsidR="00C640E5" w:rsidP="00197DEC">
            <w:pPr>
              <w:bidi w:val="0"/>
              <w:adjustRightInd w:val="0"/>
              <w:jc w:val="right"/>
              <w:rPr>
                <w:rFonts w:ascii="Times New Roman" w:hAnsi="Times New Roman"/>
                <w:color w:val="000000"/>
                <w:sz w:val="24"/>
                <w:szCs w:val="24"/>
                <w:lang w:eastAsia="en-US"/>
              </w:rPr>
            </w:pPr>
          </w:p>
          <w:p w:rsidR="0023151F" w:rsidP="00197DEC">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155 392</w:t>
            </w:r>
          </w:p>
          <w:p w:rsidR="0023151F" w:rsidRPr="00A9700F" w:rsidP="006D10BE">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4 683 645</w:t>
            </w:r>
          </w:p>
        </w:tc>
      </w:tr>
      <w:tr>
        <w:tblPrEx>
          <w:tblW w:w="9851" w:type="dxa"/>
          <w:tblCellMar>
            <w:left w:w="0" w:type="dxa"/>
            <w:right w:w="0" w:type="dxa"/>
          </w:tblCellMar>
        </w:tblPrEx>
        <w:trPr>
          <w:trHeight w:val="70"/>
        </w:trPr>
        <w:tc>
          <w:tcPr>
            <w:tcW w:w="450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xml:space="preserve">z toho: </w:t>
            </w:r>
          </w:p>
        </w:tc>
        <w:tc>
          <w:tcPr>
            <w:tcW w:w="1374"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417" w:type="dxa"/>
            <w:tcBorders>
              <w:top w:val="single" w:sz="8" w:space="0" w:color="000000"/>
              <w:left w:val="nil"/>
              <w:bottom w:val="single" w:sz="8" w:space="0" w:color="000000"/>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i/>
                <w:color w:val="000000"/>
                <w:sz w:val="24"/>
                <w:szCs w:val="24"/>
                <w:lang w:eastAsia="en-US"/>
              </w:rPr>
              <w:t>- vplyv na ŠR</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r w:rsidR="0023151F">
              <w:rPr>
                <w:rFonts w:ascii="Times New Roman" w:hAnsi="Times New Roman"/>
                <w:b/>
                <w:i/>
                <w:color w:val="000000"/>
                <w:sz w:val="24"/>
                <w:szCs w:val="24"/>
                <w:lang w:eastAsia="en-US"/>
              </w:rPr>
              <w:t>125 468</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r w:rsidR="006D10BE">
              <w:rPr>
                <w:rFonts w:ascii="Times New Roman" w:hAnsi="Times New Roman"/>
                <w:b/>
                <w:i/>
                <w:color w:val="000000"/>
                <w:sz w:val="24"/>
                <w:szCs w:val="24"/>
                <w:lang w:eastAsia="en-US"/>
              </w:rPr>
              <w:t>4 841 637</w:t>
            </w: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r w:rsidR="006D10BE">
              <w:rPr>
                <w:rFonts w:ascii="Times New Roman" w:hAnsi="Times New Roman"/>
                <w:b/>
                <w:i/>
                <w:color w:val="000000"/>
                <w:sz w:val="24"/>
                <w:szCs w:val="24"/>
                <w:lang w:eastAsia="en-US"/>
              </w:rPr>
              <w:t>4 839 037</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i/>
                <w:color w:val="000000"/>
                <w:sz w:val="24"/>
                <w:szCs w:val="24"/>
                <w:lang w:eastAsia="en-US"/>
              </w:rPr>
              <w:t>- vplyv na územnú samosprávu</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r>
      <w:tr>
        <w:tblPrEx>
          <w:tblW w:w="9851" w:type="dxa"/>
          <w:tblCellMar>
            <w:left w:w="0" w:type="dxa"/>
            <w:right w:w="0" w:type="dxa"/>
          </w:tblCellMar>
        </w:tblPrEx>
        <w:trPr>
          <w:trHeight w:val="428"/>
        </w:trPr>
        <w:tc>
          <w:tcPr>
            <w:tcW w:w="4508" w:type="dxa"/>
            <w:tcBorders>
              <w:top w:val="nil"/>
              <w:left w:val="single" w:sz="8" w:space="0" w:color="000000"/>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color w:val="000000"/>
                <w:sz w:val="24"/>
                <w:szCs w:val="24"/>
                <w:lang w:eastAsia="en-US"/>
              </w:rPr>
              <w:t xml:space="preserve">Celková zamestnanosť </w:t>
            </w:r>
          </w:p>
        </w:tc>
        <w:tc>
          <w:tcPr>
            <w:tcW w:w="1374"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DC76FB" w:rsidP="005F728D">
            <w:pPr>
              <w:widowControl w:val="0"/>
              <w:bidi w:val="0"/>
              <w:adjustRightInd w:val="0"/>
              <w:jc w:val="right"/>
              <w:rPr>
                <w:rFonts w:ascii="Times New Roman" w:hAnsi="Times New Roman"/>
                <w:b/>
                <w:color w:val="000000"/>
                <w:sz w:val="24"/>
                <w:szCs w:val="24"/>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DC76FB" w:rsidP="005F728D">
            <w:pPr>
              <w:widowControl w:val="0"/>
              <w:bidi w:val="0"/>
              <w:adjustRightInd w:val="0"/>
              <w:jc w:val="right"/>
              <w:rPr>
                <w:rFonts w:ascii="Times New Roman" w:hAnsi="Times New Roman"/>
                <w:b/>
                <w:color w:val="000000"/>
                <w:sz w:val="24"/>
                <w:szCs w:val="24"/>
                <w:lang w:eastAsia="en-US"/>
              </w:rPr>
            </w:pPr>
            <w:r w:rsidR="00DC76FB">
              <w:rPr>
                <w:rFonts w:ascii="Times New Roman" w:hAnsi="Times New Roman"/>
                <w:b/>
                <w:color w:val="000000"/>
                <w:sz w:val="24"/>
                <w:szCs w:val="24"/>
                <w:lang w:eastAsia="en-US"/>
              </w:rPr>
              <w:t>3</w:t>
            </w: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DC76FB" w:rsidP="005F728D">
            <w:pPr>
              <w:widowControl w:val="0"/>
              <w:bidi w:val="0"/>
              <w:adjustRightInd w:val="0"/>
              <w:jc w:val="right"/>
              <w:rPr>
                <w:rFonts w:ascii="Times New Roman" w:hAnsi="Times New Roman"/>
                <w:b/>
                <w:color w:val="000000"/>
                <w:sz w:val="24"/>
                <w:szCs w:val="24"/>
                <w:lang w:eastAsia="en-US"/>
              </w:rPr>
            </w:pPr>
            <w:r w:rsidR="00DC76FB">
              <w:rPr>
                <w:rFonts w:ascii="Times New Roman" w:hAnsi="Times New Roman"/>
                <w:b/>
                <w:color w:val="000000"/>
                <w:sz w:val="24"/>
                <w:szCs w:val="24"/>
                <w:lang w:eastAsia="en-US"/>
              </w:rPr>
              <w:t>2</w:t>
            </w:r>
          </w:p>
        </w:tc>
        <w:tc>
          <w:tcPr>
            <w:tcW w:w="1417" w:type="dxa"/>
            <w:tcBorders>
              <w:top w:val="nil"/>
              <w:left w:val="nil"/>
              <w:bottom w:val="single" w:sz="4" w:space="0" w:color="auto"/>
              <w:right w:val="single" w:sz="4" w:space="0" w:color="auto"/>
            </w:tcBorders>
            <w:shd w:val="solid" w:color="C0C0C0" w:fill="auto"/>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color w:val="000000"/>
                <w:sz w:val="24"/>
                <w:szCs w:val="24"/>
                <w:lang w:eastAsia="en-US"/>
              </w:rPr>
            </w:pPr>
          </w:p>
        </w:tc>
      </w:tr>
      <w:tr>
        <w:tblPrEx>
          <w:tblW w:w="9851" w:type="dxa"/>
          <w:tblCellMar>
            <w:left w:w="0" w:type="dxa"/>
            <w:right w:w="0" w:type="dxa"/>
          </w:tblCellMar>
        </w:tblPrEx>
        <w:trPr>
          <w:trHeight w:val="125"/>
        </w:trPr>
        <w:tc>
          <w:tcPr>
            <w:tcW w:w="4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z toho vplyv na ŠR</w:t>
            </w:r>
            <w:r w:rsidRPr="00A9700F">
              <w:rPr>
                <w:rFonts w:ascii="Times New Roman" w:hAnsi="Times New Roman"/>
                <w:color w:val="000000"/>
                <w:sz w:val="24"/>
                <w:szCs w:val="24"/>
                <w:lang w:eastAsia="en-US"/>
              </w:rPr>
              <w:t xml:space="preserve"> </w:t>
            </w:r>
          </w:p>
        </w:tc>
        <w:tc>
          <w:tcPr>
            <w:tcW w:w="13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i/>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i/>
                <w:color w:val="000000"/>
                <w:sz w:val="24"/>
                <w:szCs w:val="24"/>
                <w:lang w:eastAsia="en-US"/>
              </w:rPr>
            </w:pPr>
            <w:r w:rsidR="00DC76FB">
              <w:rPr>
                <w:rFonts w:ascii="Times New Roman" w:hAnsi="Times New Roman"/>
                <w:b/>
                <w:i/>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i/>
                <w:color w:val="000000"/>
                <w:sz w:val="24"/>
                <w:szCs w:val="24"/>
                <w:lang w:eastAsia="en-US"/>
              </w:rPr>
            </w:pPr>
            <w:r w:rsidR="00DC76FB">
              <w:rPr>
                <w:rFonts w:ascii="Times New Roman" w:hAnsi="Times New Roman"/>
                <w:b/>
                <w:i/>
                <w:color w:val="000000"/>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i/>
                <w:color w:val="000000"/>
                <w:sz w:val="24"/>
                <w:szCs w:val="24"/>
                <w:lang w:eastAsia="en-US"/>
              </w:rPr>
            </w:pPr>
          </w:p>
        </w:tc>
      </w:tr>
      <w:tr>
        <w:tblPrEx>
          <w:tblW w:w="9851" w:type="dxa"/>
          <w:tblCellMar>
            <w:left w:w="0" w:type="dxa"/>
            <w:right w:w="0" w:type="dxa"/>
          </w:tblCellMar>
        </w:tblPrEx>
        <w:trPr>
          <w:trHeight w:val="70"/>
        </w:trPr>
        <w:tc>
          <w:tcPr>
            <w:tcW w:w="4508"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Financovanie zabezpečené v rozpočte</w:t>
            </w:r>
          </w:p>
        </w:tc>
        <w:tc>
          <w:tcPr>
            <w:tcW w:w="137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r w:rsidR="00780CFB">
              <w:rPr>
                <w:rFonts w:ascii="Times New Roman" w:hAnsi="Times New Roman"/>
                <w:b/>
                <w:color w:val="000000"/>
                <w:sz w:val="24"/>
                <w:szCs w:val="24"/>
                <w:lang w:eastAsia="en-US"/>
              </w:rPr>
              <w:t>125 468</w:t>
            </w: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r w:rsidR="00EB3DEF">
              <w:rPr>
                <w:rFonts w:ascii="Times New Roman" w:hAnsi="Times New Roman"/>
                <w:b/>
                <w:color w:val="000000"/>
                <w:sz w:val="24"/>
                <w:szCs w:val="24"/>
                <w:lang w:eastAsia="en-US"/>
              </w:rPr>
              <w:t>0</w:t>
            </w:r>
          </w:p>
        </w:tc>
        <w:tc>
          <w:tcPr>
            <w:tcW w:w="1417" w:type="dxa"/>
            <w:tcBorders>
              <w:top w:val="single" w:sz="4" w:space="0" w:color="auto"/>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top"/>
          </w:tcPr>
          <w:p w:rsidR="00C640E5" w:rsidRPr="00C640E5" w:rsidP="005F728D">
            <w:pPr>
              <w:bidi w:val="0"/>
              <w:adjustRightInd w:val="0"/>
              <w:jc w:val="right"/>
              <w:rPr>
                <w:rFonts w:ascii="Times New Roman" w:hAnsi="Times New Roman"/>
                <w:b/>
                <w:color w:val="000000"/>
                <w:sz w:val="24"/>
                <w:szCs w:val="24"/>
                <w:lang w:eastAsia="en-US"/>
              </w:rPr>
            </w:pPr>
            <w:r w:rsidR="00EB3DEF">
              <w:rPr>
                <w:rFonts w:ascii="Times New Roman" w:hAnsi="Times New Roman"/>
                <w:b/>
                <w:color w:val="000000"/>
                <w:sz w:val="24"/>
                <w:szCs w:val="24"/>
                <w:lang w:eastAsia="en-US"/>
              </w:rPr>
              <w:t>0</w:t>
            </w:r>
          </w:p>
        </w:tc>
      </w:tr>
      <w:tr>
        <w:tblPrEx>
          <w:tblW w:w="9851" w:type="dxa"/>
          <w:tblCellMar>
            <w:left w:w="0" w:type="dxa"/>
            <w:right w:w="0" w:type="dxa"/>
          </w:tblCellMar>
        </w:tblPrEx>
        <w:trPr>
          <w:trHeight w:val="70"/>
        </w:trPr>
        <w:tc>
          <w:tcPr>
            <w:tcW w:w="4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P="00EB3DEF">
            <w:pPr>
              <w:bidi w:val="0"/>
              <w:adjustRightInd w:val="0"/>
              <w:rPr>
                <w:rFonts w:ascii="Times New Roman" w:hAnsi="Times New Roman"/>
                <w:color w:val="000000"/>
                <w:sz w:val="24"/>
                <w:szCs w:val="24"/>
                <w:lang w:eastAsia="en-US"/>
              </w:rPr>
            </w:pPr>
            <w:r w:rsidRPr="00A9700F" w:rsidR="00197DEC">
              <w:rPr>
                <w:rFonts w:ascii="Times New Roman" w:hAnsi="Times New Roman"/>
                <w:color w:val="000000"/>
                <w:sz w:val="24"/>
                <w:szCs w:val="24"/>
                <w:lang w:eastAsia="en-US"/>
              </w:rPr>
              <w:t xml:space="preserve">v tom: </w:t>
            </w:r>
            <w:r w:rsidR="00197DEC">
              <w:rPr>
                <w:rFonts w:ascii="Times New Roman" w:hAnsi="Times New Roman"/>
                <w:color w:val="000000"/>
                <w:sz w:val="24"/>
                <w:szCs w:val="24"/>
                <w:lang w:eastAsia="en-US"/>
              </w:rPr>
              <w:t>Ministerstvo spravodlivosti SR</w:t>
            </w:r>
            <w:r w:rsidR="00780CFB">
              <w:rPr>
                <w:rFonts w:ascii="Times New Roman" w:hAnsi="Times New Roman"/>
                <w:color w:val="000000"/>
                <w:sz w:val="24"/>
                <w:szCs w:val="24"/>
                <w:lang w:eastAsia="en-US"/>
              </w:rPr>
              <w:t>/</w:t>
            </w:r>
            <w:r w:rsidR="00197DEC">
              <w:rPr>
                <w:rFonts w:ascii="Times New Roman" w:hAnsi="Times New Roman"/>
                <w:color w:val="000000"/>
                <w:sz w:val="24"/>
                <w:szCs w:val="24"/>
                <w:lang w:eastAsia="en-US"/>
              </w:rPr>
              <w:t xml:space="preserve"> </w:t>
            </w:r>
          </w:p>
          <w:p w:rsidR="00780CFB" w:rsidRPr="00A9700F" w:rsidP="00780CFB">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08P Financovanie systému súdnictva</w:t>
            </w:r>
          </w:p>
        </w:tc>
        <w:tc>
          <w:tcPr>
            <w:tcW w:w="13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sidR="00780CFB">
              <w:rPr>
                <w:rFonts w:ascii="Times New Roman" w:hAnsi="Times New Roman"/>
                <w:color w:val="000000"/>
                <w:sz w:val="24"/>
                <w:szCs w:val="24"/>
                <w:lang w:eastAsia="en-US"/>
              </w:rPr>
              <w:t>125 468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sidR="00EB3DEF">
              <w:rPr>
                <w:rFonts w:ascii="Times New Roman" w:hAnsi="Times New Roman"/>
                <w:color w:val="000000"/>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r w:rsidR="00EB3DEF">
              <w:rPr>
                <w:rFonts w:ascii="Times New Roman" w:hAnsi="Times New Roman"/>
                <w:color w:val="000000"/>
                <w:sz w:val="24"/>
                <w:szCs w:val="24"/>
                <w:lang w:eastAsia="en-US"/>
              </w:rPr>
              <w:t>0</w:t>
            </w:r>
          </w:p>
        </w:tc>
      </w:tr>
      <w:tr>
        <w:tblPrEx>
          <w:tblW w:w="9851" w:type="dxa"/>
          <w:tblCellMar>
            <w:left w:w="0" w:type="dxa"/>
            <w:right w:w="0" w:type="dxa"/>
          </w:tblCellMar>
        </w:tblPrEx>
        <w:trPr>
          <w:trHeight w:val="70"/>
        </w:trPr>
        <w:tc>
          <w:tcPr>
            <w:tcW w:w="4508"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p>
        </w:tc>
        <w:tc>
          <w:tcPr>
            <w:tcW w:w="137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417" w:type="dxa"/>
            <w:tcBorders>
              <w:top w:val="single" w:sz="4" w:space="0" w:color="auto"/>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color w:val="000000"/>
                <w:sz w:val="24"/>
                <w:szCs w:val="24"/>
                <w:lang w:eastAsia="en-US"/>
              </w:rPr>
            </w:pPr>
          </w:p>
        </w:tc>
      </w:tr>
    </w:tbl>
    <w:p w:rsidR="0084715F" w:rsidP="001750CC">
      <w:pPr>
        <w:bidi w:val="0"/>
        <w:adjustRightInd w:val="0"/>
        <w:jc w:val="both"/>
        <w:rPr>
          <w:rFonts w:ascii="Times New Roman" w:hAnsi="Times New Roman"/>
          <w:color w:val="000000"/>
          <w:sz w:val="24"/>
          <w:szCs w:val="24"/>
          <w:lang w:eastAsia="en-US"/>
        </w:rPr>
      </w:pPr>
    </w:p>
    <w:p w:rsidR="00BC1E77" w:rsidRPr="00A9700F" w:rsidP="001750CC">
      <w:pPr>
        <w:bidi w:val="0"/>
        <w:adjustRightInd w:val="0"/>
        <w:jc w:val="both"/>
        <w:rPr>
          <w:rFonts w:ascii="Times New Roman" w:hAnsi="Times New Roman"/>
          <w:color w:val="000000"/>
          <w:sz w:val="24"/>
          <w:szCs w:val="24"/>
          <w:lang w:eastAsia="en-US"/>
        </w:rPr>
      </w:pPr>
    </w:p>
    <w:p w:rsidR="0084715F" w:rsidRPr="00A9700F" w:rsidP="001750CC">
      <w:pPr>
        <w:bidi w:val="0"/>
        <w:adjustRightInd w:val="0"/>
        <w:outlineLvl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2.2. Financovanie návrhu</w:t>
      </w:r>
    </w:p>
    <w:p w:rsidR="0084715F" w:rsidRPr="00A9700F" w:rsidP="001750CC">
      <w:pPr>
        <w:bidi w:val="0"/>
        <w:adjustRightInd w:val="0"/>
        <w:jc w:val="both"/>
        <w:rPr>
          <w:rFonts w:ascii="Times New Roman" w:hAnsi="Times New Roman"/>
          <w:color w:val="000000"/>
          <w:sz w:val="24"/>
          <w:szCs w:val="24"/>
          <w:lang w:eastAsia="en-US"/>
        </w:rPr>
      </w:pPr>
      <w:r w:rsidRPr="00A9700F">
        <w:rPr>
          <w:rFonts w:ascii="Times New Roman" w:hAnsi="Times New Roman"/>
          <w:color w:val="000000"/>
          <w:szCs w:val="24"/>
          <w:lang w:eastAsia="en-US"/>
        </w:rPr>
        <w:t>Tabuľka č. 2</w:t>
      </w:r>
    </w:p>
    <w:tbl>
      <w:tblPr>
        <w:tblStyle w:val="TableNormal"/>
        <w:tblW w:w="9639" w:type="dxa"/>
        <w:tblLayout w:type="fixed"/>
        <w:tblCellMar>
          <w:left w:w="0" w:type="dxa"/>
          <w:right w:w="0" w:type="dxa"/>
        </w:tblCellMar>
      </w:tblPr>
      <w:tblGrid>
        <w:gridCol w:w="4111"/>
        <w:gridCol w:w="1418"/>
        <w:gridCol w:w="1559"/>
        <w:gridCol w:w="1417"/>
        <w:gridCol w:w="1134"/>
      </w:tblGrid>
      <w:tr>
        <w:tblPrEx>
          <w:tblW w:w="9639" w:type="dxa"/>
          <w:tblLayout w:type="fixed"/>
          <w:tblCellMar>
            <w:left w:w="0" w:type="dxa"/>
            <w:right w:w="0" w:type="dxa"/>
          </w:tblCellMar>
        </w:tblPrEx>
        <w:trPr>
          <w:trHeight w:val="70"/>
        </w:trPr>
        <w:tc>
          <w:tcPr>
            <w:tcW w:w="4111"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Financovanie</w:t>
            </w:r>
          </w:p>
        </w:tc>
        <w:tc>
          <w:tcPr>
            <w:tcW w:w="5528"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 na rozpočet verejnej správy </w:t>
            </w:r>
            <w:r w:rsidRPr="00A9700F">
              <w:rPr>
                <w:rFonts w:ascii="Times New Roman" w:hAnsi="Times New Roman"/>
                <w:b/>
                <w:color w:val="000000"/>
                <w:sz w:val="24"/>
                <w:szCs w:val="24"/>
                <w:lang w:eastAsia="en-US"/>
              </w:rPr>
              <w:t>(v eurách)</w:t>
            </w:r>
          </w:p>
        </w:tc>
      </w:tr>
      <w:tr>
        <w:tblPrEx>
          <w:tblW w:w="9639" w:type="dxa"/>
          <w:tblLayout w:type="fixed"/>
          <w:tblCellMar>
            <w:left w:w="0" w:type="dxa"/>
            <w:right w:w="0" w:type="dxa"/>
          </w:tblCellMar>
        </w:tblPrEx>
        <w:trPr>
          <w:trHeight w:val="70"/>
        </w:trPr>
        <w:tc>
          <w:tcPr>
            <w:tcW w:w="4111" w:type="dxa"/>
            <w:vMerge/>
            <w:tcBorders>
              <w:top w:val="single" w:sz="8" w:space="0" w:color="000000"/>
              <w:left w:val="single" w:sz="8" w:space="0" w:color="000000"/>
              <w:bottom w:val="single" w:sz="8" w:space="0" w:color="000000"/>
              <w:right w:val="single" w:sz="8" w:space="0" w:color="000000"/>
            </w:tcBorders>
            <w:textDirection w:val="lrTb"/>
            <w:vAlign w:val="center"/>
          </w:tcPr>
          <w:p w:rsidR="006D46B0" w:rsidRPr="00A9700F" w:rsidP="001750CC">
            <w:pPr>
              <w:bidi w:val="0"/>
              <w:adjustRightInd w:val="0"/>
              <w:jc w:val="center"/>
              <w:rPr>
                <w:rFonts w:ascii="Times New Roman" w:hAnsi="Times New Roman"/>
                <w:color w:val="000000"/>
                <w:sz w:val="24"/>
                <w:szCs w:val="24"/>
                <w:lang w:eastAsia="en-US"/>
              </w:rPr>
            </w:pPr>
          </w:p>
        </w:tc>
        <w:tc>
          <w:tcPr>
            <w:tcW w:w="141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6D46B0" w:rsidRPr="00A9700F" w:rsidP="005E4B4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4</w:t>
            </w:r>
          </w:p>
        </w:tc>
        <w:tc>
          <w:tcPr>
            <w:tcW w:w="1559"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6D46B0" w:rsidRPr="00A9700F" w:rsidP="005E4B4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5</w:t>
            </w:r>
          </w:p>
        </w:tc>
        <w:tc>
          <w:tcPr>
            <w:tcW w:w="1417"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6D46B0" w:rsidRPr="00A9700F" w:rsidP="005E4B4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6</w:t>
            </w:r>
          </w:p>
        </w:tc>
        <w:tc>
          <w:tcPr>
            <w:tcW w:w="113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6D46B0" w:rsidRPr="00A9700F" w:rsidP="005E4B4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7</w:t>
            </w:r>
          </w:p>
        </w:tc>
      </w:tr>
      <w:tr>
        <w:tblPrEx>
          <w:tblW w:w="9639" w:type="dxa"/>
          <w:tblLayout w:type="fixed"/>
          <w:tblCellMar>
            <w:left w:w="0" w:type="dxa"/>
            <w:right w:w="0" w:type="dxa"/>
          </w:tblCellMar>
        </w:tblPrEx>
        <w:trPr>
          <w:trHeight w:val="70"/>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Celkový vplyv na rozpočet verejnej správy</w:t>
            </w:r>
            <w:r w:rsidR="005F728D">
              <w:rPr>
                <w:rFonts w:ascii="Times New Roman" w:hAnsi="Times New Roman"/>
                <w:b/>
                <w:color w:val="000000"/>
                <w:sz w:val="24"/>
                <w:szCs w:val="24"/>
                <w:lang w:eastAsia="en-US"/>
              </w:rPr>
              <w:t xml:space="preserve"> </w:t>
            </w:r>
            <w:r w:rsidRPr="00A9700F">
              <w:rPr>
                <w:rFonts w:ascii="Times New Roman" w:hAnsi="Times New Roman"/>
                <w:b/>
                <w:color w:val="000000"/>
                <w:sz w:val="24"/>
                <w:szCs w:val="24"/>
                <w:lang w:eastAsia="en-US"/>
              </w:rPr>
              <w:t>( - príjmy, výdavky)</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r w:rsidR="00EB3DEF">
              <w:rPr>
                <w:rFonts w:ascii="Times New Roman" w:hAnsi="Times New Roman"/>
                <w:b/>
                <w:sz w:val="24"/>
                <w:szCs w:val="24"/>
                <w:lang w:eastAsia="en-US"/>
              </w:rPr>
              <w:t>125 468</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r w:rsidR="006D10BE">
              <w:rPr>
                <w:rFonts w:ascii="Times New Roman" w:hAnsi="Times New Roman"/>
                <w:b/>
                <w:sz w:val="24"/>
                <w:szCs w:val="24"/>
                <w:lang w:eastAsia="en-US"/>
              </w:rPr>
              <w:t>5 103 217</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r w:rsidR="006D10BE">
              <w:rPr>
                <w:rFonts w:ascii="Times New Roman" w:hAnsi="Times New Roman"/>
                <w:b/>
                <w:sz w:val="24"/>
                <w:szCs w:val="24"/>
                <w:lang w:eastAsia="en-US"/>
              </w:rPr>
              <w:t>5 100 617</w:t>
            </w:r>
          </w:p>
        </w:tc>
      </w:tr>
      <w:tr>
        <w:tblPrEx>
          <w:tblW w:w="9639" w:type="dxa"/>
          <w:tblLayout w:type="fixed"/>
          <w:tblCellMar>
            <w:left w:w="0" w:type="dxa"/>
            <w:right w:w="0" w:type="dxa"/>
          </w:tblCellMar>
        </w:tblPrEx>
        <w:trPr>
          <w:trHeight w:val="70"/>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z toho vplyv na ŠR</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EB3DEF">
              <w:rPr>
                <w:rFonts w:ascii="Times New Roman" w:hAnsi="Times New Roman"/>
                <w:sz w:val="24"/>
                <w:szCs w:val="24"/>
                <w:lang w:eastAsia="en-US"/>
              </w:rPr>
              <w:t>125 468</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6D10BE">
              <w:rPr>
                <w:rFonts w:ascii="Times New Roman" w:hAnsi="Times New Roman"/>
                <w:sz w:val="24"/>
                <w:szCs w:val="24"/>
                <w:lang w:eastAsia="en-US"/>
              </w:rPr>
              <w:t>5 103 217</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6D10BE">
              <w:rPr>
                <w:rFonts w:ascii="Times New Roman" w:hAnsi="Times New Roman"/>
                <w:sz w:val="24"/>
                <w:szCs w:val="24"/>
                <w:lang w:eastAsia="en-US"/>
              </w:rPr>
              <w:t>5 100 617</w:t>
            </w:r>
          </w:p>
        </w:tc>
      </w:tr>
      <w:tr>
        <w:tblPrEx>
          <w:tblW w:w="9639" w:type="dxa"/>
          <w:tblLayout w:type="fixed"/>
          <w:tblCellMar>
            <w:left w:w="0" w:type="dxa"/>
            <w:right w:w="0" w:type="dxa"/>
          </w:tblCellMar>
        </w:tblPrEx>
        <w:trPr>
          <w:trHeight w:val="151"/>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financovanie zabezpečené v rozpočte</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780CFB">
              <w:rPr>
                <w:rFonts w:ascii="Times New Roman" w:hAnsi="Times New Roman"/>
                <w:sz w:val="24"/>
                <w:szCs w:val="24"/>
                <w:lang w:eastAsia="en-US"/>
              </w:rPr>
              <w:t>125 468</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EB3DEF">
              <w:rPr>
                <w:rFonts w:ascii="Times New Roman" w:hAnsi="Times New Roman"/>
                <w:sz w:val="24"/>
                <w:szCs w:val="24"/>
                <w:lang w:eastAsia="en-US"/>
              </w:rPr>
              <w:t>0</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EB3DEF">
              <w:rPr>
                <w:rFonts w:ascii="Times New Roman" w:hAnsi="Times New Roman"/>
                <w:sz w:val="24"/>
                <w:szCs w:val="24"/>
                <w:lang w:eastAsia="en-US"/>
              </w:rPr>
              <w:t>0</w:t>
            </w:r>
          </w:p>
        </w:tc>
      </w:tr>
      <w:tr>
        <w:tblPrEx>
          <w:tblW w:w="9639" w:type="dxa"/>
          <w:tblLayout w:type="fixed"/>
          <w:tblCellMar>
            <w:left w:w="0" w:type="dxa"/>
            <w:right w:w="0" w:type="dxa"/>
          </w:tblCellMar>
        </w:tblPrEx>
        <w:trPr>
          <w:trHeight w:val="151"/>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color w:val="000000"/>
                <w:sz w:val="24"/>
                <w:szCs w:val="24"/>
                <w:lang w:eastAsia="en-US"/>
              </w:rPr>
              <w:t>Rozpočtovo nekrytý vplyv na ŠR</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780CFB">
              <w:rPr>
                <w:rFonts w:ascii="Times New Roman" w:hAnsi="Times New Roman"/>
                <w:sz w:val="24"/>
                <w:szCs w:val="24"/>
                <w:lang w:eastAsia="en-US"/>
              </w:rPr>
              <w:t>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6D10BE">
              <w:rPr>
                <w:rFonts w:ascii="Times New Roman" w:hAnsi="Times New Roman"/>
                <w:sz w:val="24"/>
                <w:szCs w:val="24"/>
                <w:lang w:eastAsia="en-US"/>
              </w:rPr>
              <w:t>5 103 217</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6D10BE">
              <w:rPr>
                <w:rFonts w:ascii="Times New Roman" w:hAnsi="Times New Roman"/>
                <w:sz w:val="24"/>
                <w:szCs w:val="24"/>
                <w:lang w:eastAsia="en-US"/>
              </w:rPr>
              <w:t>5 100 617</w:t>
            </w:r>
          </w:p>
        </w:tc>
      </w:tr>
    </w:tbl>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84715F" w:rsidRPr="00A9700F" w:rsidP="001750CC">
      <w:pPr>
        <w:bidi w:val="0"/>
        <w:adjustRightInd w:val="0"/>
        <w:rPr>
          <w:rFonts w:ascii="Times New Roman" w:hAnsi="Times New Roman"/>
          <w:b/>
          <w:color w:val="000000"/>
          <w:sz w:val="24"/>
          <w:szCs w:val="24"/>
          <w:lang w:eastAsia="en-US"/>
        </w:rPr>
      </w:pPr>
    </w:p>
    <w:p w:rsidR="0084715F" w:rsidP="00090C4D">
      <w:pPr>
        <w:bidi w:val="0"/>
        <w:adjustRightInd w:val="0"/>
        <w:jc w:val="both"/>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Návrh na riešenie úbytku príjmov alebo zvýšených výdavkov podľa § 33 ods. 1 zákona</w:t>
      </w:r>
      <w:r w:rsidR="00090C4D">
        <w:rPr>
          <w:rFonts w:ascii="Times New Roman" w:hAnsi="Times New Roman"/>
          <w:b/>
          <w:color w:val="000000"/>
          <w:sz w:val="24"/>
          <w:szCs w:val="24"/>
          <w:lang w:eastAsia="en-US"/>
        </w:rPr>
        <w:t xml:space="preserve"> </w:t>
      </w:r>
      <w:r w:rsidRPr="00A9700F">
        <w:rPr>
          <w:rFonts w:ascii="Times New Roman" w:hAnsi="Times New Roman"/>
          <w:b/>
          <w:color w:val="000000"/>
          <w:sz w:val="24"/>
          <w:szCs w:val="24"/>
          <w:lang w:eastAsia="en-US"/>
        </w:rPr>
        <w:t>č. 523/2004 Z. z. o rozpočtových pravidlách verejnej správy:</w:t>
      </w:r>
    </w:p>
    <w:p w:rsidR="00DA1764" w:rsidRPr="00DA1764" w:rsidP="00090C4D">
      <w:pPr>
        <w:bidi w:val="0"/>
        <w:adjustRightInd w:val="0"/>
        <w:jc w:val="both"/>
        <w:rPr>
          <w:rFonts w:ascii="Times New Roman" w:hAnsi="Times New Roman"/>
          <w:color w:val="000000"/>
          <w:sz w:val="24"/>
          <w:szCs w:val="24"/>
          <w:lang w:eastAsia="en-US"/>
        </w:rPr>
      </w:pPr>
      <w:r w:rsidR="00EB3DEF">
        <w:rPr>
          <w:rFonts w:ascii="Times New Roman" w:hAnsi="Times New Roman"/>
          <w:color w:val="000000"/>
          <w:sz w:val="24"/>
          <w:szCs w:val="24"/>
          <w:lang w:eastAsia="en-US"/>
        </w:rPr>
        <w:t xml:space="preserve">Zníženie príjmov a zvýšenie výdavkov v rokoch </w:t>
      </w:r>
      <w:r w:rsidR="00780CFB">
        <w:rPr>
          <w:rFonts w:ascii="Times New Roman" w:hAnsi="Times New Roman"/>
          <w:color w:val="000000"/>
          <w:sz w:val="24"/>
          <w:szCs w:val="24"/>
          <w:lang w:eastAsia="en-US"/>
        </w:rPr>
        <w:t xml:space="preserve">2016 a 2017 </w:t>
      </w:r>
      <w:r w:rsidR="00EB3DEF">
        <w:rPr>
          <w:rFonts w:ascii="Times New Roman" w:hAnsi="Times New Roman"/>
          <w:color w:val="000000"/>
          <w:sz w:val="24"/>
          <w:szCs w:val="24"/>
          <w:lang w:eastAsia="en-US"/>
        </w:rPr>
        <w:t>zohľadniť v záväzných ukazovateľoch rozpočtu kapitoly Ministerstvo spravodlivosti SR.</w:t>
      </w:r>
    </w:p>
    <w:p w:rsidR="0084715F" w:rsidP="001750CC">
      <w:pPr>
        <w:bidi w:val="0"/>
        <w:adjustRightInd w:val="0"/>
        <w:rPr>
          <w:rFonts w:ascii="Times New Roman" w:hAnsi="Times New Roman"/>
          <w:b/>
          <w:color w:val="000000"/>
          <w:sz w:val="24"/>
          <w:szCs w:val="24"/>
          <w:lang w:eastAsia="en-US"/>
        </w:rPr>
      </w:pPr>
    </w:p>
    <w:p w:rsidR="002C6C1F" w:rsidRPr="00A9700F" w:rsidP="001750CC">
      <w:pPr>
        <w:bidi w:val="0"/>
        <w:adjustRightInd w:val="0"/>
        <w:rPr>
          <w:rFonts w:ascii="Times New Roman" w:hAnsi="Times New Roman"/>
          <w:b/>
          <w:color w:val="000000"/>
          <w:sz w:val="24"/>
          <w:szCs w:val="24"/>
          <w:lang w:eastAsia="en-US"/>
        </w:rPr>
      </w:pPr>
    </w:p>
    <w:p w:rsidR="00780CFB" w:rsidP="001750CC">
      <w:pPr>
        <w:bidi w:val="0"/>
        <w:adjustRightInd w:val="0"/>
        <w:outlineLvl w:val="0"/>
        <w:rPr>
          <w:rFonts w:ascii="Times New Roman" w:hAnsi="Times New Roman"/>
          <w:b/>
          <w:color w:val="000000"/>
          <w:sz w:val="24"/>
          <w:szCs w:val="24"/>
          <w:lang w:eastAsia="en-US"/>
        </w:rPr>
      </w:pPr>
    </w:p>
    <w:p w:rsidR="0084715F" w:rsidRPr="00A9700F" w:rsidP="001750CC">
      <w:pPr>
        <w:bidi w:val="0"/>
        <w:adjustRightInd w:val="0"/>
        <w:outlineLvl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2.3. Popis a charakteristika návrhu</w:t>
      </w:r>
    </w:p>
    <w:p w:rsidR="0084715F" w:rsidRPr="00A9700F" w:rsidP="001750CC">
      <w:pPr>
        <w:bidi w:val="0"/>
        <w:adjustRightInd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 </w:t>
      </w:r>
    </w:p>
    <w:p w:rsidR="0084715F" w:rsidRPr="00A9700F" w:rsidP="001750CC">
      <w:pPr>
        <w:bidi w:val="0"/>
        <w:adjustRightInd w:val="0"/>
        <w:jc w:val="both"/>
        <w:outlineLvl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2.3.1. Popis návrhu:</w:t>
      </w:r>
    </w:p>
    <w:p w:rsidR="0084715F" w:rsidRPr="00A9700F" w:rsidP="001750CC">
      <w:pPr>
        <w:bidi w:val="0"/>
        <w:adjustRightInd w:val="0"/>
        <w:jc w:val="both"/>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 </w:t>
      </w:r>
    </w:p>
    <w:p w:rsidR="0084715F" w:rsidRPr="00A9700F" w:rsidP="001750CC">
      <w:pPr>
        <w:bidi w:val="0"/>
        <w:adjustRightInd w:val="0"/>
        <w:jc w:val="both"/>
        <w:outlineLvl w:val="0"/>
        <w:rPr>
          <w:rFonts w:ascii="Times New Roman" w:hAnsi="Times New Roman"/>
          <w:color w:val="000000"/>
          <w:sz w:val="24"/>
          <w:szCs w:val="24"/>
          <w:lang w:eastAsia="en-US"/>
        </w:rPr>
      </w:pPr>
      <w:r w:rsidRPr="00A9700F">
        <w:rPr>
          <w:rFonts w:ascii="Times New Roman" w:hAnsi="Times New Roman"/>
          <w:color w:val="000000"/>
          <w:sz w:val="24"/>
          <w:szCs w:val="24"/>
          <w:u w:val="single"/>
          <w:lang w:eastAsia="en-US"/>
        </w:rPr>
        <w:t>Akú problematiku návrh rieši?</w:t>
      </w:r>
    </w:p>
    <w:p w:rsidR="0084715F" w:rsidRPr="00A9700F" w:rsidP="001750CC">
      <w:pPr>
        <w:bidi w:val="0"/>
        <w:adjustRightInd w:val="0"/>
        <w:jc w:val="both"/>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54438F" w:rsidRPr="00397D20" w:rsidP="0054438F">
      <w:pPr>
        <w:bidi w:val="0"/>
        <w:adjustRightInd w:val="0"/>
        <w:jc w:val="both"/>
        <w:rPr>
          <w:rFonts w:ascii="Times New Roman" w:hAnsi="Times New Roman"/>
          <w:sz w:val="24"/>
          <w:szCs w:val="24"/>
          <w:lang w:eastAsia="en-US"/>
        </w:rPr>
      </w:pPr>
      <w:r w:rsidRPr="00397D20">
        <w:rPr>
          <w:rFonts w:ascii="Times New Roman" w:hAnsi="Times New Roman"/>
          <w:sz w:val="24"/>
          <w:szCs w:val="24"/>
          <w:lang w:eastAsia="en-US"/>
        </w:rPr>
        <w:t>Návrh zákona upravuje technické prostriedky a podmienky ich použitia pri kontrole výkonu rozhodnutí podľa predpisov o konaní pred súdmi.</w:t>
      </w:r>
    </w:p>
    <w:p w:rsidR="0084715F" w:rsidRPr="00766BA3" w:rsidP="001750CC">
      <w:pPr>
        <w:bidi w:val="0"/>
        <w:adjustRightInd w:val="0"/>
        <w:jc w:val="both"/>
        <w:rPr>
          <w:rFonts w:ascii="Times New Roman" w:hAnsi="Times New Roman"/>
          <w:sz w:val="24"/>
          <w:szCs w:val="24"/>
          <w:lang w:eastAsia="en-US"/>
        </w:rPr>
      </w:pPr>
      <w:r w:rsidRPr="00766BA3">
        <w:rPr>
          <w:rFonts w:ascii="Times New Roman" w:hAnsi="Times New Roman"/>
          <w:sz w:val="24"/>
          <w:szCs w:val="24"/>
          <w:lang w:eastAsia="en-US"/>
        </w:rPr>
        <w:t> </w:t>
      </w:r>
    </w:p>
    <w:p w:rsidR="0084715F" w:rsidRPr="00766BA3" w:rsidP="001750CC">
      <w:pPr>
        <w:bidi w:val="0"/>
        <w:adjustRightInd w:val="0"/>
        <w:jc w:val="both"/>
        <w:outlineLvl w:val="0"/>
        <w:rPr>
          <w:rFonts w:ascii="Times New Roman" w:hAnsi="Times New Roman"/>
          <w:sz w:val="24"/>
          <w:szCs w:val="24"/>
          <w:lang w:eastAsia="en-US"/>
        </w:rPr>
      </w:pPr>
      <w:r w:rsidRPr="00766BA3">
        <w:rPr>
          <w:rFonts w:ascii="Times New Roman" w:hAnsi="Times New Roman"/>
          <w:sz w:val="24"/>
          <w:szCs w:val="24"/>
          <w:u w:val="single"/>
          <w:lang w:eastAsia="en-US"/>
        </w:rPr>
        <w:t>Kto bude návrh implementovať?</w:t>
      </w:r>
    </w:p>
    <w:p w:rsidR="0084715F" w:rsidRPr="00766BA3" w:rsidP="001750CC">
      <w:pPr>
        <w:bidi w:val="0"/>
        <w:adjustRightInd w:val="0"/>
        <w:rPr>
          <w:rFonts w:ascii="Times New Roman" w:hAnsi="Times New Roman"/>
          <w:sz w:val="24"/>
          <w:szCs w:val="24"/>
          <w:lang w:eastAsia="en-US"/>
        </w:rPr>
      </w:pPr>
      <w:r w:rsidRPr="00766BA3">
        <w:rPr>
          <w:rFonts w:ascii="Times New Roman" w:hAnsi="Times New Roman"/>
          <w:sz w:val="24"/>
          <w:szCs w:val="24"/>
          <w:lang w:eastAsia="en-US"/>
        </w:rPr>
        <w:t> </w:t>
      </w:r>
    </w:p>
    <w:p w:rsidR="0084715F" w:rsidRPr="00766BA3" w:rsidP="001750CC">
      <w:pPr>
        <w:bidi w:val="0"/>
        <w:adjustRightInd w:val="0"/>
        <w:spacing w:after="200"/>
        <w:jc w:val="both"/>
        <w:rPr>
          <w:rFonts w:ascii="Times New Roman" w:hAnsi="Times New Roman"/>
          <w:sz w:val="24"/>
          <w:szCs w:val="24"/>
          <w:lang w:eastAsia="en-US"/>
        </w:rPr>
      </w:pPr>
      <w:r w:rsidR="00782FA6">
        <w:rPr>
          <w:rFonts w:ascii="Times New Roman" w:hAnsi="Times New Roman"/>
          <w:sz w:val="24"/>
          <w:szCs w:val="24"/>
          <w:lang w:eastAsia="en-US"/>
        </w:rPr>
        <w:t>Ministerstvo spravodlivosti Slovenskej republiky</w:t>
      </w:r>
    </w:p>
    <w:p w:rsidR="00D94559" w:rsidRPr="000924A7" w:rsidP="001750CC">
      <w:pPr>
        <w:bidi w:val="0"/>
        <w:adjustRightInd w:val="0"/>
        <w:spacing w:after="200"/>
        <w:jc w:val="both"/>
        <w:rPr>
          <w:rFonts w:ascii="Times New Roman" w:hAnsi="Times New Roman"/>
          <w:sz w:val="24"/>
          <w:szCs w:val="24"/>
          <w:lang w:eastAsia="en-US"/>
        </w:rPr>
      </w:pPr>
    </w:p>
    <w:p w:rsidR="0084715F" w:rsidRPr="00CD60B2" w:rsidP="001750CC">
      <w:pPr>
        <w:bidi w:val="0"/>
        <w:adjustRightInd w:val="0"/>
        <w:outlineLvl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2.3.2. Charakteristika návrhu podľa bodu 2.3.2. Metodiky :</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 </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w:t>
      </w:r>
      <w:r w:rsidR="00FF7F78">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zmena sadzby</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zmena v nároku</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xml:space="preserve"> </w:t>
      </w:r>
      <w:r w:rsidR="00310719">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nová služba alebo nariadenie (alebo ich zrušenie)</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w:t>
      </w:r>
      <w:r w:rsidR="00FF7F78">
        <w:rPr>
          <w:rFonts w:ascii="Times New Roman" w:hAnsi="Times New Roman"/>
          <w:b/>
          <w:color w:val="000000"/>
          <w:sz w:val="24"/>
          <w:szCs w:val="24"/>
          <w:bdr w:val="single" w:sz="8" w:space="0" w:color="000000"/>
          <w:lang w:eastAsia="en-US"/>
        </w:rPr>
        <w:t>x</w:t>
      </w: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kombinovaný návrh</w:t>
      </w: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bdr w:val="single" w:sz="8" w:space="0" w:color="000000"/>
          <w:lang w:eastAsia="en-US"/>
        </w:rPr>
        <w:t xml:space="preserve">     </w:t>
      </w:r>
      <w:r w:rsidRPr="00CD60B2">
        <w:rPr>
          <w:rFonts w:ascii="Times New Roman" w:hAnsi="Times New Roman"/>
          <w:b/>
          <w:color w:val="000000"/>
          <w:sz w:val="24"/>
          <w:szCs w:val="24"/>
          <w:lang w:eastAsia="en-US"/>
        </w:rPr>
        <w:t xml:space="preserve">  iné </w:t>
      </w:r>
    </w:p>
    <w:p w:rsidR="0084715F" w:rsidP="001750CC">
      <w:pPr>
        <w:bidi w:val="0"/>
        <w:adjustRightInd w:val="0"/>
        <w:rPr>
          <w:rFonts w:ascii="Times New Roman" w:hAnsi="Times New Roman"/>
          <w:b/>
          <w:color w:val="000000"/>
          <w:sz w:val="24"/>
          <w:szCs w:val="24"/>
          <w:lang w:eastAsia="en-US"/>
        </w:rPr>
      </w:pPr>
    </w:p>
    <w:p w:rsidR="00DA1764" w:rsidRPr="00CD60B2" w:rsidP="001750CC">
      <w:pPr>
        <w:bidi w:val="0"/>
        <w:adjustRightInd w:val="0"/>
        <w:rPr>
          <w:rFonts w:ascii="Times New Roman" w:hAnsi="Times New Roman"/>
          <w:b/>
          <w:color w:val="000000"/>
          <w:sz w:val="24"/>
          <w:szCs w:val="24"/>
          <w:lang w:eastAsia="en-US"/>
        </w:rPr>
      </w:pP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2.3.3. Predpoklady vývoja objemu aktivít:</w:t>
      </w:r>
    </w:p>
    <w:p w:rsidR="0084715F" w:rsidRPr="00CD60B2" w:rsidP="001750CC">
      <w:pPr>
        <w:bidi w:val="0"/>
        <w:adjustRightInd w:val="0"/>
        <w:ind w:left="-480"/>
        <w:jc w:val="both"/>
        <w:outlineLvl w:val="0"/>
        <w:rPr>
          <w:rFonts w:ascii="Times New Roman" w:hAnsi="Times New Roman"/>
          <w:color w:val="000000"/>
          <w:sz w:val="24"/>
          <w:szCs w:val="24"/>
          <w:lang w:eastAsia="en-US"/>
        </w:rPr>
      </w:pPr>
      <w:r w:rsidRPr="00CD60B2">
        <w:rPr>
          <w:rFonts w:ascii="Times New Roman" w:hAnsi="Times New Roman"/>
          <w:color w:val="000000"/>
          <w:szCs w:val="24"/>
          <w:lang w:eastAsia="en-US"/>
        </w:rPr>
        <w:tab/>
        <w:t xml:space="preserve">Tabuľka č. 3 </w:t>
      </w:r>
    </w:p>
    <w:tbl>
      <w:tblPr>
        <w:tblStyle w:val="TableNormal"/>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Pr>
                <w:rFonts w:ascii="Times New Roman" w:hAnsi="Times New Roman"/>
                <w:b/>
                <w:bCs/>
                <w:color w:val="FFFFFF" w:themeColor="bg1" w:themeShade="FF"/>
                <w:sz w:val="22"/>
                <w:szCs w:val="22"/>
                <w:lang w:eastAsia="en-US"/>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Pr>
                <w:rFonts w:ascii="Times New Roman" w:hAnsi="Times New Roman"/>
                <w:b/>
                <w:bCs/>
                <w:color w:val="FFFFFF" w:themeColor="bg1" w:themeShade="FF"/>
                <w:sz w:val="22"/>
                <w:szCs w:val="22"/>
                <w:lang w:eastAsia="en-US"/>
              </w:rPr>
              <w:t>Odhadované objemy</w:t>
            </w:r>
          </w:p>
        </w:tc>
      </w:tr>
      <w:tr>
        <w:tblPrEx>
          <w:tblW w:w="9066" w:type="dxa"/>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sidR="00766BA3">
              <w:rPr>
                <w:rFonts w:ascii="Times New Roman" w:hAnsi="Times New Roman"/>
                <w:b/>
                <w:bCs/>
                <w:color w:val="FFFFFF" w:themeColor="bg1" w:themeShade="FF"/>
                <w:sz w:val="22"/>
                <w:szCs w:val="22"/>
                <w:lang w:eastAsia="en-US"/>
              </w:rPr>
              <w:t>2015</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sidR="00766BA3">
              <w:rPr>
                <w:rFonts w:ascii="Times New Roman" w:hAnsi="Times New Roman"/>
                <w:b/>
                <w:bCs/>
                <w:color w:val="FFFFFF" w:themeColor="bg1" w:themeShade="FF"/>
                <w:sz w:val="22"/>
                <w:szCs w:val="22"/>
                <w:lang w:eastAsia="en-US"/>
              </w:rPr>
              <w:t>2016</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sidR="00766BA3">
              <w:rPr>
                <w:rFonts w:ascii="Times New Roman" w:hAnsi="Times New Roman"/>
                <w:b/>
                <w:bCs/>
                <w:color w:val="FFFFFF" w:themeColor="bg1" w:themeShade="FF"/>
                <w:sz w:val="22"/>
                <w:szCs w:val="22"/>
                <w:lang w:eastAsia="en-US"/>
              </w:rPr>
              <w:t>2017</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sidR="00766BA3">
              <w:rPr>
                <w:rFonts w:ascii="Times New Roman" w:hAnsi="Times New Roman"/>
                <w:b/>
                <w:bCs/>
                <w:color w:val="FFFFFF" w:themeColor="bg1" w:themeShade="FF"/>
                <w:sz w:val="22"/>
                <w:szCs w:val="22"/>
                <w:lang w:eastAsia="en-US"/>
              </w:rPr>
              <w:t>2018</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84715F" w:rsidRPr="00CD60B2" w:rsidP="000924A7">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84715F" w:rsidRPr="00CD60B2" w:rsidP="000924A7">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84715F" w:rsidRPr="00CD60B2" w:rsidP="000924A7">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bl>
    <w:p w:rsidR="0054620A" w:rsidP="001750CC">
      <w:pPr>
        <w:bidi w:val="0"/>
        <w:adjustRightInd w:val="0"/>
        <w:spacing w:after="120"/>
        <w:ind w:left="-480"/>
        <w:outlineLvl w:val="0"/>
        <w:rPr>
          <w:rFonts w:ascii="Times New Roman" w:hAnsi="Times New Roman"/>
          <w:b/>
          <w:color w:val="000000"/>
          <w:sz w:val="24"/>
          <w:szCs w:val="24"/>
          <w:lang w:eastAsia="en-US"/>
        </w:rPr>
      </w:pPr>
    </w:p>
    <w:p w:rsidR="0054620A" w:rsidP="001750CC">
      <w:pPr>
        <w:bidi w:val="0"/>
        <w:adjustRightInd w:val="0"/>
        <w:spacing w:after="120"/>
        <w:ind w:left="-480"/>
        <w:outlineLvl w:val="0"/>
        <w:rPr>
          <w:rFonts w:ascii="Times New Roman" w:hAnsi="Times New Roman"/>
          <w:b/>
          <w:color w:val="000000"/>
          <w:sz w:val="24"/>
          <w:szCs w:val="24"/>
          <w:lang w:eastAsia="en-US"/>
        </w:rPr>
      </w:pPr>
    </w:p>
    <w:p w:rsidR="0054620A" w:rsidP="001750CC">
      <w:pPr>
        <w:bidi w:val="0"/>
        <w:adjustRightInd w:val="0"/>
        <w:spacing w:after="120"/>
        <w:ind w:left="-480"/>
        <w:outlineLvl w:val="0"/>
        <w:rPr>
          <w:rFonts w:ascii="Times New Roman" w:hAnsi="Times New Roman"/>
          <w:b/>
          <w:color w:val="000000"/>
          <w:sz w:val="24"/>
          <w:szCs w:val="24"/>
          <w:lang w:eastAsia="en-US"/>
        </w:rPr>
      </w:pPr>
    </w:p>
    <w:p w:rsidR="0084715F" w:rsidRPr="00CD60B2" w:rsidP="001750CC">
      <w:pPr>
        <w:bidi w:val="0"/>
        <w:adjustRightInd w:val="0"/>
        <w:spacing w:after="120"/>
        <w:ind w:left="-480"/>
        <w:outlineLvl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2.3.4. Výpočty vplyvov na verejné financie</w:t>
      </w:r>
    </w:p>
    <w:p w:rsidR="0084715F" w:rsidP="001750CC">
      <w:pPr>
        <w:bidi w:val="0"/>
        <w:adjustRightInd w:val="0"/>
        <w:spacing w:after="12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 </w:t>
      </w:r>
    </w:p>
    <w:p w:rsidR="00AE730C" w:rsidRPr="00AE730C" w:rsidP="00AE730C">
      <w:pPr>
        <w:bidi w:val="0"/>
        <w:jc w:val="both"/>
        <w:rPr>
          <w:rFonts w:ascii="Times New Roman" w:hAnsi="Times New Roman"/>
          <w:b/>
          <w:sz w:val="24"/>
          <w:szCs w:val="24"/>
        </w:rPr>
      </w:pPr>
      <w:r w:rsidRPr="00AE730C">
        <w:rPr>
          <w:rFonts w:ascii="Times New Roman" w:hAnsi="Times New Roman"/>
          <w:b/>
          <w:sz w:val="24"/>
          <w:szCs w:val="24"/>
        </w:rPr>
        <w:t>Negatívny vplyv na rozpočet</w:t>
      </w:r>
    </w:p>
    <w:p w:rsidR="00AE730C" w:rsidRPr="00AE730C" w:rsidP="00AE730C">
      <w:pPr>
        <w:bidi w:val="0"/>
        <w:ind w:firstLine="708"/>
        <w:jc w:val="both"/>
        <w:rPr>
          <w:rFonts w:ascii="Times New Roman" w:hAnsi="Times New Roman"/>
          <w:sz w:val="24"/>
          <w:szCs w:val="24"/>
        </w:rPr>
      </w:pPr>
    </w:p>
    <w:p w:rsidR="00AE730C" w:rsidRPr="00AE730C" w:rsidP="00AE730C">
      <w:pPr>
        <w:bidi w:val="0"/>
        <w:ind w:firstLine="708"/>
        <w:jc w:val="both"/>
        <w:rPr>
          <w:rFonts w:ascii="Times New Roman" w:hAnsi="Times New Roman"/>
          <w:sz w:val="24"/>
          <w:szCs w:val="24"/>
        </w:rPr>
      </w:pPr>
      <w:r w:rsidRPr="00AE730C">
        <w:rPr>
          <w:rFonts w:ascii="Times New Roman" w:hAnsi="Times New Roman"/>
          <w:sz w:val="24"/>
          <w:szCs w:val="24"/>
        </w:rPr>
        <w:t>Realizácia „monitorovaného výkonu trestu domáceho väzenia“ bude mať vplyv aj na zníženie zamestnanosti a nadväzne aj na zníženie príjmov štátneho rozpočtu, ktoré sú z úhrad trov výkonu trestu odňatia slobody a trov výkonu väzby z pracovných odmien odsúdených. Predpokladané ročné zníženie príjmov štátneho rozpočtu na otvorených oddeleniach by predstavovalo 261 580 eur.</w:t>
      </w:r>
    </w:p>
    <w:p w:rsidR="00AE730C" w:rsidRPr="00AE730C" w:rsidP="00AE730C">
      <w:pPr>
        <w:bidi w:val="0"/>
        <w:jc w:val="both"/>
        <w:rPr>
          <w:rFonts w:ascii="Times New Roman" w:hAnsi="Times New Roman"/>
          <w:b/>
          <w:sz w:val="24"/>
          <w:szCs w:val="24"/>
        </w:rPr>
      </w:pPr>
    </w:p>
    <w:p w:rsidR="00AE730C" w:rsidRPr="00AE730C" w:rsidP="00AE730C">
      <w:pPr>
        <w:bidi w:val="0"/>
        <w:ind w:firstLine="708"/>
        <w:jc w:val="both"/>
        <w:rPr>
          <w:rFonts w:ascii="Times New Roman" w:hAnsi="Times New Roman"/>
          <w:sz w:val="24"/>
          <w:szCs w:val="24"/>
        </w:rPr>
      </w:pPr>
      <w:r w:rsidRPr="00AE730C">
        <w:rPr>
          <w:rFonts w:ascii="Times New Roman" w:hAnsi="Times New Roman"/>
          <w:sz w:val="24"/>
          <w:szCs w:val="24"/>
        </w:rPr>
        <w:t xml:space="preserve">V súvislosti s realizáciou projektu ESMO (Elektronické služby monitoringu osôb) financovaného z fondov EÚ v rámci Operačného programu Informatizácia spoločnosti je potrebné zabezpečiť adekvátne personálne kapacity, priestorové zabezpečenie a prevádzkyschopnosť centrálneho monitorovacieho systému, ktorý bude spustený do pilotnej prevádzky od 1.7.2015 a do produktívnej prevádzky od 1.1.2016. </w:t>
      </w:r>
      <w:r w:rsidR="000B50CE">
        <w:rPr>
          <w:rFonts w:ascii="Times New Roman" w:hAnsi="Times New Roman"/>
          <w:sz w:val="24"/>
          <w:szCs w:val="24"/>
        </w:rPr>
        <w:t>B</w:t>
      </w:r>
      <w:r w:rsidRPr="00AE730C">
        <w:rPr>
          <w:rFonts w:ascii="Times New Roman" w:hAnsi="Times New Roman"/>
          <w:sz w:val="24"/>
          <w:szCs w:val="24"/>
        </w:rPr>
        <w:t xml:space="preserve">ude potrebné od 1.7.2015 zriadiť útvar Ministerstva spravodlivosti Slovenskej republiky (ďalej len „ministerstvo“), operačné stredisko s 24-hodinovou prevádzkou, ktoré bude sídliť v priestoroch ministerstva, a ktoré bude vyžadovať vytvorenie troch nových štátnozamestnaneckých miest, z toho jedného </w:t>
      </w:r>
      <w:r w:rsidR="000B50CE">
        <w:rPr>
          <w:rFonts w:ascii="Times New Roman" w:hAnsi="Times New Roman"/>
          <w:sz w:val="24"/>
          <w:szCs w:val="24"/>
        </w:rPr>
        <w:t>vedúceho</w:t>
      </w:r>
      <w:r w:rsidRPr="00AE730C">
        <w:rPr>
          <w:rFonts w:ascii="Times New Roman" w:hAnsi="Times New Roman"/>
          <w:sz w:val="24"/>
          <w:szCs w:val="24"/>
        </w:rPr>
        <w:t xml:space="preserve"> zamestnanca a od 1.1.2016 vytvorenie </w:t>
      </w:r>
      <w:r w:rsidR="000B50CE">
        <w:rPr>
          <w:rFonts w:ascii="Times New Roman" w:hAnsi="Times New Roman"/>
          <w:sz w:val="24"/>
          <w:szCs w:val="24"/>
        </w:rPr>
        <w:t xml:space="preserve">ďalších </w:t>
      </w:r>
      <w:r w:rsidRPr="00AE730C">
        <w:rPr>
          <w:rFonts w:ascii="Times New Roman" w:hAnsi="Times New Roman"/>
          <w:sz w:val="24"/>
          <w:szCs w:val="24"/>
        </w:rPr>
        <w:t>dvoch nových</w:t>
      </w:r>
      <w:r w:rsidR="000B50CE">
        <w:rPr>
          <w:rFonts w:ascii="Times New Roman" w:hAnsi="Times New Roman"/>
          <w:sz w:val="24"/>
          <w:szCs w:val="24"/>
        </w:rPr>
        <w:t xml:space="preserve"> </w:t>
      </w:r>
      <w:r w:rsidRPr="00AE730C">
        <w:rPr>
          <w:rFonts w:ascii="Times New Roman" w:hAnsi="Times New Roman"/>
          <w:sz w:val="24"/>
          <w:szCs w:val="24"/>
        </w:rPr>
        <w:t>štátnozamestnaneckých miest s nasledovným finančným dopadom na rozpočet.</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Rok 2015</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610 Mzdy, platy, služobné príjmy a OOV                                                31 620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620 Poistné a príspevok do poisťovní                                                      11 052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630 Tovary a služby,                                                                                   5 100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materiálno-technické zabezpečenie                                                                          4 050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strava a prídel do sociálneho fondu                                                                           1 050 eur</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Rok 2016</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610 Mzdy, platy, služobné príjmy a OOV                                              102 886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620 Poistné a príspevok do poisťovní                                                     35 959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630 Tovary a služby                                                                                   6 600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materiálno-technické zabezpečenie                                                                           3 100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strava a prídel do sociálneho fondu                                                                           3 500 eur</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Rok 2017</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610 Mzdy, platy, služobné príjmy a OOV                                              102 886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620 Poistné a príspevok do poisťovní                                                     35 959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630 Tovary a služby                                                                                   4 000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materiálno-technické zabezpečenie                                                                             500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strava a prídel do sociálneho fondu                                                                          3 500 eur</w:t>
      </w:r>
    </w:p>
    <w:p w:rsidR="00AE730C" w:rsidRPr="00AE730C" w:rsidP="00AE730C">
      <w:pPr>
        <w:bidi w:val="0"/>
        <w:ind w:firstLine="708"/>
        <w:jc w:val="both"/>
        <w:rPr>
          <w:rFonts w:ascii="Times New Roman" w:hAnsi="Times New Roman"/>
          <w:sz w:val="24"/>
          <w:szCs w:val="24"/>
        </w:rPr>
      </w:pPr>
    </w:p>
    <w:p w:rsidR="00AE730C" w:rsidRPr="00AE730C" w:rsidP="00AE730C">
      <w:pPr>
        <w:bidi w:val="0"/>
        <w:ind w:firstLine="708"/>
        <w:jc w:val="both"/>
        <w:rPr>
          <w:rFonts w:ascii="Times New Roman" w:hAnsi="Times New Roman"/>
          <w:sz w:val="24"/>
          <w:szCs w:val="24"/>
        </w:rPr>
      </w:pPr>
      <w:r w:rsidRPr="00AE730C">
        <w:rPr>
          <w:rFonts w:ascii="Times New Roman" w:hAnsi="Times New Roman"/>
          <w:sz w:val="24"/>
          <w:szCs w:val="24"/>
        </w:rPr>
        <w:t xml:space="preserve">Ďalej bude v tejto súvislosti potrebné od 1.7.2015 vykonať organizačné zmeny na krajských a okresných súdoch, týkajúce sa probačných a mediačných úradníkov (ďalej len „PMÚ“). V súčasnosti pracuje na 54 okresných súdoch 63 PMÚ, a to na každom okresnom súde jeden s výnimkou okresných súdov v sídle kde sú v siedmych prípadoch dvaja PMÚ a v jednom prípade traja PMÚ zaradení do 8. platovej triedy v zmysle zákona </w:t>
        <w:br/>
        <w:t>č. 400/2009 Z .z. o štátnej službe a o zmene a doplnení niektorých zákonov. Z dôvodu zabezpečenia jednotného a funkčného výkonu probácie a mediácie, jeho efektívnejšieho metodického usmerňovania a zároveň zastupiteľnosti PMÚ budú zriadené nové organizačné útvary na krajských súdoch, pod ktoré budú začlenení PMÚ z okresných súdov v rámci obvodu krajského súdu, pričom ich miesto výkonu práce ostane naďalej na okresnom súde. Ďalej vznikne v rámci existujúceho počtu PMÚ osem riadiacich zamestnancov a zároveň bude v rámci kraja zavedená pohotovosť na telefóne mimo pracovnej doby zabezpečená jedným PMÚ v rámci kraja z dôvodu zabezpečenia nepretržitého priebehu kontroly a riešenia prípadných bezpečnostných incidentov. Finančný dopad na rozpočet je v nasledovnom objeme.</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Rok 2015</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610 Mzdy, platy, služobné príjmy a OOV                                                 22 561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príplatok za riadenie                                                                                                  12 432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náhrady na neaktívnu časť služobnej pohotovosti                                                    10 129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620 Poistné a príspevok do poisťovní                                                        7 885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630 Tovary a služby                                                                                  47 250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materiálno-technické zabezpečenie                                                                          9 450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cestovné náhrady                                                                                                      37 800 eur</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Rok 2016</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610 Mzdy, platy, služobné príjmy a OOV                                                 45 122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príplatok za riadenie                                                                                                  24 864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náhrady na neaktívnu časť služobnej pohotovosti                                                   20 258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620 Poistné a príspevok do poisťovní                                                       15 770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630 Tovary a služby                                                                                  94 500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materiálno-technické zabezpečenie                                                                        18 900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cestovné náhrady                                                                                                      75 600 eur</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Rok 2017</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610 Mzdy, platy, služobné príjmy a OOV                                                 45 122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príplatok za riadenie                                                                                                  24 864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náhrady na neaktívnu časť služobnej pohotovosti                                                   20 258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620 Poistné a príspevok do poisťovní                                                       15 770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630 Tovary a služby                                                                                  94 500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materiálno-technické zabezpečenie                                                                         18 900 eur</w:t>
      </w:r>
    </w:p>
    <w:p w:rsidR="00AE730C" w:rsidRPr="00AE730C" w:rsidP="00AE730C">
      <w:pPr>
        <w:bidi w:val="0"/>
        <w:jc w:val="both"/>
        <w:rPr>
          <w:rFonts w:ascii="Times New Roman" w:hAnsi="Times New Roman"/>
          <w:sz w:val="24"/>
          <w:szCs w:val="24"/>
        </w:rPr>
      </w:pPr>
      <w:r w:rsidR="000B50CE">
        <w:rPr>
          <w:rFonts w:ascii="Times New Roman" w:hAnsi="Times New Roman"/>
          <w:sz w:val="24"/>
          <w:szCs w:val="24"/>
        </w:rPr>
        <w:t xml:space="preserve">   </w:t>
      </w:r>
      <w:r w:rsidRPr="00AE730C">
        <w:rPr>
          <w:rFonts w:ascii="Times New Roman" w:hAnsi="Times New Roman"/>
          <w:sz w:val="24"/>
          <w:szCs w:val="24"/>
        </w:rPr>
        <w:t>cestovné náhrady                                                                                                      75 600 eur</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ab/>
        <w:t>Výdavky súvisiace so správou centrálneho monitorovacieho systému bude potrebné zabezpečiť od roku 2016 každoročne vo výške 4 540 800 eur na rozvoj a podporu nasledovne.</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Rok 2016</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700 Kapitálové výdavky                                                                         672 000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630 Tovary a služby                                                                            3 868 800 eur</w:t>
      </w:r>
    </w:p>
    <w:p w:rsidR="00AE730C" w:rsidRPr="00AE730C" w:rsidP="00AE730C">
      <w:pPr>
        <w:bidi w:val="0"/>
        <w:jc w:val="both"/>
        <w:rPr>
          <w:rFonts w:ascii="Times New Roman" w:hAnsi="Times New Roman"/>
          <w:sz w:val="24"/>
          <w:szCs w:val="24"/>
        </w:rPr>
      </w:pP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Rok 2017</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700 Kapitálové výdavky                                                                         672 000 eur</w:t>
      </w:r>
    </w:p>
    <w:p w:rsidR="00AE730C" w:rsidRPr="00AE730C" w:rsidP="00AE730C">
      <w:pPr>
        <w:bidi w:val="0"/>
        <w:jc w:val="both"/>
        <w:rPr>
          <w:rFonts w:ascii="Times New Roman" w:hAnsi="Times New Roman"/>
          <w:sz w:val="24"/>
          <w:szCs w:val="24"/>
        </w:rPr>
      </w:pPr>
      <w:r w:rsidRPr="00AE730C">
        <w:rPr>
          <w:rFonts w:ascii="Times New Roman" w:hAnsi="Times New Roman"/>
          <w:sz w:val="24"/>
          <w:szCs w:val="24"/>
        </w:rPr>
        <w:t>Kategória 630 Tovary a služby                                                                            3 868 800 eur</w:t>
      </w:r>
    </w:p>
    <w:p w:rsidR="00AE730C" w:rsidRPr="00AE730C" w:rsidP="00AE730C">
      <w:pPr>
        <w:bidi w:val="0"/>
        <w:jc w:val="both"/>
        <w:rPr>
          <w:rFonts w:ascii="Times New Roman" w:hAnsi="Times New Roman"/>
          <w:sz w:val="24"/>
          <w:szCs w:val="24"/>
        </w:rPr>
      </w:pPr>
    </w:p>
    <w:p w:rsidR="00AE730C" w:rsidRPr="00AE730C" w:rsidP="00AE730C">
      <w:pPr>
        <w:bidi w:val="0"/>
        <w:ind w:firstLine="708"/>
        <w:jc w:val="both"/>
        <w:rPr>
          <w:rFonts w:ascii="Times New Roman" w:hAnsi="Times New Roman"/>
          <w:sz w:val="24"/>
          <w:szCs w:val="24"/>
        </w:rPr>
      </w:pPr>
      <w:r w:rsidRPr="00AE730C">
        <w:rPr>
          <w:rFonts w:ascii="Times New Roman" w:hAnsi="Times New Roman"/>
          <w:sz w:val="24"/>
          <w:szCs w:val="24"/>
        </w:rPr>
        <w:t xml:space="preserve">Pri vykonávaní kontroly výkonu niektorých rozhodnutí technickými prostriedkami môžu vzniknúť  ďalšie neočakávané okolnosti, ktoré môžu mať vplyv na rozpočet, ktoré však nie je možné v tomto čase definovať a vyčísliť. </w:t>
      </w:r>
    </w:p>
    <w:p w:rsidR="0054620A" w:rsidP="001750CC">
      <w:pPr>
        <w:tabs>
          <w:tab w:val="left" w:pos="993"/>
        </w:tabs>
        <w:bidi w:val="0"/>
        <w:adjustRightInd w:val="0"/>
        <w:spacing w:after="120"/>
        <w:ind w:left="240"/>
        <w:jc w:val="both"/>
        <w:rPr>
          <w:rFonts w:ascii="Times New Roman" w:hAnsi="Times New Roman"/>
          <w:i/>
          <w:iCs/>
          <w:sz w:val="24"/>
          <w:szCs w:val="24"/>
          <w:lang w:eastAsia="en-US"/>
        </w:rPr>
        <w:sectPr w:rsidSect="0054620A">
          <w:headerReference w:type="default" r:id="rId5"/>
          <w:pgSz w:w="11906" w:h="16838"/>
          <w:pgMar w:top="1418" w:right="1418" w:bottom="1418" w:left="1418" w:header="709" w:footer="709" w:gutter="0"/>
          <w:lnNumType w:distance="0"/>
          <w:cols w:space="708"/>
          <w:noEndnote w:val="0"/>
          <w:bidi w:val="0"/>
          <w:docGrid w:linePitch="360"/>
        </w:sectPr>
      </w:pPr>
    </w:p>
    <w:p w:rsidR="0054620A" w:rsidRPr="00CD60B2" w:rsidP="001750CC">
      <w:pPr>
        <w:tabs>
          <w:tab w:val="left" w:pos="993"/>
        </w:tabs>
        <w:bidi w:val="0"/>
        <w:adjustRightInd w:val="0"/>
        <w:spacing w:after="120"/>
        <w:ind w:left="240"/>
        <w:jc w:val="both"/>
        <w:rPr>
          <w:rFonts w:ascii="Times New Roman" w:hAnsi="Times New Roman"/>
          <w:i/>
          <w:iCs/>
          <w:sz w:val="24"/>
          <w:szCs w:val="24"/>
          <w:lang w:eastAsia="en-US"/>
        </w:rPr>
      </w:pPr>
    </w:p>
    <w:p w:rsidR="0084715F" w:rsidRPr="00CD60B2" w:rsidP="001750CC">
      <w:pPr>
        <w:bidi w:val="0"/>
        <w:adjustRightInd w:val="0"/>
        <w:outlineLvl w:val="0"/>
        <w:rPr>
          <w:rFonts w:ascii="Times New Roman" w:hAnsi="Times New Roman"/>
          <w:color w:val="000000"/>
          <w:lang w:eastAsia="en-US"/>
        </w:rPr>
      </w:pPr>
      <w:r w:rsidRPr="00CD60B2">
        <w:rPr>
          <w:rFonts w:ascii="Times New Roman" w:hAnsi="Times New Roman"/>
          <w:color w:val="000000"/>
          <w:lang w:eastAsia="en-US"/>
        </w:rPr>
        <w:t xml:space="preserve">Tabuľka č. 4 </w:t>
      </w:r>
    </w:p>
    <w:tbl>
      <w:tblPr>
        <w:tblStyle w:val="TableNormal"/>
        <w:tblW w:w="13200" w:type="dxa"/>
        <w:tblInd w:w="-50" w:type="dxa"/>
        <w:tblCellMar>
          <w:left w:w="0" w:type="dxa"/>
          <w:right w:w="0" w:type="dxa"/>
        </w:tblCellMar>
      </w:tblPr>
      <w:tblGrid>
        <w:gridCol w:w="4560"/>
        <w:gridCol w:w="1488"/>
        <w:gridCol w:w="1488"/>
        <w:gridCol w:w="1488"/>
        <w:gridCol w:w="1633"/>
        <w:gridCol w:w="2543"/>
      </w:tblGrid>
      <w:tr>
        <w:tblPrEx>
          <w:tblW w:w="13200" w:type="dxa"/>
          <w:tblInd w:w="-50" w:type="dxa"/>
          <w:tblCellMar>
            <w:left w:w="0" w:type="dxa"/>
            <w:right w:w="0" w:type="dxa"/>
          </w:tblCellMar>
        </w:tblPrEx>
        <w:trPr>
          <w:trHeight w:val="255"/>
        </w:trPr>
        <w:tc>
          <w:tcPr>
            <w:tcW w:w="456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color w:val="FFFFFF" w:themeColor="bg1" w:themeShade="FF"/>
                <w:sz w:val="24"/>
                <w:szCs w:val="24"/>
                <w:lang w:eastAsia="en-US"/>
              </w:rPr>
              <w:t> </w:t>
            </w:r>
            <w:r w:rsidRPr="000924A7">
              <w:rPr>
                <w:rFonts w:ascii="Times New Roman" w:hAnsi="Times New Roman"/>
                <w:b/>
                <w:color w:val="FFFFFF" w:themeColor="bg1" w:themeShade="FF"/>
                <w:sz w:val="24"/>
                <w:szCs w:val="24"/>
                <w:lang w:eastAsia="en-US"/>
              </w:rPr>
              <w:t>Príjmy (v eurách)</w:t>
            </w:r>
          </w:p>
        </w:tc>
        <w:tc>
          <w:tcPr>
            <w:tcW w:w="6097"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Vplyv na rozpočet verejnej správy</w:t>
            </w:r>
          </w:p>
        </w:tc>
        <w:tc>
          <w:tcPr>
            <w:tcW w:w="2543" w:type="dxa"/>
            <w:vMerge w:val="restart"/>
            <w:tcBorders>
              <w:top w:val="single" w:sz="8" w:space="0" w:color="000000"/>
              <w:left w:val="nil"/>
              <w:bottom w:val="none" w:sz="0" w:space="0" w:color="auto"/>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poznámka</w:t>
            </w:r>
          </w:p>
        </w:tc>
      </w:tr>
      <w:tr>
        <w:tblPrEx>
          <w:tblW w:w="13200" w:type="dxa"/>
          <w:tblInd w:w="-50" w:type="dxa"/>
          <w:tblCellMar>
            <w:left w:w="0" w:type="dxa"/>
            <w:right w:w="0" w:type="dxa"/>
          </w:tblCellMar>
        </w:tblPrEx>
        <w:trPr>
          <w:trHeight w:val="255"/>
        </w:trPr>
        <w:tc>
          <w:tcPr>
            <w:tcW w:w="4560" w:type="dxa"/>
            <w:vMerge/>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1750CC">
            <w:pPr>
              <w:bidi w:val="0"/>
              <w:adjustRightInd w:val="0"/>
              <w:jc w:val="center"/>
              <w:rPr>
                <w:rFonts w:ascii="Times New Roman" w:hAnsi="Times New Roman"/>
                <w:color w:val="FFFFFF"/>
                <w:sz w:val="24"/>
                <w:szCs w:val="24"/>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201</w:t>
            </w:r>
            <w:r w:rsidRPr="000924A7" w:rsidR="006D46B0">
              <w:rPr>
                <w:rFonts w:ascii="Times New Roman" w:hAnsi="Times New Roman"/>
                <w:b/>
                <w:color w:val="FFFFFF" w:themeColor="bg1" w:themeShade="FF"/>
                <w:sz w:val="24"/>
                <w:szCs w:val="24"/>
                <w:lang w:eastAsia="en-US"/>
              </w:rPr>
              <w:t>4</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0924A7" w:rsidP="006D46B0">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201</w:t>
            </w:r>
            <w:r w:rsidRPr="000924A7" w:rsidR="006D46B0">
              <w:rPr>
                <w:rFonts w:ascii="Times New Roman" w:hAnsi="Times New Roman"/>
                <w:b/>
                <w:color w:val="FFFFFF" w:themeColor="bg1" w:themeShade="FF"/>
                <w:sz w:val="24"/>
                <w:szCs w:val="24"/>
                <w:lang w:eastAsia="en-US"/>
              </w:rPr>
              <w:t>5</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201</w:t>
            </w:r>
            <w:r w:rsidRPr="000924A7" w:rsidR="006D46B0">
              <w:rPr>
                <w:rFonts w:ascii="Times New Roman" w:hAnsi="Times New Roman"/>
                <w:b/>
                <w:color w:val="FFFFFF" w:themeColor="bg1" w:themeShade="FF"/>
                <w:sz w:val="24"/>
                <w:szCs w:val="24"/>
                <w:lang w:eastAsia="en-US"/>
              </w:rPr>
              <w:t>6</w:t>
            </w:r>
          </w:p>
        </w:tc>
        <w:tc>
          <w:tcPr>
            <w:tcW w:w="163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201</w:t>
            </w:r>
            <w:r w:rsidRPr="000924A7" w:rsidR="006D46B0">
              <w:rPr>
                <w:rFonts w:ascii="Times New Roman" w:hAnsi="Times New Roman"/>
                <w:b/>
                <w:color w:val="FFFFFF" w:themeColor="bg1" w:themeShade="FF"/>
                <w:sz w:val="24"/>
                <w:szCs w:val="24"/>
                <w:lang w:eastAsia="en-US"/>
              </w:rPr>
              <w:t>7</w:t>
            </w:r>
          </w:p>
        </w:tc>
        <w:tc>
          <w:tcPr>
            <w:tcW w:w="2543" w:type="dxa"/>
            <w:vMerge/>
            <w:tcBorders>
              <w:top w:val="none" w:sz="0" w:space="0" w:color="auto"/>
              <w:left w:val="nil"/>
              <w:bottom w:val="single" w:sz="8" w:space="0" w:color="000000"/>
              <w:right w:val="single" w:sz="8" w:space="0" w:color="000000"/>
            </w:tcBorders>
            <w:textDirection w:val="lrTb"/>
            <w:vAlign w:val="center"/>
          </w:tcPr>
          <w:p w:rsidR="0084715F" w:rsidRPr="00CD60B2" w:rsidP="001750CC">
            <w:pPr>
              <w:bidi w:val="0"/>
              <w:adjustRightInd w:val="0"/>
              <w:jc w:val="center"/>
              <w:rPr>
                <w:rFonts w:ascii="Times New Roman" w:hAnsi="Times New Roman"/>
                <w:color w:val="FFFFFF"/>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Daňové príjmy* (100)</w:t>
            </w:r>
            <w:r w:rsidRPr="00CD60B2">
              <w:rPr>
                <w:rFonts w:ascii="Times New Roman" w:hAnsi="Times New Roman"/>
                <w:b/>
                <w:color w:val="000000"/>
                <w:sz w:val="24"/>
                <w:szCs w:val="24"/>
                <w:vertAlign w:val="superscript"/>
                <w:lang w:eastAsia="en-US"/>
              </w:rPr>
              <w:t xml:space="preserve"> 1</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1750CC">
            <w:pPr>
              <w:bidi w:val="0"/>
              <w:adjustRightInd w:val="0"/>
              <w:jc w:val="center"/>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F57177" w:rsidP="002521D5">
            <w:pPr>
              <w:bidi w:val="0"/>
              <w:adjustRightInd w:val="0"/>
              <w:rPr>
                <w:rFonts w:ascii="Times New Roman" w:hAnsi="Times New Roman"/>
                <w:b/>
                <w:color w:val="000000"/>
                <w:sz w:val="24"/>
                <w:szCs w:val="24"/>
                <w:vertAlign w:val="superscript"/>
                <w:lang w:eastAsia="en-US"/>
              </w:rPr>
            </w:pPr>
            <w:r w:rsidRPr="00CD60B2">
              <w:rPr>
                <w:rFonts w:ascii="Times New Roman" w:hAnsi="Times New Roman"/>
                <w:b/>
                <w:color w:val="000000"/>
                <w:sz w:val="24"/>
                <w:szCs w:val="24"/>
                <w:lang w:eastAsia="en-US"/>
              </w:rPr>
              <w:t>Nedaňové príjmy (</w:t>
            </w:r>
            <w:r w:rsidR="002521D5">
              <w:rPr>
                <w:rFonts w:ascii="Times New Roman" w:hAnsi="Times New Roman"/>
                <w:b/>
                <w:color w:val="000000"/>
                <w:sz w:val="24"/>
                <w:szCs w:val="24"/>
                <w:lang w:eastAsia="en-US"/>
              </w:rPr>
              <w:t>200</w:t>
            </w:r>
            <w:r w:rsidRPr="00CD60B2">
              <w:rPr>
                <w:rFonts w:ascii="Times New Roman" w:hAnsi="Times New Roman"/>
                <w:b/>
                <w:color w:val="000000"/>
                <w:sz w:val="24"/>
                <w:szCs w:val="24"/>
                <w:lang w:eastAsia="en-US"/>
              </w:rPr>
              <w:t>)</w:t>
            </w:r>
            <w:r w:rsidRPr="00CD60B2">
              <w:rPr>
                <w:rFonts w:ascii="Times New Roman" w:hAnsi="Times New Roman"/>
                <w:b/>
                <w:color w:val="000000"/>
                <w:sz w:val="24"/>
                <w:szCs w:val="24"/>
                <w:vertAlign w:val="superscript"/>
                <w:lang w:eastAsia="en-US"/>
              </w:rPr>
              <w:t xml:space="preserve"> 1</w:t>
            </w:r>
          </w:p>
          <w:p w:rsidR="00BC1E77" w:rsidRPr="00BC1E77" w:rsidP="00FC3420">
            <w:pPr>
              <w:bidi w:val="0"/>
              <w:adjustRightInd w:val="0"/>
              <w:rPr>
                <w:rFonts w:ascii="Times New Roman" w:hAnsi="Times New Roman"/>
                <w:b/>
                <w:color w:val="000000"/>
                <w:sz w:val="24"/>
                <w:szCs w:val="24"/>
                <w:lang w:eastAsia="en-US"/>
              </w:rPr>
            </w:pPr>
            <w:r>
              <w:rPr>
                <w:rFonts w:ascii="Times New Roman" w:hAnsi="Times New Roman"/>
                <w:b/>
                <w:color w:val="000000"/>
                <w:sz w:val="24"/>
                <w:szCs w:val="24"/>
                <w:lang w:eastAsia="en-US"/>
              </w:rPr>
              <w:t xml:space="preserve">220 – Administratívne poplatky a iné poplatky a platby </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DA1764" w:rsidP="00DA1764">
            <w:pPr>
              <w:bidi w:val="0"/>
              <w:adjustRightInd w:val="0"/>
              <w:jc w:val="right"/>
              <w:rPr>
                <w:rFonts w:ascii="Times New Roman" w:hAnsi="Times New Roman"/>
                <w:color w:val="000000"/>
                <w:sz w:val="24"/>
                <w:szCs w:val="24"/>
                <w:lang w:eastAsia="en-US"/>
              </w:rPr>
            </w:pPr>
          </w:p>
          <w:p w:rsidR="00F57177"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BC1E77" w:rsidP="00DA1764">
            <w:pPr>
              <w:bidi w:val="0"/>
              <w:adjustRightInd w:val="0"/>
              <w:jc w:val="right"/>
              <w:rPr>
                <w:rFonts w:ascii="Times New Roman" w:hAnsi="Times New Roman"/>
                <w:color w:val="000000"/>
                <w:sz w:val="24"/>
                <w:szCs w:val="24"/>
                <w:lang w:eastAsia="en-US"/>
              </w:rPr>
            </w:pPr>
          </w:p>
          <w:p w:rsidR="00BC1E77" w:rsidRPr="00CD60B2" w:rsidP="00FC3420">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BC1E77" w:rsidP="00DA1764">
            <w:pPr>
              <w:bidi w:val="0"/>
              <w:adjustRightInd w:val="0"/>
              <w:jc w:val="right"/>
              <w:rPr>
                <w:rFonts w:ascii="Times New Roman" w:hAnsi="Times New Roman"/>
                <w:color w:val="000000"/>
                <w:sz w:val="24"/>
                <w:szCs w:val="24"/>
                <w:lang w:eastAsia="en-US"/>
              </w:rPr>
            </w:pPr>
          </w:p>
          <w:p w:rsidR="00F57177" w:rsidP="00DA1764">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 xml:space="preserve">- </w:t>
            </w:r>
            <w:r w:rsidR="00FC3420">
              <w:rPr>
                <w:rFonts w:ascii="Times New Roman" w:hAnsi="Times New Roman"/>
                <w:color w:val="000000"/>
                <w:sz w:val="24"/>
                <w:szCs w:val="24"/>
                <w:lang w:eastAsia="en-US"/>
              </w:rPr>
              <w:t>261 580</w:t>
            </w:r>
          </w:p>
          <w:p w:rsidR="00BC1E77" w:rsidRPr="00CD60B2" w:rsidP="00DA1764">
            <w:pPr>
              <w:bidi w:val="0"/>
              <w:adjustRightInd w:val="0"/>
              <w:jc w:val="right"/>
              <w:rPr>
                <w:rFonts w:ascii="Times New Roman" w:hAnsi="Times New Roman"/>
                <w:color w:val="000000"/>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BC1E77" w:rsidP="00DA1764">
            <w:pPr>
              <w:bidi w:val="0"/>
              <w:adjustRightInd w:val="0"/>
              <w:jc w:val="right"/>
              <w:rPr>
                <w:rFonts w:ascii="Times New Roman" w:hAnsi="Times New Roman"/>
                <w:color w:val="000000"/>
                <w:sz w:val="24"/>
                <w:szCs w:val="24"/>
                <w:lang w:eastAsia="en-US"/>
              </w:rPr>
            </w:pPr>
          </w:p>
          <w:p w:rsidR="00F57177" w:rsidRPr="00CD60B2" w:rsidP="00FC3420">
            <w:pPr>
              <w:bidi w:val="0"/>
              <w:adjustRightInd w:val="0"/>
              <w:jc w:val="right"/>
              <w:rPr>
                <w:rFonts w:ascii="Times New Roman" w:hAnsi="Times New Roman"/>
                <w:color w:val="000000"/>
                <w:sz w:val="24"/>
                <w:szCs w:val="24"/>
                <w:lang w:eastAsia="en-US"/>
              </w:rPr>
            </w:pPr>
            <w:r w:rsidR="00BC1E77">
              <w:rPr>
                <w:rFonts w:ascii="Times New Roman" w:hAnsi="Times New Roman"/>
                <w:color w:val="000000"/>
                <w:sz w:val="24"/>
                <w:szCs w:val="24"/>
                <w:lang w:eastAsia="en-US"/>
              </w:rPr>
              <w:t xml:space="preserve">- </w:t>
            </w:r>
            <w:r w:rsidR="00FC3420">
              <w:rPr>
                <w:rFonts w:ascii="Times New Roman" w:hAnsi="Times New Roman"/>
                <w:color w:val="000000"/>
                <w:sz w:val="24"/>
                <w:szCs w:val="24"/>
                <w:lang w:eastAsia="en-US"/>
              </w:rPr>
              <w:t>261 580</w:t>
            </w: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F57177" w:rsidRPr="00CD60B2" w:rsidP="001750CC">
            <w:pPr>
              <w:bidi w:val="0"/>
              <w:adjustRightInd w:val="0"/>
              <w:jc w:val="center"/>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Granty a transfery (300)</w:t>
            </w:r>
            <w:r w:rsidRPr="00CD60B2">
              <w:rPr>
                <w:rFonts w:ascii="Times New Roman" w:hAnsi="Times New Roman"/>
                <w:b/>
                <w:color w:val="000000"/>
                <w:sz w:val="24"/>
                <w:szCs w:val="24"/>
                <w:vertAlign w:val="superscript"/>
                <w:lang w:eastAsia="en-US"/>
              </w:rPr>
              <w:t>1</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color w:val="000000"/>
                <w:sz w:val="24"/>
                <w:szCs w:val="24"/>
                <w:lang w:eastAsia="en-US"/>
              </w:rPr>
              <w:t> </w:t>
            </w: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Príjmy z transakcií s finančnými aktívami a finančnými pasívami (400)</w:t>
            </w:r>
            <w:r w:rsidRPr="00CD60B2">
              <w:rPr>
                <w:rFonts w:ascii="Times New Roman" w:hAnsi="Times New Roman"/>
                <w:b/>
                <w:color w:val="000000"/>
                <w:sz w:val="24"/>
                <w:szCs w:val="24"/>
                <w:vertAlign w:val="superscript"/>
                <w:lang w:eastAsia="en-US"/>
              </w:rPr>
              <w:t xml:space="preserve"> 1</w:t>
            </w: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color w:val="000000"/>
                <w:sz w:val="24"/>
                <w:szCs w:val="24"/>
                <w:lang w:eastAsia="en-US"/>
              </w:rPr>
              <w:t> </w:t>
            </w: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Prijaté úvery, pôžičky a návratné finančné výpomoci (500)</w:t>
            </w:r>
            <w:r w:rsidRPr="00CD60B2">
              <w:rPr>
                <w:rFonts w:ascii="Times New Roman" w:hAnsi="Times New Roman"/>
                <w:b/>
                <w:color w:val="000000"/>
                <w:sz w:val="24"/>
                <w:szCs w:val="24"/>
                <w:vertAlign w:val="superscript"/>
                <w:lang w:eastAsia="en-US"/>
              </w:rPr>
              <w:t xml:space="preserve"> 1</w:t>
            </w: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color w:val="000000"/>
                <w:sz w:val="24"/>
                <w:szCs w:val="24"/>
                <w:lang w:eastAsia="en-US"/>
              </w:rPr>
              <w:t> </w:t>
            </w: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0924A7" w:rsidP="001750CC">
            <w:pPr>
              <w:bidi w:val="0"/>
              <w:adjustRightInd w:val="0"/>
              <w:jc w:val="center"/>
              <w:rPr>
                <w:rFonts w:ascii="Times New Roman" w:hAnsi="Times New Roman"/>
                <w:b/>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Dopad na príjmy verejnej správy celkom</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6D10BE" w:rsidP="00DA1764">
            <w:pPr>
              <w:bidi w:val="0"/>
              <w:adjustRightInd w:val="0"/>
              <w:jc w:val="right"/>
              <w:rPr>
                <w:rFonts w:ascii="Times New Roman" w:hAnsi="Times New Roman"/>
                <w:b/>
                <w:color w:val="FFFFFF" w:themeColor="bg1" w:themeShade="FF"/>
                <w:sz w:val="24"/>
                <w:szCs w:val="24"/>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6D10BE" w:rsidP="00DA1764">
            <w:pPr>
              <w:bidi w:val="0"/>
              <w:adjustRightInd w:val="0"/>
              <w:jc w:val="right"/>
              <w:rPr>
                <w:rFonts w:ascii="Times New Roman" w:hAnsi="Times New Roman"/>
                <w:b/>
                <w:color w:val="FFFFFF" w:themeColor="bg1" w:themeShade="FF"/>
                <w:sz w:val="24"/>
                <w:szCs w:val="24"/>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6D10BE" w:rsidP="00FC3420">
            <w:pPr>
              <w:bidi w:val="0"/>
              <w:adjustRightInd w:val="0"/>
              <w:jc w:val="right"/>
              <w:rPr>
                <w:rFonts w:ascii="Times New Roman" w:hAnsi="Times New Roman"/>
                <w:b/>
                <w:color w:val="FFFFFF" w:themeColor="bg1" w:themeShade="FF"/>
                <w:sz w:val="24"/>
                <w:szCs w:val="24"/>
                <w:lang w:eastAsia="en-US"/>
              </w:rPr>
            </w:pPr>
            <w:r w:rsidRPr="006D10BE" w:rsidR="00BC1E77">
              <w:rPr>
                <w:rFonts w:ascii="Times New Roman" w:hAnsi="Times New Roman"/>
                <w:b/>
                <w:color w:val="FFFFFF" w:themeColor="bg1" w:themeShade="FF"/>
                <w:sz w:val="24"/>
                <w:szCs w:val="24"/>
                <w:lang w:eastAsia="en-US"/>
              </w:rPr>
              <w:t xml:space="preserve">- </w:t>
            </w:r>
            <w:r w:rsidRPr="006D10BE" w:rsidR="00FC3420">
              <w:rPr>
                <w:rFonts w:ascii="Times New Roman" w:hAnsi="Times New Roman"/>
                <w:b/>
                <w:color w:val="FFFFFF" w:themeColor="bg1" w:themeShade="FF"/>
                <w:sz w:val="24"/>
                <w:szCs w:val="24"/>
                <w:lang w:eastAsia="en-US"/>
              </w:rPr>
              <w:t>261 580</w:t>
            </w:r>
          </w:p>
        </w:tc>
        <w:tc>
          <w:tcPr>
            <w:tcW w:w="163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6D10BE" w:rsidP="00FC3420">
            <w:pPr>
              <w:bidi w:val="0"/>
              <w:adjustRightInd w:val="0"/>
              <w:jc w:val="right"/>
              <w:rPr>
                <w:rFonts w:ascii="Times New Roman" w:hAnsi="Times New Roman"/>
                <w:b/>
                <w:color w:val="FFFFFF" w:themeColor="bg1" w:themeShade="FF"/>
                <w:sz w:val="24"/>
                <w:szCs w:val="24"/>
                <w:lang w:eastAsia="en-US"/>
              </w:rPr>
            </w:pPr>
            <w:r w:rsidRPr="006D10BE" w:rsidR="00BC1E77">
              <w:rPr>
                <w:rFonts w:ascii="Times New Roman" w:hAnsi="Times New Roman"/>
                <w:b/>
                <w:color w:val="FFFFFF" w:themeColor="bg1" w:themeShade="FF"/>
                <w:sz w:val="24"/>
                <w:szCs w:val="24"/>
                <w:lang w:eastAsia="en-US"/>
              </w:rPr>
              <w:t xml:space="preserve">- </w:t>
            </w:r>
            <w:r w:rsidRPr="006D10BE" w:rsidR="00FC3420">
              <w:rPr>
                <w:rFonts w:ascii="Times New Roman" w:hAnsi="Times New Roman"/>
                <w:b/>
                <w:color w:val="FFFFFF" w:themeColor="bg1" w:themeShade="FF"/>
                <w:sz w:val="24"/>
                <w:szCs w:val="24"/>
                <w:lang w:eastAsia="en-US"/>
              </w:rPr>
              <w:t>261 580</w:t>
            </w:r>
          </w:p>
        </w:tc>
        <w:tc>
          <w:tcPr>
            <w:tcW w:w="254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bottom"/>
          </w:tcPr>
          <w:p w:rsidR="00F57177" w:rsidRPr="006D10BE" w:rsidP="001750CC">
            <w:pPr>
              <w:bidi w:val="0"/>
              <w:adjustRightInd w:val="0"/>
              <w:jc w:val="center"/>
              <w:rPr>
                <w:rFonts w:ascii="Times New Roman" w:hAnsi="Times New Roman"/>
                <w:b/>
                <w:color w:val="FFFFFF" w:themeColor="bg1" w:themeShade="FF"/>
                <w:sz w:val="24"/>
                <w:szCs w:val="24"/>
                <w:lang w:eastAsia="en-US"/>
              </w:rPr>
            </w:pPr>
            <w:r w:rsidRPr="006D10BE">
              <w:rPr>
                <w:rFonts w:ascii="Times New Roman" w:hAnsi="Times New Roman"/>
                <w:b/>
                <w:color w:val="FFFFFF" w:themeColor="bg1" w:themeShade="FF"/>
                <w:sz w:val="24"/>
                <w:szCs w:val="24"/>
                <w:lang w:eastAsia="en-US"/>
              </w:rPr>
              <w:t> </w:t>
            </w:r>
          </w:p>
        </w:tc>
      </w:tr>
    </w:tbl>
    <w:p w:rsidR="0084715F" w:rsidRPr="00CD60B2" w:rsidP="001750CC">
      <w:pPr>
        <w:bidi w:val="0"/>
        <w:adjustRightInd w:val="0"/>
        <w:ind w:right="-578"/>
        <w:rPr>
          <w:rFonts w:ascii="Times New Roman" w:hAnsi="Times New Roman"/>
          <w:color w:val="000000"/>
          <w:lang w:eastAsia="en-US"/>
        </w:rPr>
      </w:pPr>
      <w:r w:rsidRPr="00CD60B2">
        <w:rPr>
          <w:rFonts w:ascii="Times New Roman" w:hAnsi="Times New Roman"/>
          <w:color w:val="000000"/>
          <w:sz w:val="22"/>
          <w:szCs w:val="22"/>
          <w:vertAlign w:val="superscript"/>
          <w:lang w:eastAsia="en-US"/>
        </w:rPr>
        <w:t>1</w:t>
      </w:r>
      <w:r w:rsidRPr="00CD60B2">
        <w:rPr>
          <w:rFonts w:ascii="Times New Roman" w:hAnsi="Times New Roman"/>
          <w:color w:val="000000"/>
          <w:lang w:eastAsia="en-US"/>
        </w:rPr>
        <w:t xml:space="preserve"> položky podľa platnej ekonomickej klasifikácie</w:t>
      </w:r>
    </w:p>
    <w:p w:rsidR="0084715F" w:rsidRPr="000924A7" w:rsidP="00D26678">
      <w:pPr>
        <w:bidi w:val="0"/>
        <w:adjustRightInd w:val="0"/>
        <w:jc w:val="both"/>
        <w:rPr>
          <w:rFonts w:ascii="Times New Roman" w:hAnsi="Times New Roman"/>
          <w:sz w:val="24"/>
          <w:szCs w:val="24"/>
          <w:lang w:eastAsia="en-US"/>
        </w:rPr>
      </w:pPr>
      <w:r w:rsidRPr="00CD60B2">
        <w:rPr>
          <w:rFonts w:ascii="Calibri" w:hAnsi="Calibri"/>
          <w:sz w:val="22"/>
          <w:szCs w:val="22"/>
          <w:lang w:eastAsia="en-US"/>
        </w:rPr>
        <w:br w:type="column"/>
      </w:r>
      <w:r w:rsidRPr="000924A7">
        <w:rPr>
          <w:rFonts w:ascii="Times New Roman" w:hAnsi="Times New Roman"/>
          <w:lang w:eastAsia="en-US"/>
        </w:rPr>
        <w:t xml:space="preserve">Tabuľka č. 5 </w:t>
      </w:r>
    </w:p>
    <w:tbl>
      <w:tblPr>
        <w:tblStyle w:val="TableNormal"/>
        <w:tblW w:w="13080" w:type="dxa"/>
        <w:tblInd w:w="70" w:type="dxa"/>
        <w:tblCellMar>
          <w:left w:w="0" w:type="dxa"/>
          <w:right w:w="0" w:type="dxa"/>
        </w:tblCellMar>
      </w:tblPr>
      <w:tblGrid>
        <w:gridCol w:w="6480"/>
        <w:gridCol w:w="1680"/>
        <w:gridCol w:w="1680"/>
        <w:gridCol w:w="1560"/>
        <w:gridCol w:w="1680"/>
      </w:tblGrid>
      <w:tr>
        <w:tblPrEx>
          <w:tblW w:w="13080" w:type="dxa"/>
          <w:tblInd w:w="70" w:type="dxa"/>
          <w:tblCellMar>
            <w:left w:w="0" w:type="dxa"/>
            <w:right w:w="0" w:type="dxa"/>
          </w:tblCellMar>
        </w:tblPrEx>
        <w:trPr>
          <w:trHeight w:val="255"/>
        </w:trPr>
        <w:tc>
          <w:tcPr>
            <w:tcW w:w="648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Výdavky (v eurách)</w:t>
            </w:r>
          </w:p>
        </w:tc>
        <w:tc>
          <w:tcPr>
            <w:tcW w:w="6600"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Vplyv na rozpočet verejnej správy</w:t>
            </w:r>
          </w:p>
        </w:tc>
      </w:tr>
      <w:tr>
        <w:tblPrEx>
          <w:tblW w:w="13080" w:type="dxa"/>
          <w:tblInd w:w="70" w:type="dxa"/>
          <w:tblCellMar>
            <w:left w:w="0" w:type="dxa"/>
            <w:right w:w="0" w:type="dxa"/>
          </w:tblCellMar>
        </w:tblPrEx>
        <w:trPr>
          <w:trHeight w:val="255"/>
        </w:trPr>
        <w:tc>
          <w:tcPr>
            <w:tcW w:w="6480" w:type="dxa"/>
            <w:vMerge/>
            <w:tcBorders>
              <w:top w:val="single" w:sz="8" w:space="0" w:color="000000"/>
              <w:left w:val="single" w:sz="8" w:space="0" w:color="000000"/>
              <w:bottom w:val="single" w:sz="8" w:space="0" w:color="000000"/>
              <w:right w:val="single" w:sz="8" w:space="0" w:color="000000"/>
            </w:tcBorders>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p>
        </w:tc>
        <w:tc>
          <w:tcPr>
            <w:tcW w:w="1680" w:type="dxa"/>
            <w:tcBorders>
              <w:top w:val="single" w:sz="8" w:space="0" w:color="000000"/>
              <w:left w:val="nil"/>
              <w:bottom w:val="single" w:sz="8" w:space="0" w:color="000000"/>
              <w:right w:val="single" w:sz="8" w:space="0" w:color="000000"/>
            </w:tcBorders>
            <w:shd w:val="solid" w:color="000000" w:fill="auto"/>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rok  201</w:t>
            </w:r>
            <w:r w:rsidRPr="000924A7" w:rsidR="006D46B0">
              <w:rPr>
                <w:rFonts w:ascii="Times New Roman" w:hAnsi="Times New Roman"/>
                <w:b/>
                <w:color w:val="FFFFFF" w:themeColor="bg1" w:themeShade="FF"/>
                <w:sz w:val="24"/>
                <w:szCs w:val="24"/>
                <w:lang w:eastAsia="en-US"/>
              </w:rPr>
              <w:t>4</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rok 201</w:t>
            </w:r>
            <w:r w:rsidRPr="000924A7" w:rsidR="006D46B0">
              <w:rPr>
                <w:rFonts w:ascii="Times New Roman" w:hAnsi="Times New Roman"/>
                <w:b/>
                <w:color w:val="FFFFFF" w:themeColor="bg1" w:themeShade="FF"/>
                <w:sz w:val="24"/>
                <w:szCs w:val="24"/>
                <w:lang w:eastAsia="en-US"/>
              </w:rPr>
              <w:t>5</w:t>
            </w:r>
          </w:p>
        </w:tc>
        <w:tc>
          <w:tcPr>
            <w:tcW w:w="156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766BA3">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rok 201</w:t>
            </w:r>
            <w:r w:rsidRPr="000924A7" w:rsidR="006D46B0">
              <w:rPr>
                <w:rFonts w:ascii="Times New Roman" w:hAnsi="Times New Roman"/>
                <w:b/>
                <w:color w:val="FFFFFF" w:themeColor="bg1" w:themeShade="FF"/>
                <w:sz w:val="24"/>
                <w:szCs w:val="24"/>
                <w:lang w:eastAsia="en-US"/>
              </w:rPr>
              <w:t>6</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1750CC">
            <w:pPr>
              <w:bidi w:val="0"/>
              <w:adjustRightInd w:val="0"/>
              <w:jc w:val="center"/>
              <w:rPr>
                <w:rFonts w:ascii="Times New Roman" w:hAnsi="Times New Roman"/>
                <w:b/>
                <w:color w:val="FFFFFF" w:themeColor="bg1" w:themeShade="FF"/>
                <w:sz w:val="24"/>
                <w:szCs w:val="24"/>
                <w:lang w:eastAsia="en-US"/>
              </w:rPr>
            </w:pPr>
            <w:r w:rsidRPr="000924A7" w:rsidR="00766BA3">
              <w:rPr>
                <w:rFonts w:ascii="Times New Roman" w:hAnsi="Times New Roman"/>
                <w:b/>
                <w:color w:val="FFFFFF" w:themeColor="bg1" w:themeShade="FF"/>
                <w:sz w:val="24"/>
                <w:szCs w:val="24"/>
                <w:lang w:eastAsia="en-US"/>
              </w:rPr>
              <w:t>rok 201</w:t>
            </w:r>
            <w:r w:rsidRPr="000924A7" w:rsidR="006D46B0">
              <w:rPr>
                <w:rFonts w:ascii="Times New Roman" w:hAnsi="Times New Roman"/>
                <w:b/>
                <w:color w:val="FFFFFF" w:themeColor="bg1" w:themeShade="FF"/>
                <w:sz w:val="24"/>
                <w:szCs w:val="24"/>
                <w:lang w:eastAsia="en-US"/>
              </w:rPr>
              <w:t>7</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Bežné výdavky (600)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r w:rsidR="00AB1930">
              <w:rPr>
                <w:rFonts w:ascii="Times New Roman" w:hAnsi="Times New Roman"/>
                <w:b/>
                <w:color w:val="000000"/>
                <w:sz w:val="24"/>
                <w:szCs w:val="24"/>
                <w:lang w:eastAsia="en-US"/>
              </w:rPr>
              <w:t>125 468</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r w:rsidR="00C607AB">
              <w:rPr>
                <w:rFonts w:ascii="Times New Roman" w:hAnsi="Times New Roman"/>
                <w:b/>
                <w:color w:val="000000"/>
                <w:sz w:val="24"/>
                <w:szCs w:val="24"/>
                <w:lang w:eastAsia="en-US"/>
              </w:rPr>
              <w:t>4 169 637</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r w:rsidR="000924A7">
              <w:rPr>
                <w:rFonts w:ascii="Times New Roman" w:hAnsi="Times New Roman"/>
                <w:b/>
                <w:color w:val="000000"/>
                <w:sz w:val="24"/>
                <w:szCs w:val="24"/>
                <w:lang w:eastAsia="en-US"/>
              </w:rPr>
              <w:t>4 167 037</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F82361"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Mzdy, platy, služobné príjmy a ostatné osobné vyrovnania (610)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F82361"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AB1930">
            <w:pPr>
              <w:tabs>
                <w:tab w:val="left" w:pos="1061"/>
                <w:tab w:val="left" w:pos="2666"/>
              </w:tabs>
              <w:bidi w:val="0"/>
              <w:adjustRightInd w:val="0"/>
              <w:ind w:left="-144" w:firstLine="144"/>
              <w:jc w:val="right"/>
              <w:rPr>
                <w:rFonts w:ascii="Times New Roman" w:hAnsi="Times New Roman"/>
                <w:color w:val="000000"/>
                <w:sz w:val="24"/>
                <w:szCs w:val="24"/>
                <w:lang w:eastAsia="en-US"/>
              </w:rPr>
            </w:pPr>
            <w:r w:rsidRPr="00F82361">
              <w:rPr>
                <w:rFonts w:ascii="Times New Roman" w:hAnsi="Times New Roman"/>
                <w:color w:val="000000"/>
                <w:sz w:val="24"/>
                <w:szCs w:val="24"/>
                <w:lang w:eastAsia="en-US"/>
              </w:rPr>
              <w:t>54 181</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F7405B">
            <w:pPr>
              <w:tabs>
                <w:tab w:val="left" w:pos="1061"/>
                <w:tab w:val="left" w:pos="2666"/>
              </w:tabs>
              <w:bidi w:val="0"/>
              <w:adjustRightInd w:val="0"/>
              <w:ind w:left="-144" w:firstLine="144"/>
              <w:jc w:val="right"/>
              <w:rPr>
                <w:rFonts w:ascii="Times New Roman" w:hAnsi="Times New Roman"/>
                <w:color w:val="000000"/>
                <w:sz w:val="24"/>
                <w:szCs w:val="24"/>
                <w:lang w:eastAsia="en-US"/>
              </w:rPr>
            </w:pPr>
            <w:r w:rsidRPr="00F82361">
              <w:rPr>
                <w:rFonts w:ascii="Times New Roman" w:hAnsi="Times New Roman"/>
                <w:color w:val="000000"/>
                <w:sz w:val="24"/>
                <w:szCs w:val="24"/>
                <w:lang w:eastAsia="en-US"/>
              </w:rPr>
              <w:t> 148 008</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F7405B">
            <w:pPr>
              <w:tabs>
                <w:tab w:val="left" w:pos="1061"/>
                <w:tab w:val="left" w:pos="2666"/>
              </w:tabs>
              <w:bidi w:val="0"/>
              <w:adjustRightInd w:val="0"/>
              <w:ind w:left="-144" w:firstLine="144"/>
              <w:jc w:val="right"/>
              <w:rPr>
                <w:rFonts w:ascii="Times New Roman" w:hAnsi="Times New Roman"/>
                <w:color w:val="000000"/>
                <w:sz w:val="24"/>
                <w:szCs w:val="24"/>
                <w:lang w:eastAsia="en-US"/>
              </w:rPr>
            </w:pPr>
            <w:r w:rsidRPr="00F82361">
              <w:rPr>
                <w:rFonts w:ascii="Times New Roman" w:hAnsi="Times New Roman"/>
                <w:color w:val="000000"/>
                <w:sz w:val="24"/>
                <w:szCs w:val="24"/>
                <w:lang w:eastAsia="en-US"/>
              </w:rPr>
              <w:t> 148 008</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F82361"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Poistné a príspevok do poisťovní (620)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F82361"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AB1930">
            <w:pPr>
              <w:tabs>
                <w:tab w:val="left" w:pos="1061"/>
                <w:tab w:val="left" w:pos="2666"/>
              </w:tabs>
              <w:bidi w:val="0"/>
              <w:adjustRightInd w:val="0"/>
              <w:ind w:left="-144" w:firstLine="144"/>
              <w:jc w:val="right"/>
              <w:rPr>
                <w:rFonts w:ascii="Times New Roman" w:hAnsi="Times New Roman"/>
                <w:color w:val="000000"/>
                <w:sz w:val="24"/>
                <w:szCs w:val="24"/>
                <w:lang w:eastAsia="en-US"/>
              </w:rPr>
            </w:pPr>
            <w:r w:rsidRPr="00F82361">
              <w:rPr>
                <w:rFonts w:ascii="Times New Roman" w:hAnsi="Times New Roman"/>
                <w:color w:val="000000"/>
                <w:sz w:val="24"/>
                <w:szCs w:val="24"/>
                <w:lang w:eastAsia="en-US"/>
              </w:rPr>
              <w:t>18 937</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AB1930">
            <w:pPr>
              <w:tabs>
                <w:tab w:val="left" w:pos="1061"/>
                <w:tab w:val="left" w:pos="2666"/>
              </w:tabs>
              <w:bidi w:val="0"/>
              <w:adjustRightInd w:val="0"/>
              <w:ind w:left="-144" w:firstLine="144"/>
              <w:jc w:val="right"/>
              <w:rPr>
                <w:rFonts w:ascii="Times New Roman" w:hAnsi="Times New Roman"/>
                <w:color w:val="000000"/>
                <w:sz w:val="24"/>
                <w:szCs w:val="24"/>
                <w:lang w:eastAsia="en-US"/>
              </w:rPr>
            </w:pPr>
            <w:r w:rsidRPr="00F82361">
              <w:rPr>
                <w:rFonts w:ascii="Times New Roman" w:hAnsi="Times New Roman"/>
                <w:color w:val="000000"/>
                <w:sz w:val="24"/>
                <w:szCs w:val="24"/>
                <w:lang w:eastAsia="en-US"/>
              </w:rPr>
              <w:t>51 729</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AB1930">
            <w:pPr>
              <w:tabs>
                <w:tab w:val="left" w:pos="1061"/>
                <w:tab w:val="left" w:pos="2666"/>
              </w:tabs>
              <w:bidi w:val="0"/>
              <w:adjustRightInd w:val="0"/>
              <w:ind w:left="-144" w:firstLine="144"/>
              <w:jc w:val="right"/>
              <w:rPr>
                <w:rFonts w:ascii="Times New Roman" w:hAnsi="Times New Roman"/>
                <w:color w:val="000000"/>
                <w:sz w:val="24"/>
                <w:szCs w:val="24"/>
                <w:lang w:eastAsia="en-US"/>
              </w:rPr>
            </w:pPr>
            <w:r w:rsidRPr="00F82361">
              <w:rPr>
                <w:rFonts w:ascii="Times New Roman" w:hAnsi="Times New Roman"/>
                <w:color w:val="000000"/>
                <w:sz w:val="24"/>
                <w:szCs w:val="24"/>
                <w:lang w:eastAsia="en-US"/>
              </w:rPr>
              <w:t>51 729</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P="001750CC">
            <w:pPr>
              <w:bidi w:val="0"/>
              <w:adjustRightInd w:val="0"/>
              <w:ind w:left="120"/>
              <w:rPr>
                <w:rFonts w:ascii="Times New Roman" w:hAnsi="Times New Roman"/>
                <w:color w:val="000000"/>
                <w:sz w:val="24"/>
                <w:szCs w:val="24"/>
                <w:vertAlign w:val="superscript"/>
                <w:lang w:eastAsia="en-US"/>
              </w:rPr>
            </w:pPr>
            <w:r w:rsidRPr="00CD60B2">
              <w:rPr>
                <w:rFonts w:ascii="Times New Roman" w:hAnsi="Times New Roman"/>
                <w:color w:val="000000"/>
                <w:sz w:val="24"/>
                <w:szCs w:val="24"/>
                <w:lang w:eastAsia="en-US"/>
              </w:rPr>
              <w:t>Tovary a služby (630)</w:t>
            </w:r>
            <w:r w:rsidRPr="00CD60B2">
              <w:rPr>
                <w:rFonts w:ascii="Times New Roman" w:hAnsi="Times New Roman"/>
                <w:color w:val="000000"/>
                <w:sz w:val="24"/>
                <w:szCs w:val="24"/>
                <w:vertAlign w:val="superscript"/>
                <w:lang w:eastAsia="en-US"/>
              </w:rPr>
              <w:t>2</w:t>
            </w:r>
          </w:p>
          <w:p w:rsidR="00002F4B" w:rsidP="00002F4B">
            <w:pPr>
              <w:bidi w:val="0"/>
              <w:adjustRightInd w:val="0"/>
              <w:ind w:left="120"/>
              <w:rPr>
                <w:rFonts w:ascii="Times New Roman" w:hAnsi="Times New Roman"/>
                <w:color w:val="000000"/>
                <w:sz w:val="24"/>
                <w:szCs w:val="24"/>
                <w:lang w:eastAsia="en-US"/>
              </w:rPr>
            </w:pPr>
            <w:r w:rsidR="00BC1E77">
              <w:rPr>
                <w:rFonts w:ascii="Times New Roman" w:hAnsi="Times New Roman"/>
                <w:color w:val="000000"/>
                <w:sz w:val="24"/>
                <w:szCs w:val="24"/>
                <w:lang w:eastAsia="en-US"/>
              </w:rPr>
              <w:t>63</w:t>
            </w:r>
            <w:r>
              <w:rPr>
                <w:rFonts w:ascii="Times New Roman" w:hAnsi="Times New Roman"/>
                <w:color w:val="000000"/>
                <w:sz w:val="24"/>
                <w:szCs w:val="24"/>
                <w:lang w:eastAsia="en-US"/>
              </w:rPr>
              <w:t>1</w:t>
            </w:r>
            <w:r w:rsidR="00BC1E77">
              <w:rPr>
                <w:rFonts w:ascii="Times New Roman" w:hAnsi="Times New Roman"/>
                <w:color w:val="000000"/>
                <w:sz w:val="24"/>
                <w:szCs w:val="24"/>
                <w:lang w:eastAsia="en-US"/>
              </w:rPr>
              <w:t xml:space="preserve"> – </w:t>
            </w:r>
            <w:r>
              <w:rPr>
                <w:rFonts w:ascii="Times New Roman" w:hAnsi="Times New Roman"/>
                <w:color w:val="000000"/>
                <w:sz w:val="24"/>
                <w:szCs w:val="24"/>
                <w:lang w:eastAsia="en-US"/>
              </w:rPr>
              <w:t>Cestovné náhrady</w:t>
            </w:r>
          </w:p>
          <w:p w:rsidR="00002F4B" w:rsidP="00002F4B">
            <w:pPr>
              <w:bidi w:val="0"/>
              <w:adjustRightInd w:val="0"/>
              <w:ind w:left="120"/>
              <w:rPr>
                <w:rFonts w:ascii="Times New Roman" w:hAnsi="Times New Roman"/>
                <w:color w:val="000000"/>
                <w:sz w:val="24"/>
                <w:szCs w:val="24"/>
                <w:lang w:eastAsia="en-US"/>
              </w:rPr>
            </w:pPr>
            <w:r>
              <w:rPr>
                <w:rFonts w:ascii="Times New Roman" w:hAnsi="Times New Roman"/>
                <w:color w:val="000000"/>
                <w:sz w:val="24"/>
                <w:szCs w:val="24"/>
                <w:lang w:eastAsia="en-US"/>
              </w:rPr>
              <w:t xml:space="preserve">633 – </w:t>
            </w:r>
            <w:r w:rsidR="0023662C">
              <w:rPr>
                <w:rFonts w:ascii="Times New Roman" w:hAnsi="Times New Roman"/>
                <w:color w:val="000000"/>
                <w:sz w:val="24"/>
                <w:szCs w:val="24"/>
                <w:lang w:eastAsia="en-US"/>
              </w:rPr>
              <w:t>M</w:t>
            </w:r>
            <w:r>
              <w:rPr>
                <w:rFonts w:ascii="Times New Roman" w:hAnsi="Times New Roman"/>
                <w:color w:val="000000"/>
                <w:sz w:val="24"/>
                <w:szCs w:val="24"/>
                <w:lang w:eastAsia="en-US"/>
              </w:rPr>
              <w:t>ateriál</w:t>
            </w:r>
          </w:p>
          <w:p w:rsidR="00002F4B" w:rsidP="00002F4B">
            <w:pPr>
              <w:bidi w:val="0"/>
              <w:adjustRightInd w:val="0"/>
              <w:ind w:left="120"/>
              <w:rPr>
                <w:rFonts w:ascii="Times New Roman" w:hAnsi="Times New Roman"/>
                <w:color w:val="000000"/>
                <w:sz w:val="24"/>
                <w:szCs w:val="24"/>
                <w:lang w:eastAsia="en-US"/>
              </w:rPr>
            </w:pPr>
            <w:r>
              <w:rPr>
                <w:rFonts w:ascii="Times New Roman" w:hAnsi="Times New Roman"/>
                <w:color w:val="000000"/>
                <w:sz w:val="24"/>
                <w:szCs w:val="24"/>
                <w:lang w:eastAsia="en-US"/>
              </w:rPr>
              <w:t xml:space="preserve">635 – </w:t>
            </w:r>
            <w:r w:rsidR="0023662C">
              <w:rPr>
                <w:rFonts w:ascii="Times New Roman" w:hAnsi="Times New Roman"/>
                <w:color w:val="000000"/>
                <w:sz w:val="24"/>
                <w:szCs w:val="24"/>
                <w:lang w:eastAsia="en-US"/>
              </w:rPr>
              <w:t>Rutinná a štandardná</w:t>
            </w:r>
            <w:r>
              <w:rPr>
                <w:rFonts w:ascii="Times New Roman" w:hAnsi="Times New Roman"/>
                <w:color w:val="000000"/>
                <w:sz w:val="24"/>
                <w:szCs w:val="24"/>
                <w:lang w:eastAsia="en-US"/>
              </w:rPr>
              <w:t> údržba</w:t>
            </w:r>
          </w:p>
          <w:p w:rsidR="00BC1E77" w:rsidRPr="00BC1E77" w:rsidP="000924A7">
            <w:pPr>
              <w:bidi w:val="0"/>
              <w:adjustRightInd w:val="0"/>
              <w:ind w:left="120"/>
              <w:rPr>
                <w:rFonts w:ascii="Times New Roman" w:hAnsi="Times New Roman"/>
                <w:color w:val="000000"/>
                <w:sz w:val="24"/>
                <w:szCs w:val="24"/>
                <w:lang w:eastAsia="en-US"/>
              </w:rPr>
            </w:pPr>
            <w:r w:rsidR="00002F4B">
              <w:rPr>
                <w:rFonts w:ascii="Times New Roman" w:hAnsi="Times New Roman"/>
                <w:color w:val="000000"/>
                <w:sz w:val="24"/>
                <w:szCs w:val="24"/>
                <w:lang w:eastAsia="en-US"/>
              </w:rPr>
              <w:t xml:space="preserve">637 – </w:t>
            </w:r>
            <w:r w:rsidR="0023662C">
              <w:rPr>
                <w:rFonts w:ascii="Times New Roman" w:hAnsi="Times New Roman"/>
                <w:color w:val="000000"/>
                <w:sz w:val="24"/>
                <w:szCs w:val="24"/>
                <w:lang w:eastAsia="en-US"/>
              </w:rPr>
              <w:t>S</w:t>
            </w:r>
            <w:r w:rsidR="00002F4B">
              <w:rPr>
                <w:rFonts w:ascii="Times New Roman" w:hAnsi="Times New Roman"/>
                <w:color w:val="000000"/>
                <w:sz w:val="24"/>
                <w:szCs w:val="24"/>
                <w:lang w:eastAsia="en-US"/>
              </w:rPr>
              <w:t>lužby</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top"/>
          </w:tcPr>
          <w:p w:rsidR="00952ECF" w:rsidP="00952ECF">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52 350</w:t>
            </w:r>
          </w:p>
          <w:p w:rsidR="00F7405B" w:rsidP="00952ECF">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37 800</w:t>
            </w:r>
          </w:p>
          <w:p w:rsidR="00F7405B" w:rsidP="00952ECF">
            <w:pPr>
              <w:bidi w:val="0"/>
              <w:adjustRightInd w:val="0"/>
              <w:jc w:val="right"/>
              <w:rPr>
                <w:rFonts w:ascii="Times New Roman" w:hAnsi="Times New Roman"/>
                <w:color w:val="000000"/>
                <w:sz w:val="24"/>
                <w:szCs w:val="24"/>
                <w:lang w:eastAsia="en-US"/>
              </w:rPr>
            </w:pPr>
            <w:r w:rsidR="00952ECF">
              <w:rPr>
                <w:rFonts w:ascii="Times New Roman" w:hAnsi="Times New Roman"/>
                <w:color w:val="000000"/>
                <w:sz w:val="24"/>
                <w:szCs w:val="24"/>
                <w:lang w:eastAsia="en-US"/>
              </w:rPr>
              <w:t>13 500</w:t>
            </w:r>
          </w:p>
          <w:p w:rsidR="00952ECF" w:rsidP="00952ECF">
            <w:pPr>
              <w:bidi w:val="0"/>
              <w:adjustRightInd w:val="0"/>
              <w:jc w:val="right"/>
              <w:rPr>
                <w:rFonts w:ascii="Times New Roman" w:hAnsi="Times New Roman"/>
                <w:color w:val="000000"/>
                <w:sz w:val="24"/>
                <w:szCs w:val="24"/>
                <w:lang w:eastAsia="en-US"/>
              </w:rPr>
            </w:pPr>
          </w:p>
          <w:p w:rsidR="00952ECF" w:rsidRPr="00F82361" w:rsidP="00952ECF">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1 050</w:t>
            </w:r>
          </w:p>
        </w:tc>
        <w:tc>
          <w:tcPr>
            <w:tcW w:w="1560" w:type="dxa"/>
            <w:tcBorders>
              <w:top w:val="single" w:sz="8" w:space="0" w:color="000000"/>
              <w:left w:val="single" w:sz="8" w:space="0" w:color="000000"/>
              <w:bottom w:val="single" w:sz="8" w:space="0" w:color="000000"/>
              <w:right w:val="single" w:sz="8" w:space="0" w:color="000000"/>
            </w:tcBorders>
            <w:textDirection w:val="lrTb"/>
            <w:vAlign w:val="top"/>
          </w:tcPr>
          <w:p w:rsidR="00952ECF" w:rsidP="00952ECF">
            <w:pPr>
              <w:bidi w:val="0"/>
              <w:adjustRightInd w:val="0"/>
              <w:jc w:val="right"/>
              <w:rPr>
                <w:rFonts w:ascii="Times New Roman" w:hAnsi="Times New Roman"/>
                <w:color w:val="000000"/>
                <w:sz w:val="24"/>
                <w:szCs w:val="24"/>
                <w:lang w:eastAsia="en-US"/>
              </w:rPr>
            </w:pPr>
            <w:r w:rsidR="00AC04F0">
              <w:rPr>
                <w:rFonts w:ascii="Times New Roman" w:hAnsi="Times New Roman"/>
                <w:color w:val="000000"/>
                <w:sz w:val="24"/>
                <w:szCs w:val="24"/>
                <w:lang w:eastAsia="en-US"/>
              </w:rPr>
              <w:t>3 969 900</w:t>
            </w:r>
          </w:p>
          <w:p w:rsidR="0084715F" w:rsidP="00952ECF">
            <w:pPr>
              <w:bidi w:val="0"/>
              <w:adjustRightInd w:val="0"/>
              <w:jc w:val="right"/>
              <w:rPr>
                <w:rFonts w:ascii="Times New Roman" w:hAnsi="Times New Roman"/>
                <w:color w:val="000000"/>
                <w:sz w:val="24"/>
                <w:szCs w:val="24"/>
                <w:lang w:eastAsia="en-US"/>
              </w:rPr>
            </w:pPr>
            <w:r w:rsidR="00F7405B">
              <w:rPr>
                <w:rFonts w:ascii="Times New Roman" w:hAnsi="Times New Roman"/>
                <w:color w:val="000000"/>
                <w:sz w:val="24"/>
                <w:szCs w:val="24"/>
                <w:lang w:eastAsia="en-US"/>
              </w:rPr>
              <w:t>75</w:t>
            </w:r>
            <w:r w:rsidR="00952ECF">
              <w:rPr>
                <w:rFonts w:ascii="Times New Roman" w:hAnsi="Times New Roman"/>
                <w:color w:val="000000"/>
                <w:sz w:val="24"/>
                <w:szCs w:val="24"/>
                <w:lang w:eastAsia="en-US"/>
              </w:rPr>
              <w:t> </w:t>
            </w:r>
            <w:r w:rsidR="00F7405B">
              <w:rPr>
                <w:rFonts w:ascii="Times New Roman" w:hAnsi="Times New Roman"/>
                <w:color w:val="000000"/>
                <w:sz w:val="24"/>
                <w:szCs w:val="24"/>
                <w:lang w:eastAsia="en-US"/>
              </w:rPr>
              <w:t>600</w:t>
            </w:r>
          </w:p>
          <w:p w:rsidR="00952ECF" w:rsidP="00952ECF">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22 000</w:t>
            </w:r>
          </w:p>
          <w:p w:rsidR="00952ECF" w:rsidP="00952ECF">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3 868 800</w:t>
            </w:r>
          </w:p>
          <w:p w:rsidR="00952ECF" w:rsidRPr="00F82361" w:rsidP="000924A7">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3 500</w:t>
            </w:r>
          </w:p>
        </w:tc>
        <w:tc>
          <w:tcPr>
            <w:tcW w:w="1680" w:type="dxa"/>
            <w:tcBorders>
              <w:top w:val="single" w:sz="8" w:space="0" w:color="000000"/>
              <w:left w:val="single" w:sz="8" w:space="0" w:color="000000"/>
              <w:bottom w:val="single" w:sz="8" w:space="0" w:color="000000"/>
              <w:right w:val="single" w:sz="8" w:space="0" w:color="000000"/>
            </w:tcBorders>
            <w:textDirection w:val="lrTb"/>
            <w:vAlign w:val="top"/>
          </w:tcPr>
          <w:p w:rsidR="00952ECF" w:rsidP="00952ECF">
            <w:pPr>
              <w:bidi w:val="0"/>
              <w:adjustRightInd w:val="0"/>
              <w:jc w:val="right"/>
              <w:rPr>
                <w:rFonts w:ascii="Times New Roman" w:hAnsi="Times New Roman"/>
                <w:color w:val="000000"/>
                <w:sz w:val="24"/>
                <w:szCs w:val="24"/>
                <w:lang w:eastAsia="en-US"/>
              </w:rPr>
            </w:pPr>
            <w:r w:rsidR="00AC04F0">
              <w:rPr>
                <w:rFonts w:ascii="Times New Roman" w:hAnsi="Times New Roman"/>
                <w:color w:val="000000"/>
                <w:sz w:val="24"/>
                <w:szCs w:val="24"/>
                <w:lang w:eastAsia="en-US"/>
              </w:rPr>
              <w:t>3 967 300</w:t>
            </w:r>
          </w:p>
          <w:p w:rsidR="0084715F" w:rsidP="00952ECF">
            <w:pPr>
              <w:bidi w:val="0"/>
              <w:adjustRightInd w:val="0"/>
              <w:jc w:val="right"/>
              <w:rPr>
                <w:rFonts w:ascii="Times New Roman" w:hAnsi="Times New Roman"/>
                <w:color w:val="000000"/>
                <w:sz w:val="24"/>
                <w:szCs w:val="24"/>
                <w:lang w:eastAsia="en-US"/>
              </w:rPr>
            </w:pPr>
            <w:r w:rsidR="00F7405B">
              <w:rPr>
                <w:rFonts w:ascii="Times New Roman" w:hAnsi="Times New Roman"/>
                <w:color w:val="000000"/>
                <w:sz w:val="24"/>
                <w:szCs w:val="24"/>
                <w:lang w:eastAsia="en-US"/>
              </w:rPr>
              <w:t>75</w:t>
            </w:r>
            <w:r w:rsidR="00952ECF">
              <w:rPr>
                <w:rFonts w:ascii="Times New Roman" w:hAnsi="Times New Roman"/>
                <w:color w:val="000000"/>
                <w:sz w:val="24"/>
                <w:szCs w:val="24"/>
                <w:lang w:eastAsia="en-US"/>
              </w:rPr>
              <w:t> </w:t>
            </w:r>
            <w:r w:rsidR="00F7405B">
              <w:rPr>
                <w:rFonts w:ascii="Times New Roman" w:hAnsi="Times New Roman"/>
                <w:color w:val="000000"/>
                <w:sz w:val="24"/>
                <w:szCs w:val="24"/>
                <w:lang w:eastAsia="en-US"/>
              </w:rPr>
              <w:t>600</w:t>
            </w:r>
          </w:p>
          <w:p w:rsidR="00952ECF" w:rsidP="00952ECF">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19 400</w:t>
            </w:r>
          </w:p>
          <w:p w:rsidR="00952ECF" w:rsidP="00952ECF">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3 868 800</w:t>
            </w:r>
          </w:p>
          <w:p w:rsidR="00952ECF" w:rsidRPr="00F82361" w:rsidP="000924A7">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3 500</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Bežné transfery (640)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center"/>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Splácanie úrokov a ostatné platby súvisiace s úvermi, pôžičkami a NFV (650)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 xml:space="preserve">Kapitálové výdavky  (700) </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r w:rsidR="00E24338">
              <w:rPr>
                <w:rFonts w:ascii="Times New Roman" w:hAnsi="Times New Roman"/>
                <w:b/>
                <w:color w:val="000000"/>
                <w:sz w:val="24"/>
                <w:szCs w:val="24"/>
                <w:lang w:eastAsia="en-US"/>
              </w:rPr>
              <w:t>672 000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r w:rsidR="00E24338">
              <w:rPr>
                <w:rFonts w:ascii="Times New Roman" w:hAnsi="Times New Roman"/>
                <w:b/>
                <w:color w:val="000000"/>
                <w:sz w:val="24"/>
                <w:szCs w:val="24"/>
                <w:lang w:eastAsia="en-US"/>
              </w:rPr>
              <w:t>672 000</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P="001750CC">
            <w:pPr>
              <w:bidi w:val="0"/>
              <w:adjustRightInd w:val="0"/>
              <w:ind w:left="120"/>
              <w:rPr>
                <w:rFonts w:ascii="Times New Roman" w:hAnsi="Times New Roman"/>
                <w:color w:val="000000"/>
                <w:sz w:val="24"/>
                <w:szCs w:val="24"/>
                <w:vertAlign w:val="superscript"/>
                <w:lang w:eastAsia="en-US"/>
              </w:rPr>
            </w:pPr>
            <w:r w:rsidRPr="00CD60B2">
              <w:rPr>
                <w:rFonts w:ascii="Times New Roman" w:hAnsi="Times New Roman"/>
                <w:color w:val="000000"/>
                <w:sz w:val="24"/>
                <w:szCs w:val="24"/>
                <w:lang w:eastAsia="en-US"/>
              </w:rPr>
              <w:t>Obstarávanie kapitálových aktív (710)</w:t>
            </w:r>
            <w:r w:rsidRPr="00CD60B2">
              <w:rPr>
                <w:rFonts w:ascii="Times New Roman" w:hAnsi="Times New Roman"/>
                <w:color w:val="000000"/>
                <w:sz w:val="24"/>
                <w:szCs w:val="24"/>
                <w:vertAlign w:val="superscript"/>
                <w:lang w:eastAsia="en-US"/>
              </w:rPr>
              <w:t>2</w:t>
            </w:r>
          </w:p>
          <w:p w:rsidR="00BC1E77" w:rsidRPr="00BC1E77" w:rsidP="00E24338">
            <w:pPr>
              <w:bidi w:val="0"/>
              <w:adjustRightInd w:val="0"/>
              <w:ind w:left="120"/>
              <w:rPr>
                <w:rFonts w:ascii="Times New Roman" w:hAnsi="Times New Roman"/>
                <w:color w:val="000000"/>
                <w:sz w:val="24"/>
                <w:szCs w:val="24"/>
                <w:lang w:eastAsia="en-US"/>
              </w:rPr>
            </w:pPr>
            <w:r>
              <w:rPr>
                <w:rFonts w:ascii="Times New Roman" w:hAnsi="Times New Roman"/>
                <w:color w:val="000000"/>
                <w:sz w:val="24"/>
                <w:szCs w:val="24"/>
                <w:lang w:eastAsia="en-US"/>
              </w:rPr>
              <w:t>711 – Nákup pozemkov a nehmotných aktív</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E24338">
              <w:rPr>
                <w:rFonts w:ascii="Times New Roman" w:hAnsi="Times New Roman"/>
                <w:color w:val="000000"/>
                <w:sz w:val="24"/>
                <w:szCs w:val="24"/>
                <w:lang w:eastAsia="en-US"/>
              </w:rPr>
              <w:t>672 000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E24338">
              <w:rPr>
                <w:rFonts w:ascii="Times New Roman" w:hAnsi="Times New Roman"/>
                <w:color w:val="000000"/>
                <w:sz w:val="24"/>
                <w:szCs w:val="24"/>
                <w:lang w:eastAsia="en-US"/>
              </w:rPr>
              <w:t>672 000</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Kapitálové transfery (720)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70"/>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Výdavky z transakcií s finančnými aktívami a finančnými pasívami (800)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shd w:val="clear" w:color="FFFF99" w:fill="auto"/>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nil"/>
              <w:right w:val="single" w:sz="8" w:space="0" w:color="000000"/>
            </w:tcBorders>
            <w:shd w:val="solid" w:color="000000" w:fill="auto"/>
            <w:textDirection w:val="lrTb"/>
            <w:vAlign w:val="top"/>
          </w:tcPr>
          <w:p w:rsidR="0084715F" w:rsidRPr="000924A7" w:rsidP="001750CC">
            <w:pPr>
              <w:bidi w:val="0"/>
              <w:adjustRightInd w:val="0"/>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Dopad na výdavky verejnej správy celkom</w:t>
            </w:r>
          </w:p>
        </w:tc>
        <w:tc>
          <w:tcPr>
            <w:tcW w:w="1680" w:type="dxa"/>
            <w:tcBorders>
              <w:top w:val="single" w:sz="8" w:space="0" w:color="000000"/>
              <w:left w:val="nil"/>
              <w:bottom w:val="single" w:sz="8" w:space="0" w:color="000000"/>
              <w:right w:val="single" w:sz="8" w:space="0" w:color="000000"/>
            </w:tcBorders>
            <w:shd w:val="solid" w:color="000000" w:fill="auto"/>
            <w:textDirection w:val="lrTb"/>
            <w:vAlign w:val="center"/>
          </w:tcPr>
          <w:p w:rsidR="0084715F" w:rsidRPr="000924A7" w:rsidP="00F7405B">
            <w:pPr>
              <w:bidi w:val="0"/>
              <w:adjustRightInd w:val="0"/>
              <w:jc w:val="right"/>
              <w:rPr>
                <w:rFonts w:ascii="Times New Roman" w:hAnsi="Times New Roman"/>
                <w:b/>
                <w:color w:val="FFFFFF" w:themeColor="bg1" w:themeShade="FF"/>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F7405B">
            <w:pPr>
              <w:bidi w:val="0"/>
              <w:adjustRightInd w:val="0"/>
              <w:jc w:val="right"/>
              <w:rPr>
                <w:rFonts w:ascii="Times New Roman" w:hAnsi="Times New Roman"/>
                <w:b/>
                <w:color w:val="FFFFFF" w:themeColor="bg1" w:themeShade="FF"/>
                <w:sz w:val="24"/>
                <w:szCs w:val="24"/>
                <w:lang w:eastAsia="en-US"/>
              </w:rPr>
            </w:pPr>
            <w:r w:rsidRPr="000924A7" w:rsidR="00AB1930">
              <w:rPr>
                <w:rFonts w:ascii="Times New Roman" w:hAnsi="Times New Roman"/>
                <w:b/>
                <w:color w:val="FFFFFF" w:themeColor="bg1" w:themeShade="FF"/>
                <w:sz w:val="24"/>
                <w:szCs w:val="24"/>
                <w:lang w:eastAsia="en-US"/>
              </w:rPr>
              <w:t>125 468</w:t>
            </w:r>
          </w:p>
        </w:tc>
        <w:tc>
          <w:tcPr>
            <w:tcW w:w="156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F7405B">
            <w:pPr>
              <w:bidi w:val="0"/>
              <w:adjustRightInd w:val="0"/>
              <w:jc w:val="right"/>
              <w:rPr>
                <w:rFonts w:ascii="Times New Roman" w:hAnsi="Times New Roman"/>
                <w:b/>
                <w:color w:val="FFFFFF" w:themeColor="bg1" w:themeShade="FF"/>
                <w:sz w:val="24"/>
                <w:szCs w:val="24"/>
                <w:lang w:eastAsia="en-US"/>
              </w:rPr>
            </w:pPr>
            <w:r w:rsidRPr="000924A7" w:rsidR="00C607AB">
              <w:rPr>
                <w:rFonts w:ascii="Times New Roman" w:hAnsi="Times New Roman"/>
                <w:b/>
                <w:color w:val="FFFFFF" w:themeColor="bg1" w:themeShade="FF"/>
                <w:sz w:val="24"/>
                <w:szCs w:val="24"/>
                <w:lang w:eastAsia="en-US"/>
              </w:rPr>
              <w:t>4 841 637</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F7405B">
            <w:pPr>
              <w:bidi w:val="0"/>
              <w:adjustRightInd w:val="0"/>
              <w:jc w:val="right"/>
              <w:rPr>
                <w:rFonts w:ascii="Times New Roman" w:hAnsi="Times New Roman"/>
                <w:b/>
                <w:color w:val="FFFFFF" w:themeColor="bg1" w:themeShade="FF"/>
                <w:sz w:val="24"/>
                <w:szCs w:val="24"/>
                <w:lang w:eastAsia="en-US"/>
              </w:rPr>
            </w:pPr>
            <w:r w:rsidRPr="000924A7" w:rsidR="000924A7">
              <w:rPr>
                <w:rFonts w:ascii="Times New Roman" w:hAnsi="Times New Roman"/>
                <w:b/>
                <w:color w:val="FFFFFF" w:themeColor="bg1" w:themeShade="FF"/>
                <w:sz w:val="24"/>
                <w:szCs w:val="24"/>
                <w:lang w:eastAsia="en-US"/>
              </w:rPr>
              <w:t>4 839 037</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  z toho výdavky na ŠR:</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AB1930">
              <w:rPr>
                <w:rFonts w:ascii="Times New Roman" w:hAnsi="Times New Roman"/>
                <w:color w:val="000000"/>
                <w:sz w:val="24"/>
                <w:szCs w:val="24"/>
                <w:lang w:eastAsia="en-US"/>
              </w:rPr>
              <w:t>125 468</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C607AB">
              <w:rPr>
                <w:rFonts w:ascii="Times New Roman" w:hAnsi="Times New Roman"/>
                <w:color w:val="000000"/>
                <w:sz w:val="24"/>
                <w:szCs w:val="24"/>
                <w:lang w:eastAsia="en-US"/>
              </w:rPr>
              <w:t>4 841 637</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0924A7">
              <w:rPr>
                <w:rFonts w:ascii="Times New Roman" w:hAnsi="Times New Roman"/>
                <w:color w:val="000000"/>
                <w:sz w:val="24"/>
                <w:szCs w:val="24"/>
                <w:lang w:eastAsia="en-US"/>
              </w:rPr>
              <w:t>4 839 037</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Bežné výdavky</w:t>
            </w:r>
            <w:r w:rsidRPr="00CD60B2">
              <w:rPr>
                <w:rFonts w:ascii="Times New Roman" w:hAnsi="Times New Roman"/>
                <w:b/>
                <w:color w:val="000000"/>
                <w:sz w:val="24"/>
                <w:szCs w:val="24"/>
                <w:lang w:eastAsia="en-US"/>
              </w:rPr>
              <w:t xml:space="preserve"> </w:t>
            </w:r>
            <w:r w:rsidRPr="00CD60B2">
              <w:rPr>
                <w:rFonts w:ascii="Times New Roman" w:hAnsi="Times New Roman"/>
                <w:color w:val="000000"/>
                <w:sz w:val="24"/>
                <w:szCs w:val="24"/>
                <w:lang w:eastAsia="en-US"/>
              </w:rPr>
              <w:t>(600)</w:t>
            </w:r>
            <w:r w:rsidRPr="00CD60B2">
              <w:rPr>
                <w:rFonts w:ascii="Times New Roman" w:hAnsi="Times New Roman"/>
                <w:b/>
                <w:color w:val="000000"/>
                <w:sz w:val="24"/>
                <w:szCs w:val="24"/>
                <w:lang w:eastAsia="en-US"/>
              </w:rPr>
              <w:t xml:space="preserve"> </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AB1930">
              <w:rPr>
                <w:rFonts w:ascii="Times New Roman" w:hAnsi="Times New Roman"/>
                <w:color w:val="000000"/>
                <w:sz w:val="24"/>
                <w:szCs w:val="24"/>
                <w:lang w:eastAsia="en-US"/>
              </w:rPr>
              <w:t>125 468</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C607AB">
              <w:rPr>
                <w:rFonts w:ascii="Times New Roman" w:hAnsi="Times New Roman"/>
                <w:color w:val="000000"/>
                <w:sz w:val="24"/>
                <w:szCs w:val="24"/>
                <w:lang w:eastAsia="en-US"/>
              </w:rPr>
              <w:t>4 169 637</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0924A7">
              <w:rPr>
                <w:rFonts w:ascii="Times New Roman" w:hAnsi="Times New Roman"/>
                <w:color w:val="000000"/>
                <w:sz w:val="24"/>
                <w:szCs w:val="24"/>
                <w:lang w:eastAsia="en-US"/>
              </w:rPr>
              <w:t>4 167 037</w:t>
            </w: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480"/>
              <w:rPr>
                <w:rFonts w:ascii="Times New Roman" w:hAnsi="Times New Roman"/>
                <w:color w:val="000000"/>
                <w:sz w:val="24"/>
                <w:szCs w:val="24"/>
                <w:lang w:eastAsia="en-US"/>
              </w:rPr>
            </w:pPr>
            <w:r w:rsidRPr="00CD60B2">
              <w:rPr>
                <w:rFonts w:ascii="Times New Roman" w:hAnsi="Times New Roman"/>
                <w:color w:val="000000"/>
                <w:sz w:val="24"/>
                <w:szCs w:val="24"/>
                <w:lang w:eastAsia="en-US"/>
              </w:rPr>
              <w:t>Mzdy, platy, služobné príjmy a ostatné osobné vyrovnania (610)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AB1930">
              <w:rPr>
                <w:rFonts w:ascii="Times New Roman" w:hAnsi="Times New Roman"/>
                <w:color w:val="000000"/>
                <w:sz w:val="24"/>
                <w:szCs w:val="24"/>
                <w:lang w:eastAsia="en-US"/>
              </w:rPr>
              <w:t>54 181</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AB1930">
              <w:rPr>
                <w:rFonts w:ascii="Times New Roman" w:hAnsi="Times New Roman"/>
                <w:color w:val="000000"/>
                <w:sz w:val="24"/>
                <w:szCs w:val="24"/>
                <w:lang w:eastAsia="en-US"/>
              </w:rPr>
              <w:t>148 008</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AB1930">
              <w:rPr>
                <w:rFonts w:ascii="Times New Roman" w:hAnsi="Times New Roman"/>
                <w:color w:val="000000"/>
                <w:sz w:val="24"/>
                <w:szCs w:val="24"/>
                <w:lang w:eastAsia="en-US"/>
              </w:rPr>
              <w:t>148 008</w:t>
            </w: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Kapitálové výdavky (700)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AB1930">
              <w:rPr>
                <w:rFonts w:ascii="Times New Roman" w:hAnsi="Times New Roman"/>
                <w:color w:val="000000"/>
                <w:sz w:val="24"/>
                <w:szCs w:val="24"/>
                <w:lang w:eastAsia="en-US"/>
              </w:rPr>
              <w:t>672 000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AB1930">
              <w:rPr>
                <w:rFonts w:ascii="Times New Roman" w:hAnsi="Times New Roman"/>
                <w:color w:val="000000"/>
                <w:sz w:val="24"/>
                <w:szCs w:val="24"/>
                <w:lang w:eastAsia="en-US"/>
              </w:rPr>
              <w:t>672 000</w:t>
            </w:r>
          </w:p>
        </w:tc>
      </w:tr>
    </w:tbl>
    <w:p w:rsidR="0084715F" w:rsidRPr="00CD60B2" w:rsidP="001750CC">
      <w:pPr>
        <w:bidi w:val="0"/>
        <w:adjustRightInd w:val="0"/>
        <w:ind w:right="-578"/>
        <w:rPr>
          <w:rFonts w:ascii="Times New Roman" w:hAnsi="Times New Roman"/>
          <w:color w:val="000000"/>
          <w:lang w:eastAsia="en-US"/>
        </w:rPr>
      </w:pPr>
      <w:r w:rsidRPr="00CD60B2">
        <w:rPr>
          <w:rFonts w:ascii="Times New Roman" w:hAnsi="Times New Roman"/>
          <w:color w:val="000000"/>
          <w:sz w:val="22"/>
          <w:szCs w:val="22"/>
          <w:vertAlign w:val="superscript"/>
          <w:lang w:eastAsia="en-US"/>
        </w:rPr>
        <w:t>2</w:t>
      </w:r>
      <w:r w:rsidRPr="00CD60B2">
        <w:rPr>
          <w:rFonts w:ascii="Times New Roman" w:hAnsi="Times New Roman"/>
          <w:color w:val="000000"/>
          <w:lang w:eastAsia="en-US"/>
        </w:rPr>
        <w:t xml:space="preserve"> položky podľa platnej ekonomickej klasifikácie</w:t>
      </w:r>
    </w:p>
    <w:p w:rsidR="0084715F" w:rsidRPr="00CD60B2" w:rsidP="001750CC">
      <w:pPr>
        <w:bidi w:val="0"/>
        <w:adjustRightInd w:val="0"/>
        <w:ind w:right="-578"/>
        <w:jc w:val="both"/>
        <w:rPr>
          <w:rFonts w:ascii="Times New Roman" w:hAnsi="Times New Roman"/>
          <w:color w:val="000000"/>
          <w:lang w:eastAsia="en-US"/>
        </w:rPr>
      </w:pPr>
      <w:r w:rsidRPr="00CD60B2">
        <w:rPr>
          <w:rFonts w:ascii="Times New Roman" w:hAnsi="Times New Roman"/>
          <w:color w:val="000000"/>
          <w:lang w:eastAsia="en-US"/>
        </w:rPr>
        <w:br w:type="column"/>
        <w:t>Tabuľka č. 6</w:t>
      </w:r>
    </w:p>
    <w:tbl>
      <w:tblPr>
        <w:tblStyle w:val="TableNormal"/>
        <w:tblW w:w="13162" w:type="dxa"/>
        <w:tblCellMar>
          <w:left w:w="0" w:type="dxa"/>
          <w:right w:w="0" w:type="dxa"/>
        </w:tblCellMar>
      </w:tblPr>
      <w:tblGrid>
        <w:gridCol w:w="6737"/>
        <w:gridCol w:w="1194"/>
        <w:gridCol w:w="1220"/>
        <w:gridCol w:w="1168"/>
        <w:gridCol w:w="1134"/>
        <w:gridCol w:w="1709"/>
      </w:tblGrid>
      <w:tr>
        <w:tblPrEx>
          <w:tblW w:w="13162" w:type="dxa"/>
          <w:tblCellMar>
            <w:left w:w="0" w:type="dxa"/>
            <w:right w:w="0" w:type="dxa"/>
          </w:tblCellMar>
        </w:tblPrEx>
        <w:trPr>
          <w:trHeight w:val="255"/>
        </w:trPr>
        <w:tc>
          <w:tcPr>
            <w:tcW w:w="6737"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Cs w:val="24"/>
                <w:lang w:eastAsia="en-US"/>
              </w:rPr>
            </w:pPr>
            <w:r w:rsidRPr="000924A7">
              <w:rPr>
                <w:rFonts w:ascii="Times New Roman" w:hAnsi="Times New Roman"/>
                <w:color w:val="FFFFFF" w:themeColor="bg1" w:themeShade="FF"/>
                <w:sz w:val="24"/>
                <w:szCs w:val="24"/>
                <w:lang w:eastAsia="en-US"/>
              </w:rPr>
              <w:t> </w:t>
            </w:r>
            <w:r w:rsidRPr="000924A7">
              <w:rPr>
                <w:rFonts w:ascii="Times New Roman" w:hAnsi="Times New Roman"/>
                <w:color w:val="FFFFFF" w:themeColor="bg1" w:themeShade="FF"/>
                <w:szCs w:val="24"/>
                <w:lang w:eastAsia="en-US"/>
              </w:rPr>
              <w:t> </w:t>
            </w:r>
            <w:r w:rsidRPr="000924A7">
              <w:rPr>
                <w:rFonts w:ascii="Times New Roman" w:hAnsi="Times New Roman"/>
                <w:b/>
                <w:color w:val="FFFFFF" w:themeColor="bg1" w:themeShade="FF"/>
                <w:sz w:val="24"/>
                <w:szCs w:val="24"/>
                <w:lang w:eastAsia="en-US"/>
              </w:rPr>
              <w:t>Zamestnanosť</w:t>
            </w:r>
          </w:p>
        </w:tc>
        <w:tc>
          <w:tcPr>
            <w:tcW w:w="4716"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0924A7" w:rsidP="001750CC">
            <w:pPr>
              <w:tabs>
                <w:tab w:val="left" w:pos="1061"/>
                <w:tab w:val="left" w:pos="2666"/>
              </w:tabs>
              <w:bidi w:val="0"/>
              <w:adjustRightInd w:val="0"/>
              <w:jc w:val="center"/>
              <w:rPr>
                <w:rFonts w:ascii="Times New Roman" w:hAnsi="Times New Roman"/>
                <w:color w:val="FFFFFF" w:themeColor="bg1" w:themeShade="FF"/>
                <w:szCs w:val="24"/>
                <w:lang w:eastAsia="en-US"/>
              </w:rPr>
            </w:pPr>
            <w:r w:rsidRPr="000924A7">
              <w:rPr>
                <w:rFonts w:ascii="Times New Roman" w:hAnsi="Times New Roman"/>
                <w:b/>
                <w:color w:val="FFFFFF" w:themeColor="bg1" w:themeShade="FF"/>
                <w:sz w:val="24"/>
                <w:szCs w:val="24"/>
                <w:lang w:eastAsia="en-US"/>
              </w:rPr>
              <w:t>Vplyv na rozpočet verejnej správy</w:t>
            </w:r>
          </w:p>
        </w:tc>
        <w:tc>
          <w:tcPr>
            <w:tcW w:w="1709" w:type="dxa"/>
            <w:vMerge w:val="restart"/>
            <w:tcBorders>
              <w:top w:val="single" w:sz="8" w:space="0" w:color="000000"/>
              <w:left w:val="nil"/>
              <w:bottom w:val="none" w:sz="0" w:space="0" w:color="auto"/>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tabs>
                <w:tab w:val="left" w:pos="1061"/>
                <w:tab w:val="left" w:pos="2666"/>
              </w:tabs>
              <w:bidi w:val="0"/>
              <w:adjustRightInd w:val="0"/>
              <w:jc w:val="center"/>
              <w:rPr>
                <w:rFonts w:ascii="Times New Roman" w:hAnsi="Times New Roman"/>
                <w:color w:val="FFFFFF" w:themeColor="bg1" w:themeShade="FF"/>
                <w:szCs w:val="24"/>
                <w:lang w:eastAsia="en-US"/>
              </w:rPr>
            </w:pPr>
            <w:r w:rsidRPr="000924A7">
              <w:rPr>
                <w:rFonts w:ascii="Times New Roman" w:hAnsi="Times New Roman"/>
                <w:b/>
                <w:color w:val="FFFFFF" w:themeColor="bg1" w:themeShade="FF"/>
                <w:sz w:val="24"/>
                <w:szCs w:val="24"/>
                <w:lang w:eastAsia="en-US"/>
              </w:rPr>
              <w:t>poznámka</w:t>
            </w:r>
          </w:p>
        </w:tc>
      </w:tr>
      <w:tr>
        <w:tblPrEx>
          <w:tblW w:w="13162" w:type="dxa"/>
          <w:tblCellMar>
            <w:left w:w="0" w:type="dxa"/>
            <w:right w:w="0" w:type="dxa"/>
          </w:tblCellMar>
        </w:tblPrEx>
        <w:trPr>
          <w:trHeight w:val="255"/>
        </w:trPr>
        <w:tc>
          <w:tcPr>
            <w:tcW w:w="6737" w:type="dxa"/>
            <w:vMerge/>
            <w:tcBorders>
              <w:top w:val="single" w:sz="8" w:space="0" w:color="000000"/>
              <w:left w:val="single" w:sz="8" w:space="0" w:color="000000"/>
              <w:bottom w:val="single" w:sz="8" w:space="0" w:color="000000"/>
              <w:right w:val="single" w:sz="8" w:space="0" w:color="000000"/>
            </w:tcBorders>
            <w:textDirection w:val="lrTb"/>
            <w:vAlign w:val="center"/>
          </w:tcPr>
          <w:p w:rsidR="0084715F" w:rsidRPr="00CD60B2" w:rsidP="001750CC">
            <w:pPr>
              <w:bidi w:val="0"/>
              <w:adjustRightInd w:val="0"/>
              <w:jc w:val="center"/>
              <w:rPr>
                <w:rFonts w:ascii="Times New Roman" w:hAnsi="Times New Roman"/>
                <w:color w:val="FFFFFF"/>
                <w:szCs w:val="24"/>
                <w:lang w:eastAsia="en-US"/>
              </w:rPr>
            </w:pPr>
          </w:p>
        </w:tc>
        <w:tc>
          <w:tcPr>
            <w:tcW w:w="119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00FF7F78">
              <w:rPr>
                <w:rFonts w:ascii="Times New Roman" w:hAnsi="Times New Roman"/>
                <w:b/>
                <w:color w:val="FFFFFF"/>
                <w:sz w:val="24"/>
                <w:szCs w:val="24"/>
                <w:lang w:eastAsia="en-US"/>
              </w:rPr>
              <w:t>2014</w:t>
            </w:r>
          </w:p>
        </w:tc>
        <w:tc>
          <w:tcPr>
            <w:tcW w:w="1220"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00FF7F78">
              <w:rPr>
                <w:rFonts w:ascii="Times New Roman" w:hAnsi="Times New Roman"/>
                <w:b/>
                <w:color w:val="FFFFFF"/>
                <w:sz w:val="24"/>
                <w:szCs w:val="24"/>
                <w:lang w:eastAsia="en-US"/>
              </w:rPr>
              <w:t>2015</w:t>
            </w:r>
          </w:p>
        </w:tc>
        <w:tc>
          <w:tcPr>
            <w:tcW w:w="116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00FF7F78">
              <w:rPr>
                <w:rFonts w:ascii="Times New Roman" w:hAnsi="Times New Roman"/>
                <w:b/>
                <w:color w:val="FFFFFF"/>
                <w:sz w:val="24"/>
                <w:szCs w:val="24"/>
                <w:lang w:eastAsia="en-US"/>
              </w:rPr>
              <w:t>2016</w:t>
            </w:r>
          </w:p>
        </w:tc>
        <w:tc>
          <w:tcPr>
            <w:tcW w:w="113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r w:rsidR="00FF7F78">
              <w:rPr>
                <w:rFonts w:ascii="Times New Roman" w:hAnsi="Times New Roman"/>
                <w:b/>
                <w:color w:val="FFFFFF"/>
                <w:sz w:val="24"/>
                <w:szCs w:val="24"/>
                <w:lang w:eastAsia="en-US"/>
              </w:rPr>
              <w:t>2017</w:t>
            </w:r>
          </w:p>
        </w:tc>
        <w:tc>
          <w:tcPr>
            <w:tcW w:w="1709" w:type="dxa"/>
            <w:vMerge/>
            <w:tcBorders>
              <w:top w:val="none" w:sz="0" w:space="0" w:color="auto"/>
              <w:left w:val="nil"/>
              <w:bottom w:val="single" w:sz="8" w:space="0" w:color="000000"/>
              <w:right w:val="single" w:sz="8" w:space="0" w:color="000000"/>
            </w:tcBorders>
            <w:textDirection w:val="lrTb"/>
            <w:vAlign w:val="center"/>
          </w:tcPr>
          <w:p w:rsidR="0084715F" w:rsidRPr="00CD60B2" w:rsidP="001750CC">
            <w:pPr>
              <w:tabs>
                <w:tab w:val="left" w:pos="1061"/>
                <w:tab w:val="left" w:pos="2666"/>
              </w:tabs>
              <w:bidi w:val="0"/>
              <w:adjustRightInd w:val="0"/>
              <w:jc w:val="center"/>
              <w:rPr>
                <w:rFonts w:ascii="Times New Roman" w:hAnsi="Times New Roman"/>
                <w:color w:val="FFFFFF"/>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Počet zamestnancov celkom*</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904F88">
              <w:rPr>
                <w:rFonts w:ascii="Times New Roman" w:hAnsi="Times New Roman"/>
                <w:color w:val="000000"/>
                <w:szCs w:val="24"/>
                <w:lang w:eastAsia="en-US"/>
              </w:rPr>
              <w:t>3</w:t>
            </w: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904F88">
              <w:rPr>
                <w:rFonts w:ascii="Times New Roman" w:hAnsi="Times New Roman"/>
                <w:color w:val="000000"/>
                <w:szCs w:val="24"/>
                <w:lang w:eastAsia="en-US"/>
              </w:rPr>
              <w:t>2</w:t>
            </w: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3852D2">
            <w:pPr>
              <w:tabs>
                <w:tab w:val="left" w:pos="1061"/>
                <w:tab w:val="left" w:pos="2666"/>
              </w:tabs>
              <w:bidi w:val="0"/>
              <w:adjustRightInd w:val="0"/>
              <w:rPr>
                <w:rFonts w:ascii="Times New Roman" w:hAnsi="Times New Roman"/>
                <w:color w:val="000000"/>
                <w:szCs w:val="24"/>
                <w:lang w:eastAsia="en-US"/>
              </w:rPr>
            </w:pPr>
            <w:r w:rsidR="00904F88">
              <w:rPr>
                <w:rFonts w:ascii="Times New Roman" w:hAnsi="Times New Roman"/>
                <w:color w:val="000000"/>
                <w:szCs w:val="24"/>
                <w:lang w:eastAsia="en-US"/>
              </w:rPr>
              <w:t xml:space="preserve">štátnozamestnanecké miesta, z toho jedno </w:t>
            </w:r>
            <w:r w:rsidR="003852D2">
              <w:rPr>
                <w:rFonts w:ascii="Times New Roman" w:hAnsi="Times New Roman"/>
                <w:color w:val="000000"/>
                <w:szCs w:val="24"/>
                <w:lang w:eastAsia="en-US"/>
              </w:rPr>
              <w:t>vedúce</w:t>
            </w: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904F88">
              <w:rPr>
                <w:rFonts w:ascii="Times New Roman" w:hAnsi="Times New Roman"/>
                <w:color w:val="000000"/>
                <w:szCs w:val="24"/>
                <w:lang w:eastAsia="en-US"/>
              </w:rPr>
              <w:t>3</w:t>
            </w: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904F88">
              <w:rPr>
                <w:rFonts w:ascii="Times New Roman" w:hAnsi="Times New Roman"/>
                <w:color w:val="000000"/>
                <w:szCs w:val="24"/>
                <w:lang w:eastAsia="en-US"/>
              </w:rPr>
              <w:t>2</w:t>
            </w: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Priemerný mzdový výdavok (v eurách)*</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F82361">
              <w:rPr>
                <w:rFonts w:ascii="Times New Roman" w:hAnsi="Times New Roman"/>
                <w:color w:val="000000"/>
                <w:szCs w:val="24"/>
                <w:lang w:eastAsia="en-US"/>
              </w:rPr>
              <w:t>1 715</w:t>
            </w:r>
            <w:r w:rsidRPr="00CD60B2">
              <w:rPr>
                <w:rFonts w:ascii="Times New Roman" w:hAnsi="Times New Roman"/>
                <w:color w:val="000000"/>
                <w:szCs w:val="24"/>
                <w:lang w:eastAsia="en-US"/>
              </w:rPr>
              <w:t> </w:t>
            </w: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F82361">
              <w:rPr>
                <w:rFonts w:ascii="Times New Roman" w:hAnsi="Times New Roman"/>
                <w:color w:val="000000"/>
                <w:szCs w:val="24"/>
                <w:lang w:eastAsia="en-US"/>
              </w:rPr>
              <w:t>1 715</w:t>
            </w:r>
            <w:r w:rsidRPr="00CD60B2">
              <w:rPr>
                <w:rFonts w:ascii="Times New Roman" w:hAnsi="Times New Roman"/>
                <w:color w:val="000000"/>
                <w:szCs w:val="24"/>
                <w:lang w:eastAsia="en-US"/>
              </w:rPr>
              <w:t> </w:t>
            </w: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r w:rsidR="00F82361">
              <w:rPr>
                <w:rFonts w:ascii="Times New Roman" w:hAnsi="Times New Roman"/>
                <w:color w:val="000000"/>
                <w:szCs w:val="24"/>
                <w:lang w:eastAsia="en-US"/>
              </w:rPr>
              <w:t>zmennosť, príplatky</w:t>
            </w: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F82361">
              <w:rPr>
                <w:rFonts w:ascii="Times New Roman" w:hAnsi="Times New Roman"/>
                <w:color w:val="000000"/>
                <w:szCs w:val="24"/>
                <w:lang w:eastAsia="en-US"/>
              </w:rPr>
              <w:t>1 715</w:t>
            </w:r>
            <w:r w:rsidRPr="00CD60B2">
              <w:rPr>
                <w:rFonts w:ascii="Times New Roman" w:hAnsi="Times New Roman"/>
                <w:color w:val="000000"/>
                <w:szCs w:val="24"/>
                <w:lang w:eastAsia="en-US"/>
              </w:rPr>
              <w:t> </w:t>
            </w: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F82361">
              <w:rPr>
                <w:rFonts w:ascii="Times New Roman" w:hAnsi="Times New Roman"/>
                <w:color w:val="000000"/>
                <w:szCs w:val="24"/>
                <w:lang w:eastAsia="en-US"/>
              </w:rPr>
              <w:t>1 715</w:t>
            </w:r>
            <w:r w:rsidRPr="00CD60B2">
              <w:rPr>
                <w:rFonts w:ascii="Times New Roman" w:hAnsi="Times New Roman"/>
                <w:color w:val="000000"/>
                <w:szCs w:val="24"/>
                <w:lang w:eastAsia="en-US"/>
              </w:rPr>
              <w:t> </w:t>
            </w: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shd w:val="solid" w:color="000000" w:fill="auto"/>
            <w:textDirection w:val="lrTb"/>
            <w:vAlign w:val="top"/>
          </w:tcPr>
          <w:p w:rsidR="0084715F" w:rsidRPr="000924A7" w:rsidP="001750CC">
            <w:pPr>
              <w:bidi w:val="0"/>
              <w:adjustRightInd w:val="0"/>
              <w:rPr>
                <w:rFonts w:ascii="Times New Roman" w:hAnsi="Times New Roman"/>
                <w:color w:val="FFFFFF" w:themeColor="bg1" w:themeShade="FF"/>
                <w:szCs w:val="24"/>
                <w:lang w:eastAsia="en-US"/>
              </w:rPr>
            </w:pPr>
            <w:r w:rsidRPr="000924A7">
              <w:rPr>
                <w:rFonts w:ascii="Times New Roman" w:hAnsi="Times New Roman"/>
                <w:b/>
                <w:color w:val="FFFFFF" w:themeColor="bg1" w:themeShade="FF"/>
                <w:sz w:val="24"/>
                <w:szCs w:val="24"/>
                <w:lang w:eastAsia="en-US"/>
              </w:rPr>
              <w:t>Osobné výdavky celkom (v eurách)</w:t>
            </w:r>
          </w:p>
        </w:tc>
        <w:tc>
          <w:tcPr>
            <w:tcW w:w="1194" w:type="dxa"/>
            <w:tcBorders>
              <w:top w:val="nil"/>
              <w:left w:val="nil"/>
              <w:bottom w:val="single" w:sz="8" w:space="0" w:color="000000"/>
              <w:right w:val="single" w:sz="8" w:space="0" w:color="000000"/>
            </w:tcBorders>
            <w:shd w:val="solid" w:color="000000" w:fill="auto"/>
            <w:textDirection w:val="lrTb"/>
            <w:vAlign w:val="center"/>
          </w:tcPr>
          <w:p w:rsidR="0084715F" w:rsidRPr="000924A7" w:rsidP="00F82361">
            <w:pPr>
              <w:tabs>
                <w:tab w:val="left" w:pos="1061"/>
                <w:tab w:val="left" w:pos="2666"/>
              </w:tabs>
              <w:bidi w:val="0"/>
              <w:adjustRightInd w:val="0"/>
              <w:ind w:left="-144" w:firstLine="144"/>
              <w:jc w:val="right"/>
              <w:rPr>
                <w:rFonts w:ascii="Times New Roman" w:hAnsi="Times New Roman"/>
                <w:color w:val="FFFFFF" w:themeColor="bg1" w:themeShade="FF"/>
                <w:szCs w:val="24"/>
                <w:lang w:eastAsia="en-US"/>
              </w:rPr>
            </w:pPr>
          </w:p>
        </w:tc>
        <w:tc>
          <w:tcPr>
            <w:tcW w:w="1220" w:type="dxa"/>
            <w:tcBorders>
              <w:top w:val="nil"/>
              <w:left w:val="nil"/>
              <w:bottom w:val="single" w:sz="8" w:space="0" w:color="000000"/>
              <w:right w:val="single" w:sz="8" w:space="0" w:color="000000"/>
            </w:tcBorders>
            <w:shd w:val="solid" w:color="000000" w:fill="auto"/>
            <w:textDirection w:val="lrTb"/>
            <w:vAlign w:val="center"/>
          </w:tcPr>
          <w:p w:rsidR="0084715F" w:rsidRPr="000924A7" w:rsidP="00F82361">
            <w:pPr>
              <w:tabs>
                <w:tab w:val="left" w:pos="1061"/>
                <w:tab w:val="left" w:pos="2666"/>
              </w:tabs>
              <w:bidi w:val="0"/>
              <w:adjustRightInd w:val="0"/>
              <w:ind w:left="-144" w:firstLine="144"/>
              <w:jc w:val="right"/>
              <w:rPr>
                <w:rFonts w:ascii="Times New Roman" w:hAnsi="Times New Roman"/>
                <w:color w:val="FFFFFF" w:themeColor="bg1" w:themeShade="FF"/>
                <w:szCs w:val="24"/>
                <w:lang w:eastAsia="en-US"/>
              </w:rPr>
            </w:pPr>
            <w:r w:rsidRPr="000924A7" w:rsidR="00904F88">
              <w:rPr>
                <w:rFonts w:ascii="Times New Roman" w:hAnsi="Times New Roman"/>
                <w:color w:val="FFFFFF" w:themeColor="bg1" w:themeShade="FF"/>
                <w:szCs w:val="24"/>
                <w:lang w:eastAsia="en-US"/>
              </w:rPr>
              <w:t>73 118</w:t>
            </w:r>
          </w:p>
        </w:tc>
        <w:tc>
          <w:tcPr>
            <w:tcW w:w="1168" w:type="dxa"/>
            <w:tcBorders>
              <w:top w:val="nil"/>
              <w:left w:val="nil"/>
              <w:bottom w:val="single" w:sz="8" w:space="0" w:color="000000"/>
              <w:right w:val="single" w:sz="8" w:space="0" w:color="000000"/>
            </w:tcBorders>
            <w:shd w:val="solid" w:color="000000" w:fill="auto"/>
            <w:textDirection w:val="lrTb"/>
            <w:vAlign w:val="center"/>
          </w:tcPr>
          <w:p w:rsidR="0084715F" w:rsidRPr="000924A7" w:rsidP="00F82361">
            <w:pPr>
              <w:tabs>
                <w:tab w:val="left" w:pos="1061"/>
                <w:tab w:val="left" w:pos="2666"/>
              </w:tabs>
              <w:bidi w:val="0"/>
              <w:adjustRightInd w:val="0"/>
              <w:ind w:left="-144" w:firstLine="144"/>
              <w:jc w:val="right"/>
              <w:rPr>
                <w:rFonts w:ascii="Times New Roman" w:hAnsi="Times New Roman"/>
                <w:color w:val="FFFFFF" w:themeColor="bg1" w:themeShade="FF"/>
                <w:szCs w:val="24"/>
                <w:lang w:eastAsia="en-US"/>
              </w:rPr>
            </w:pPr>
            <w:r w:rsidRPr="000924A7" w:rsidR="00904F88">
              <w:rPr>
                <w:rFonts w:ascii="Times New Roman" w:hAnsi="Times New Roman"/>
                <w:color w:val="FFFFFF" w:themeColor="bg1" w:themeShade="FF"/>
                <w:szCs w:val="24"/>
                <w:lang w:eastAsia="en-US"/>
              </w:rPr>
              <w:t>199 737</w:t>
            </w:r>
          </w:p>
        </w:tc>
        <w:tc>
          <w:tcPr>
            <w:tcW w:w="1134" w:type="dxa"/>
            <w:tcBorders>
              <w:top w:val="nil"/>
              <w:left w:val="nil"/>
              <w:bottom w:val="single" w:sz="8" w:space="0" w:color="000000"/>
              <w:right w:val="single" w:sz="8" w:space="0" w:color="000000"/>
            </w:tcBorders>
            <w:shd w:val="solid" w:color="000000" w:fill="auto"/>
            <w:tcMar>
              <w:left w:w="70" w:type="dxa"/>
              <w:right w:w="70" w:type="dxa"/>
            </w:tcMar>
            <w:textDirection w:val="lrTb"/>
            <w:vAlign w:val="center"/>
          </w:tcPr>
          <w:p w:rsidR="0084715F" w:rsidRPr="000924A7" w:rsidP="00F82361">
            <w:pPr>
              <w:tabs>
                <w:tab w:val="left" w:pos="1061"/>
                <w:tab w:val="left" w:pos="2666"/>
              </w:tabs>
              <w:bidi w:val="0"/>
              <w:adjustRightInd w:val="0"/>
              <w:ind w:left="-144" w:firstLine="144"/>
              <w:jc w:val="right"/>
              <w:rPr>
                <w:rFonts w:ascii="Times New Roman" w:hAnsi="Times New Roman"/>
                <w:color w:val="FFFFFF" w:themeColor="bg1" w:themeShade="FF"/>
                <w:szCs w:val="24"/>
                <w:lang w:eastAsia="en-US"/>
              </w:rPr>
            </w:pPr>
            <w:r w:rsidRPr="000924A7" w:rsidR="00904F88">
              <w:rPr>
                <w:rFonts w:ascii="Times New Roman" w:hAnsi="Times New Roman"/>
                <w:color w:val="FFFFFF" w:themeColor="bg1" w:themeShade="FF"/>
                <w:szCs w:val="24"/>
                <w:lang w:eastAsia="en-US"/>
              </w:rPr>
              <w:t>199 737</w:t>
            </w:r>
          </w:p>
        </w:tc>
        <w:tc>
          <w:tcPr>
            <w:tcW w:w="1709" w:type="dxa"/>
            <w:tcBorders>
              <w:top w:val="nil"/>
              <w:left w:val="nil"/>
              <w:bottom w:val="single" w:sz="8" w:space="0" w:color="000000"/>
              <w:right w:val="single" w:sz="8" w:space="0" w:color="000000"/>
            </w:tcBorders>
            <w:shd w:val="solid" w:color="000000" w:fill="auto"/>
            <w:tcMar>
              <w:top w:w="0" w:type="dxa"/>
              <w:left w:w="0" w:type="dxa"/>
              <w:bottom w:w="0" w:type="dxa"/>
              <w:right w:w="0" w:type="dxa"/>
            </w:tcMar>
            <w:textDirection w:val="lrTb"/>
            <w:vAlign w:val="center"/>
          </w:tcPr>
          <w:p w:rsidR="0084715F" w:rsidRPr="000924A7" w:rsidP="00904F88">
            <w:pPr>
              <w:tabs>
                <w:tab w:val="left" w:pos="1061"/>
                <w:tab w:val="left" w:pos="2666"/>
              </w:tabs>
              <w:bidi w:val="0"/>
              <w:adjustRightInd w:val="0"/>
              <w:rPr>
                <w:rFonts w:ascii="Times New Roman" w:hAnsi="Times New Roman"/>
                <w:color w:val="FFFFFF" w:themeColor="bg1" w:themeShade="FF"/>
                <w:szCs w:val="24"/>
                <w:lang w:eastAsia="en-US"/>
              </w:rPr>
            </w:pPr>
            <w:r w:rsidRPr="000924A7">
              <w:rPr>
                <w:rFonts w:ascii="Times New Roman" w:hAnsi="Times New Roman"/>
                <w:color w:val="FFFFFF" w:themeColor="bg1" w:themeShade="FF"/>
                <w:szCs w:val="24"/>
                <w:lang w:eastAsia="en-US"/>
              </w:rPr>
              <w:t> </w:t>
            </w: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xml:space="preserve">Mzdy, platy, služobné príjmy a ostatné osobné vyrovnania (610)* </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904F88">
              <w:rPr>
                <w:rFonts w:ascii="Times New Roman" w:hAnsi="Times New Roman"/>
                <w:color w:val="000000"/>
                <w:szCs w:val="24"/>
                <w:lang w:eastAsia="en-US"/>
              </w:rPr>
              <w:t>54 181</w:t>
            </w:r>
            <w:r w:rsidRPr="00CD60B2">
              <w:rPr>
                <w:rFonts w:ascii="Times New Roman" w:hAnsi="Times New Roman"/>
                <w:color w:val="000000"/>
                <w:szCs w:val="24"/>
                <w:lang w:eastAsia="en-US"/>
              </w:rPr>
              <w:t> </w:t>
            </w: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r w:rsidR="00904F88">
              <w:rPr>
                <w:rFonts w:ascii="Times New Roman" w:hAnsi="Times New Roman"/>
                <w:color w:val="000000"/>
                <w:szCs w:val="24"/>
                <w:lang w:eastAsia="en-US"/>
              </w:rPr>
              <w:t>148 008</w:t>
            </w: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r w:rsidR="00904F88">
              <w:rPr>
                <w:rFonts w:ascii="Times New Roman" w:hAnsi="Times New Roman"/>
                <w:color w:val="000000"/>
                <w:szCs w:val="24"/>
                <w:lang w:eastAsia="en-US"/>
              </w:rPr>
              <w:t>148 008</w:t>
            </w: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r w:rsidR="00904F88">
              <w:rPr>
                <w:rFonts w:ascii="Times New Roman" w:hAnsi="Times New Roman"/>
                <w:color w:val="000000"/>
                <w:szCs w:val="24"/>
                <w:lang w:eastAsia="en-US"/>
              </w:rPr>
              <w:t>štátnozam. miesta</w:t>
            </w: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904F88"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0"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Pr>
                <w:rFonts w:ascii="Times New Roman" w:hAnsi="Times New Roman"/>
                <w:color w:val="000000"/>
                <w:szCs w:val="24"/>
                <w:lang w:eastAsia="en-US"/>
              </w:rPr>
              <w:t>54 181</w:t>
            </w:r>
            <w:r w:rsidRPr="00CD60B2">
              <w:rPr>
                <w:rFonts w:ascii="Times New Roman" w:hAnsi="Times New Roman"/>
                <w:color w:val="000000"/>
                <w:szCs w:val="24"/>
                <w:lang w:eastAsia="en-US"/>
              </w:rPr>
              <w:t> </w:t>
            </w:r>
          </w:p>
        </w:tc>
        <w:tc>
          <w:tcPr>
            <w:tcW w:w="1168"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r>
              <w:rPr>
                <w:rFonts w:ascii="Times New Roman" w:hAnsi="Times New Roman"/>
                <w:color w:val="000000"/>
                <w:szCs w:val="24"/>
                <w:lang w:eastAsia="en-US"/>
              </w:rPr>
              <w:t>148 008</w:t>
            </w: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r>
              <w:rPr>
                <w:rFonts w:ascii="Times New Roman" w:hAnsi="Times New Roman"/>
                <w:color w:val="000000"/>
                <w:szCs w:val="24"/>
                <w:lang w:eastAsia="en-US"/>
              </w:rPr>
              <w:t>148 008</w:t>
            </w: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904F88" w:rsidRPr="00CD60B2" w:rsidP="00904F88">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Poistné a príspevok do poisťovní (620)*</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904F88">
              <w:rPr>
                <w:rFonts w:ascii="Times New Roman" w:hAnsi="Times New Roman"/>
                <w:color w:val="000000"/>
                <w:szCs w:val="24"/>
                <w:lang w:eastAsia="en-US"/>
              </w:rPr>
              <w:t>18 937</w:t>
            </w:r>
            <w:r w:rsidRPr="00CD60B2">
              <w:rPr>
                <w:rFonts w:ascii="Times New Roman" w:hAnsi="Times New Roman"/>
                <w:color w:val="000000"/>
                <w:szCs w:val="24"/>
                <w:lang w:eastAsia="en-US"/>
              </w:rPr>
              <w:t> </w:t>
            </w: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904F88">
              <w:rPr>
                <w:rFonts w:ascii="Times New Roman" w:hAnsi="Times New Roman"/>
                <w:color w:val="000000"/>
                <w:szCs w:val="24"/>
                <w:lang w:eastAsia="en-US"/>
              </w:rPr>
              <w:t>51 729</w:t>
            </w:r>
            <w:r w:rsidRPr="00CD60B2">
              <w:rPr>
                <w:rFonts w:ascii="Times New Roman" w:hAnsi="Times New Roman"/>
                <w:color w:val="000000"/>
                <w:szCs w:val="24"/>
                <w:lang w:eastAsia="en-US"/>
              </w:rPr>
              <w:t> </w:t>
            </w: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00904F88">
              <w:rPr>
                <w:rFonts w:ascii="Times New Roman" w:hAnsi="Times New Roman"/>
                <w:color w:val="000000"/>
                <w:szCs w:val="24"/>
                <w:lang w:eastAsia="en-US"/>
              </w:rPr>
              <w:t>51 729</w:t>
            </w:r>
            <w:r w:rsidRPr="00CD60B2">
              <w:rPr>
                <w:rFonts w:ascii="Times New Roman" w:hAnsi="Times New Roman"/>
                <w:color w:val="000000"/>
                <w:szCs w:val="24"/>
                <w:lang w:eastAsia="en-US"/>
              </w:rPr>
              <w:t> </w:t>
            </w: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r w:rsidR="00904F88">
              <w:rPr>
                <w:rFonts w:ascii="Times New Roman" w:hAnsi="Times New Roman"/>
                <w:color w:val="000000"/>
                <w:szCs w:val="24"/>
                <w:lang w:eastAsia="en-US"/>
              </w:rPr>
              <w:t>štátnozam. miesta</w:t>
            </w: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904F88"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sidRPr="00CD60B2">
              <w:rPr>
                <w:rFonts w:ascii="Times New Roman" w:hAnsi="Times New Roman"/>
                <w:color w:val="000000"/>
                <w:szCs w:val="24"/>
                <w:lang w:eastAsia="en-US"/>
              </w:rPr>
              <w:t> </w:t>
            </w:r>
          </w:p>
        </w:tc>
        <w:tc>
          <w:tcPr>
            <w:tcW w:w="1220"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Pr>
                <w:rFonts w:ascii="Times New Roman" w:hAnsi="Times New Roman"/>
                <w:color w:val="000000"/>
                <w:szCs w:val="24"/>
                <w:lang w:eastAsia="en-US"/>
              </w:rPr>
              <w:t>18 937</w:t>
            </w:r>
            <w:r w:rsidRPr="00CD60B2">
              <w:rPr>
                <w:rFonts w:ascii="Times New Roman" w:hAnsi="Times New Roman"/>
                <w:color w:val="000000"/>
                <w:szCs w:val="24"/>
                <w:lang w:eastAsia="en-US"/>
              </w:rPr>
              <w:t> </w:t>
            </w:r>
          </w:p>
        </w:tc>
        <w:tc>
          <w:tcPr>
            <w:tcW w:w="1168"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Pr>
                <w:rFonts w:ascii="Times New Roman" w:hAnsi="Times New Roman"/>
                <w:color w:val="000000"/>
                <w:szCs w:val="24"/>
                <w:lang w:eastAsia="en-US"/>
              </w:rPr>
              <w:t>51 729</w:t>
            </w:r>
            <w:r w:rsidRPr="00CD60B2">
              <w:rPr>
                <w:rFonts w:ascii="Times New Roman" w:hAnsi="Times New Roman"/>
                <w:color w:val="000000"/>
                <w:szCs w:val="24"/>
                <w:lang w:eastAsia="en-US"/>
              </w:rPr>
              <w:t> </w:t>
            </w: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r>
              <w:rPr>
                <w:rFonts w:ascii="Times New Roman" w:hAnsi="Times New Roman"/>
                <w:color w:val="000000"/>
                <w:szCs w:val="24"/>
                <w:lang w:eastAsia="en-US"/>
              </w:rPr>
              <w:t>51 729</w:t>
            </w:r>
            <w:r w:rsidRPr="00CD60B2">
              <w:rPr>
                <w:rFonts w:ascii="Times New Roman" w:hAnsi="Times New Roman"/>
                <w:color w:val="000000"/>
                <w:szCs w:val="24"/>
                <w:lang w:eastAsia="en-US"/>
              </w:rPr>
              <w:t> </w:t>
            </w: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904F88" w:rsidRPr="00CD60B2" w:rsidP="00904F88">
            <w:pPr>
              <w:tabs>
                <w:tab w:val="left" w:pos="1061"/>
                <w:tab w:val="left" w:pos="2666"/>
              </w:tabs>
              <w:bidi w:val="0"/>
              <w:adjustRightInd w:val="0"/>
              <w:rPr>
                <w:rFonts w:ascii="Times New Roman" w:hAnsi="Times New Roman"/>
                <w:color w:val="000000"/>
                <w:szCs w:val="24"/>
                <w:lang w:eastAsia="en-US"/>
              </w:rPr>
            </w:pPr>
            <w:r w:rsidRPr="00CD60B2">
              <w:rPr>
                <w:rFonts w:ascii="Times New Roman" w:hAnsi="Times New Roman"/>
                <w:color w:val="000000"/>
                <w:szCs w:val="24"/>
                <w:lang w:eastAsia="en-US"/>
              </w:rPr>
              <w:t> </w:t>
            </w:r>
          </w:p>
        </w:tc>
      </w:tr>
      <w:tr>
        <w:tblPrEx>
          <w:tblW w:w="13162" w:type="dxa"/>
          <w:tblCellMar>
            <w:left w:w="0" w:type="dxa"/>
            <w:right w:w="0" w:type="dxa"/>
          </w:tblCellMar>
        </w:tblPrEx>
        <w:trPr>
          <w:trHeight w:val="255"/>
        </w:trPr>
        <w:tc>
          <w:tcPr>
            <w:tcW w:w="13162" w:type="dxa"/>
            <w:gridSpan w:val="6"/>
            <w:tcBorders>
              <w:top w:val="nil"/>
              <w:left w:val="nil"/>
              <w:bottom w:val="nil"/>
              <w:right w:val="nil"/>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lang w:eastAsia="en-US"/>
              </w:rPr>
            </w:pPr>
            <w:r w:rsidRPr="00CD60B2">
              <w:rPr>
                <w:rFonts w:ascii="Times New Roman" w:hAnsi="Times New Roman"/>
                <w:lang w:eastAsia="en-US"/>
              </w:rPr>
              <w:t>* počet zamestnancov,  mzdy a poistné rozpísať podľa spôsobu odmeňovania (napr. policajti, colníci ...)</w:t>
            </w:r>
          </w:p>
          <w:p w:rsidR="0084715F" w:rsidRPr="00CD60B2" w:rsidP="001750CC">
            <w:pPr>
              <w:bidi w:val="0"/>
              <w:adjustRightInd w:val="0"/>
              <w:jc w:val="both"/>
              <w:rPr>
                <w:rFonts w:ascii="Times New Roman" w:hAnsi="Times New Roman"/>
                <w:sz w:val="24"/>
                <w:szCs w:val="24"/>
                <w:lang w:eastAsia="en-US"/>
              </w:rPr>
            </w:pPr>
          </w:p>
          <w:p w:rsidR="0084715F" w:rsidRPr="00CD60B2" w:rsidP="001750CC">
            <w:pPr>
              <w:bidi w:val="0"/>
              <w:adjustRightInd w:val="0"/>
              <w:jc w:val="both"/>
              <w:rPr>
                <w:rFonts w:ascii="Times New Roman" w:hAnsi="Times New Roman"/>
                <w:b/>
                <w:sz w:val="24"/>
                <w:szCs w:val="24"/>
                <w:lang w:eastAsia="en-US"/>
              </w:rPr>
            </w:pPr>
            <w:r w:rsidRPr="00CD60B2">
              <w:rPr>
                <w:rFonts w:ascii="Times New Roman" w:hAnsi="Times New Roman"/>
                <w:b/>
                <w:sz w:val="24"/>
                <w:szCs w:val="24"/>
                <w:lang w:eastAsia="en-US"/>
              </w:rPr>
              <w:t>Poznámky:</w:t>
            </w:r>
          </w:p>
          <w:p w:rsidR="0084715F" w:rsidRPr="00CD60B2" w:rsidP="001750CC">
            <w:pPr>
              <w:bidi w:val="0"/>
              <w:adjustRightInd w:val="0"/>
              <w:jc w:val="both"/>
              <w:rPr>
                <w:rFonts w:ascii="Times New Roman" w:hAnsi="Times New Roman"/>
                <w:sz w:val="24"/>
                <w:szCs w:val="24"/>
                <w:lang w:eastAsia="en-US"/>
              </w:rPr>
            </w:pPr>
            <w:r w:rsidRPr="00CD60B2">
              <w:rPr>
                <w:rFonts w:ascii="Times New Roman" w:hAnsi="Times New Roman"/>
                <w:sz w:val="24"/>
                <w:szCs w:val="24"/>
                <w:lang w:eastAsia="en-US"/>
              </w:rPr>
              <w:t>Priemerný mzdový výdavok je tvorený podielom mzdových výdavkov na jedného zamestnanca na jeden kalendárny mesiac bežného roka.</w:t>
            </w:r>
          </w:p>
          <w:p w:rsidR="0084715F" w:rsidRPr="00CD60B2" w:rsidP="001750CC">
            <w:pPr>
              <w:bidi w:val="0"/>
              <w:adjustRightInd w:val="0"/>
              <w:jc w:val="both"/>
              <w:rPr>
                <w:rFonts w:ascii="Times New Roman" w:hAnsi="Times New Roman"/>
                <w:sz w:val="24"/>
                <w:szCs w:val="24"/>
                <w:lang w:eastAsia="en-US"/>
              </w:rPr>
            </w:pPr>
          </w:p>
          <w:p w:rsidR="0084715F" w:rsidRPr="00CD60B2" w:rsidP="001750CC">
            <w:pPr>
              <w:bidi w:val="0"/>
              <w:adjustRightInd w:val="0"/>
              <w:jc w:val="both"/>
              <w:rPr>
                <w:rFonts w:ascii="Times New Roman" w:hAnsi="Times New Roman"/>
                <w:szCs w:val="24"/>
                <w:lang w:eastAsia="en-US"/>
              </w:rPr>
            </w:pPr>
            <w:r w:rsidRPr="00CD60B2">
              <w:rPr>
                <w:rFonts w:ascii="Times New Roman" w:hAnsi="Times New Roman"/>
                <w:sz w:val="24"/>
                <w:szCs w:val="24"/>
                <w:lang w:eastAsia="en-US"/>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3162" w:type="dxa"/>
          <w:tblCellMar>
            <w:left w:w="0" w:type="dxa"/>
            <w:right w:w="0" w:type="dxa"/>
          </w:tblCellMar>
        </w:tblPrEx>
        <w:trPr>
          <w:trHeight w:val="255"/>
        </w:trPr>
        <w:tc>
          <w:tcPr>
            <w:tcW w:w="13162" w:type="dxa"/>
            <w:gridSpan w:val="6"/>
            <w:tcBorders>
              <w:top w:val="nil"/>
              <w:left w:val="nil"/>
              <w:bottom w:val="nil"/>
              <w:right w:val="nil"/>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szCs w:val="24"/>
                <w:lang w:eastAsia="en-US"/>
              </w:rPr>
            </w:pPr>
            <w:r w:rsidRPr="00CD60B2">
              <w:rPr>
                <w:rFonts w:ascii="Times New Roman" w:hAnsi="Times New Roman"/>
                <w:sz w:val="24"/>
                <w:szCs w:val="24"/>
                <w:lang w:eastAsia="en-US"/>
              </w:rPr>
              <w:t>Kategórie 610 a 620 sú z tejto prílohy automaticky prenášané do príslušných kategórií prílohy „výdavky“</w:t>
            </w:r>
          </w:p>
          <w:p w:rsidR="0084715F" w:rsidRPr="00CD60B2" w:rsidP="001750CC">
            <w:pPr>
              <w:bidi w:val="0"/>
              <w:adjustRightInd w:val="0"/>
              <w:rPr>
                <w:rFonts w:ascii="Times New Roman" w:hAnsi="Times New Roman"/>
                <w:szCs w:val="24"/>
                <w:lang w:eastAsia="en-US"/>
              </w:rPr>
            </w:pPr>
            <w:r w:rsidRPr="00CD60B2">
              <w:rPr>
                <w:rFonts w:ascii="Times New Roman" w:hAnsi="Times New Roman"/>
                <w:szCs w:val="24"/>
                <w:lang w:eastAsia="en-US"/>
              </w:rPr>
              <w:t> </w:t>
            </w:r>
          </w:p>
        </w:tc>
      </w:tr>
    </w:tbl>
    <w:p w:rsidR="00D71DDB" w:rsidRPr="00CD60B2" w:rsidP="00FF7F78">
      <w:pPr>
        <w:bidi w:val="0"/>
        <w:adjustRightInd w:val="0"/>
        <w:jc w:val="right"/>
        <w:rPr>
          <w:rFonts w:ascii="Times New Roman" w:hAnsi="Times New Roman"/>
          <w:sz w:val="24"/>
          <w:szCs w:val="24"/>
        </w:rPr>
      </w:pPr>
    </w:p>
    <w:sectPr w:rsidSect="0054620A">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entaur">
    <w:panose1 w:val="02030504050205020304"/>
    <w:charset w:val="00"/>
    <w:family w:val="roman"/>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imes New Roman Bold">
    <w:altName w:val="Arial"/>
    <w:panose1 w:val="00000000000000000000"/>
    <w:charset w:val="00"/>
    <w:family w:val="auto"/>
    <w:pitch w:val="default"/>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F6">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8EAC2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75804"/>
    <w:multiLevelType w:val="hybridMultilevel"/>
    <w:tmpl w:val="9768E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3A09C9"/>
    <w:multiLevelType w:val="hybridMultilevel"/>
    <w:tmpl w:val="D754597C"/>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78D4E09"/>
    <w:multiLevelType w:val="hybridMultilevel"/>
    <w:tmpl w:val="3C90E04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8751D2F"/>
    <w:multiLevelType w:val="hybridMultilevel"/>
    <w:tmpl w:val="AFAE1504"/>
    <w:lvl w:ilvl="0">
      <w:start w:val="7"/>
      <w:numFmt w:val="bullet"/>
      <w:lvlText w:val="-"/>
      <w:lvlJc w:val="left"/>
      <w:pPr>
        <w:tabs>
          <w:tab w:val="num" w:pos="360"/>
        </w:tabs>
        <w:ind w:left="360" w:hanging="360"/>
      </w:pPr>
      <w:rPr>
        <w:rFonts w:ascii="Centaur" w:eastAsia="Times New Roman"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5B6A78"/>
    <w:multiLevelType w:val="hybridMultilevel"/>
    <w:tmpl w:val="170EE0AE"/>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EA57DAE"/>
    <w:multiLevelType w:val="hybridMultilevel"/>
    <w:tmpl w:val="5C127AF8"/>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1110C7"/>
    <w:multiLevelType w:val="hybridMultilevel"/>
    <w:tmpl w:val="E3FA88E4"/>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9823DC8"/>
    <w:multiLevelType w:val="hybridMultilevel"/>
    <w:tmpl w:val="D8582646"/>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6D4070"/>
    <w:multiLevelType w:val="hybridMultilevel"/>
    <w:tmpl w:val="8D8E1D14"/>
    <w:lvl w:ilvl="0">
      <w:start w:val="7"/>
      <w:numFmt w:val="bullet"/>
      <w:lvlText w:val="-"/>
      <w:lvlJc w:val="left"/>
      <w:pPr>
        <w:tabs>
          <w:tab w:val="num" w:pos="360"/>
        </w:tabs>
        <w:ind w:left="360" w:hanging="360"/>
      </w:pPr>
      <w:rPr>
        <w:rFonts w:ascii="Centaur" w:eastAsia="Times New Roman"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0C731A5"/>
    <w:multiLevelType w:val="hybridMultilevel"/>
    <w:tmpl w:val="6CF44726"/>
    <w:lvl w:ilvl="0">
      <w:start w:val="1"/>
      <w:numFmt w:val="bullet"/>
      <w:lvlText w:val="-"/>
      <w:lvlJc w:val="left"/>
      <w:pPr>
        <w:tabs>
          <w:tab w:val="num" w:pos="1028"/>
        </w:tabs>
        <w:ind w:left="1028" w:hanging="360"/>
      </w:pPr>
      <w:rPr>
        <w:rFonts w:ascii="Times New Roman" w:eastAsia="Times New Roman" w:hAnsi="Times New Roman" w:hint="default"/>
      </w:rPr>
    </w:lvl>
    <w:lvl w:ilvl="1">
      <w:start w:val="1"/>
      <w:numFmt w:val="bullet"/>
      <w:lvlText w:val="o"/>
      <w:lvlJc w:val="left"/>
      <w:pPr>
        <w:tabs>
          <w:tab w:val="num" w:pos="1748"/>
        </w:tabs>
        <w:ind w:left="1748" w:hanging="360"/>
      </w:pPr>
      <w:rPr>
        <w:rFonts w:ascii="Courier New" w:hAnsi="Courier New" w:hint="default"/>
      </w:rPr>
    </w:lvl>
    <w:lvl w:ilvl="2">
      <w:start w:val="1"/>
      <w:numFmt w:val="bullet"/>
      <w:lvlText w:val=""/>
      <w:lvlJc w:val="left"/>
      <w:pPr>
        <w:tabs>
          <w:tab w:val="num" w:pos="2468"/>
        </w:tabs>
        <w:ind w:left="2468" w:hanging="360"/>
      </w:pPr>
      <w:rPr>
        <w:rFonts w:ascii="Wingdings" w:hAnsi="Wingdings" w:hint="default"/>
      </w:rPr>
    </w:lvl>
    <w:lvl w:ilvl="3">
      <w:start w:val="1"/>
      <w:numFmt w:val="bullet"/>
      <w:lvlText w:val=""/>
      <w:lvlJc w:val="left"/>
      <w:pPr>
        <w:tabs>
          <w:tab w:val="num" w:pos="3188"/>
        </w:tabs>
        <w:ind w:left="3188" w:hanging="360"/>
      </w:pPr>
      <w:rPr>
        <w:rFonts w:ascii="Symbol" w:hAnsi="Symbol" w:hint="default"/>
      </w:rPr>
    </w:lvl>
    <w:lvl w:ilvl="4">
      <w:start w:val="1"/>
      <w:numFmt w:val="bullet"/>
      <w:lvlText w:val="o"/>
      <w:lvlJc w:val="left"/>
      <w:pPr>
        <w:tabs>
          <w:tab w:val="num" w:pos="3908"/>
        </w:tabs>
        <w:ind w:left="3908" w:hanging="360"/>
      </w:pPr>
      <w:rPr>
        <w:rFonts w:ascii="Courier New" w:hAnsi="Courier New" w:hint="default"/>
      </w:rPr>
    </w:lvl>
    <w:lvl w:ilvl="5">
      <w:start w:val="1"/>
      <w:numFmt w:val="bullet"/>
      <w:lvlText w:val=""/>
      <w:lvlJc w:val="left"/>
      <w:pPr>
        <w:tabs>
          <w:tab w:val="num" w:pos="4628"/>
        </w:tabs>
        <w:ind w:left="4628" w:hanging="360"/>
      </w:pPr>
      <w:rPr>
        <w:rFonts w:ascii="Wingdings" w:hAnsi="Wingdings" w:hint="default"/>
      </w:rPr>
    </w:lvl>
    <w:lvl w:ilvl="6">
      <w:start w:val="1"/>
      <w:numFmt w:val="bullet"/>
      <w:lvlText w:val=""/>
      <w:lvlJc w:val="left"/>
      <w:pPr>
        <w:tabs>
          <w:tab w:val="num" w:pos="5348"/>
        </w:tabs>
        <w:ind w:left="5348" w:hanging="360"/>
      </w:pPr>
      <w:rPr>
        <w:rFonts w:ascii="Symbol" w:hAnsi="Symbol" w:hint="default"/>
      </w:rPr>
    </w:lvl>
    <w:lvl w:ilvl="7">
      <w:start w:val="1"/>
      <w:numFmt w:val="bullet"/>
      <w:lvlText w:val="o"/>
      <w:lvlJc w:val="left"/>
      <w:pPr>
        <w:tabs>
          <w:tab w:val="num" w:pos="6068"/>
        </w:tabs>
        <w:ind w:left="6068" w:hanging="360"/>
      </w:pPr>
      <w:rPr>
        <w:rFonts w:ascii="Courier New" w:hAnsi="Courier New" w:hint="default"/>
      </w:rPr>
    </w:lvl>
    <w:lvl w:ilvl="8">
      <w:start w:val="1"/>
      <w:numFmt w:val="bullet"/>
      <w:lvlText w:val=""/>
      <w:lvlJc w:val="left"/>
      <w:pPr>
        <w:tabs>
          <w:tab w:val="num" w:pos="6788"/>
        </w:tabs>
        <w:ind w:left="6788" w:hanging="360"/>
      </w:pPr>
      <w:rPr>
        <w:rFonts w:ascii="Wingdings" w:hAnsi="Wingdings" w:hint="default"/>
      </w:rPr>
    </w:lvl>
  </w:abstractNum>
  <w:abstractNum w:abstractNumId="11">
    <w:nsid w:val="21F15728"/>
    <w:multiLevelType w:val="hybridMultilevel"/>
    <w:tmpl w:val="CFD81E20"/>
    <w:lvl w:ilvl="0">
      <w:start w:val="7"/>
      <w:numFmt w:val="bullet"/>
      <w:lvlText w:val="-"/>
      <w:lvlJc w:val="left"/>
      <w:pPr>
        <w:tabs>
          <w:tab w:val="num" w:pos="360"/>
        </w:tabs>
        <w:ind w:left="360" w:hanging="360"/>
      </w:pPr>
      <w:rPr>
        <w:rFonts w:ascii="Centaur" w:eastAsia="Times New Roman"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3A36C3B"/>
    <w:multiLevelType w:val="hybridMultilevel"/>
    <w:tmpl w:val="D7CC6324"/>
    <w:lvl w:ilvl="0">
      <w:start w:val="0"/>
      <w:numFmt w:val="bullet"/>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28CA0BEF"/>
    <w:multiLevelType w:val="hybridMultilevel"/>
    <w:tmpl w:val="ACF483FE"/>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9270915"/>
    <w:multiLevelType w:val="hybridMultilevel"/>
    <w:tmpl w:val="3F6ECBFE"/>
    <w:lvl w:ilvl="0">
      <w:start w:val="1"/>
      <w:numFmt w:val="decimal"/>
      <w:lvlText w:val="%1."/>
      <w:lvlJc w:val="left"/>
      <w:pPr>
        <w:tabs>
          <w:tab w:val="num" w:pos="720"/>
        </w:tabs>
        <w:ind w:left="720" w:hanging="360"/>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8731A8"/>
    <w:multiLevelType w:val="hybridMultilevel"/>
    <w:tmpl w:val="D660B00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41E23AD"/>
    <w:multiLevelType w:val="hybridMultilevel"/>
    <w:tmpl w:val="B4584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4D93090"/>
    <w:multiLevelType w:val="hybridMultilevel"/>
    <w:tmpl w:val="602E2EA8"/>
    <w:lvl w:ilvl="0">
      <w:start w:val="7"/>
      <w:numFmt w:val="bullet"/>
      <w:lvlText w:val="-"/>
      <w:lvlJc w:val="left"/>
      <w:pPr>
        <w:tabs>
          <w:tab w:val="num" w:pos="360"/>
        </w:tabs>
        <w:ind w:left="360" w:hanging="360"/>
      </w:pPr>
      <w:rPr>
        <w:rFonts w:ascii="Centaur" w:eastAsia="Times New Roman"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5A53C64"/>
    <w:multiLevelType w:val="multilevel"/>
    <w:tmpl w:val="C8225B88"/>
    <w:lvl w:ilvl="0">
      <w:start w:val="2"/>
      <w:numFmt w:val="decimal"/>
      <w:lvlText w:val="%1"/>
      <w:lvlJc w:val="left"/>
      <w:pPr>
        <w:tabs>
          <w:tab w:val="num" w:pos="510"/>
        </w:tabs>
        <w:ind w:left="510" w:hanging="510"/>
      </w:pPr>
      <w:rPr>
        <w:rFonts w:cs="Times New Roman" w:hint="default"/>
        <w:rtl w:val="0"/>
        <w:cs w:val="0"/>
      </w:rPr>
    </w:lvl>
    <w:lvl w:ilvl="1">
      <w:start w:val="1"/>
      <w:numFmt w:val="decimal"/>
      <w:lvlText w:val="%1.%2"/>
      <w:lvlJc w:val="left"/>
      <w:pPr>
        <w:tabs>
          <w:tab w:val="num" w:pos="510"/>
        </w:tabs>
        <w:ind w:left="510" w:hanging="51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9">
    <w:nsid w:val="38DE6DE4"/>
    <w:multiLevelType w:val="hybridMultilevel"/>
    <w:tmpl w:val="C33E930C"/>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960459A"/>
    <w:multiLevelType w:val="hybridMultilevel"/>
    <w:tmpl w:val="28861D04"/>
    <w:lvl w:ilvl="0">
      <w:start w:val="4"/>
      <w:numFmt w:val="bullet"/>
      <w:lvlText w:val="-"/>
      <w:lvlJc w:val="left"/>
      <w:pPr>
        <w:tabs>
          <w:tab w:val="num" w:pos="720"/>
        </w:tabs>
        <w:ind w:left="720" w:hanging="360"/>
      </w:pPr>
      <w:rPr>
        <w:rFonts w:ascii="Times New Roman" w:eastAsia="Times New Roman" w:hAnsi="Times New Roman" w:hint="default"/>
        <w:b/>
      </w:rPr>
    </w:lvl>
    <w:lvl w:ilvl="1">
      <w:start w:val="37"/>
      <w:numFmt w:val="decimal"/>
      <w:lvlText w:val="%2)"/>
      <w:lvlJc w:val="left"/>
      <w:pPr>
        <w:tabs>
          <w:tab w:val="num" w:pos="1575"/>
        </w:tabs>
        <w:ind w:left="1575" w:hanging="495"/>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C0376F3"/>
    <w:multiLevelType w:val="hybridMultilevel"/>
    <w:tmpl w:val="16DAE674"/>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D9B31DA"/>
    <w:multiLevelType w:val="hybridMultilevel"/>
    <w:tmpl w:val="3604C6E4"/>
    <w:lvl w:ilvl="0">
      <w:start w:val="7"/>
      <w:numFmt w:val="bullet"/>
      <w:lvlText w:val="-"/>
      <w:lvlJc w:val="left"/>
      <w:pPr>
        <w:tabs>
          <w:tab w:val="num" w:pos="717"/>
        </w:tabs>
        <w:ind w:left="717" w:hanging="360"/>
      </w:pPr>
      <w:rPr>
        <w:rFonts w:ascii="Centaur" w:eastAsia="Times New Roman" w:hAnsi="Centaur"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3">
    <w:nsid w:val="473035F7"/>
    <w:multiLevelType w:val="multilevel"/>
    <w:tmpl w:val="46DA8A80"/>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137"/>
        </w:tabs>
        <w:ind w:left="1137" w:hanging="360"/>
      </w:pPr>
      <w:rPr>
        <w:rFonts w:cs="Times New Roman"/>
        <w:rtl w:val="0"/>
        <w:cs w:val="0"/>
      </w:rPr>
    </w:lvl>
    <w:lvl w:ilvl="2">
      <w:start w:val="1"/>
      <w:numFmt w:val="lowerRoman"/>
      <w:lvlText w:val="%3."/>
      <w:lvlJc w:val="right"/>
      <w:pPr>
        <w:tabs>
          <w:tab w:val="num" w:pos="1857"/>
        </w:tabs>
        <w:ind w:left="1857" w:hanging="180"/>
      </w:pPr>
      <w:rPr>
        <w:rFonts w:cs="Times New Roman"/>
        <w:rtl w:val="0"/>
        <w:cs w:val="0"/>
      </w:rPr>
    </w:lvl>
    <w:lvl w:ilvl="3">
      <w:start w:val="1"/>
      <w:numFmt w:val="decimal"/>
      <w:lvlText w:val="%4."/>
      <w:lvlJc w:val="left"/>
      <w:pPr>
        <w:tabs>
          <w:tab w:val="num" w:pos="2577"/>
        </w:tabs>
        <w:ind w:left="2577" w:hanging="360"/>
      </w:pPr>
      <w:rPr>
        <w:rFonts w:cs="Times New Roman"/>
        <w:rtl w:val="0"/>
        <w:cs w:val="0"/>
      </w:rPr>
    </w:lvl>
    <w:lvl w:ilvl="4">
      <w:start w:val="1"/>
      <w:numFmt w:val="lowerLetter"/>
      <w:lvlText w:val="%5."/>
      <w:lvlJc w:val="left"/>
      <w:pPr>
        <w:tabs>
          <w:tab w:val="num" w:pos="3297"/>
        </w:tabs>
        <w:ind w:left="3297" w:hanging="360"/>
      </w:pPr>
      <w:rPr>
        <w:rFonts w:cs="Times New Roman"/>
        <w:rtl w:val="0"/>
        <w:cs w:val="0"/>
      </w:rPr>
    </w:lvl>
    <w:lvl w:ilvl="5">
      <w:start w:val="1"/>
      <w:numFmt w:val="lowerRoman"/>
      <w:lvlText w:val="%6."/>
      <w:lvlJc w:val="right"/>
      <w:pPr>
        <w:tabs>
          <w:tab w:val="num" w:pos="4017"/>
        </w:tabs>
        <w:ind w:left="4017" w:hanging="180"/>
      </w:pPr>
      <w:rPr>
        <w:rFonts w:cs="Times New Roman"/>
        <w:rtl w:val="0"/>
        <w:cs w:val="0"/>
      </w:rPr>
    </w:lvl>
    <w:lvl w:ilvl="6">
      <w:start w:val="1"/>
      <w:numFmt w:val="decimal"/>
      <w:lvlText w:val="%7."/>
      <w:lvlJc w:val="left"/>
      <w:pPr>
        <w:tabs>
          <w:tab w:val="num" w:pos="4737"/>
        </w:tabs>
        <w:ind w:left="4737" w:hanging="360"/>
      </w:pPr>
      <w:rPr>
        <w:rFonts w:cs="Times New Roman"/>
        <w:rtl w:val="0"/>
        <w:cs w:val="0"/>
      </w:rPr>
    </w:lvl>
    <w:lvl w:ilvl="7">
      <w:start w:val="1"/>
      <w:numFmt w:val="lowerLetter"/>
      <w:lvlText w:val="%8."/>
      <w:lvlJc w:val="left"/>
      <w:pPr>
        <w:tabs>
          <w:tab w:val="num" w:pos="5457"/>
        </w:tabs>
        <w:ind w:left="5457" w:hanging="360"/>
      </w:pPr>
      <w:rPr>
        <w:rFonts w:cs="Times New Roman"/>
        <w:rtl w:val="0"/>
        <w:cs w:val="0"/>
      </w:rPr>
    </w:lvl>
    <w:lvl w:ilvl="8">
      <w:start w:val="1"/>
      <w:numFmt w:val="lowerRoman"/>
      <w:lvlText w:val="%9."/>
      <w:lvlJc w:val="right"/>
      <w:pPr>
        <w:tabs>
          <w:tab w:val="num" w:pos="6177"/>
        </w:tabs>
        <w:ind w:left="6177" w:hanging="180"/>
      </w:pPr>
      <w:rPr>
        <w:rFonts w:cs="Times New Roman"/>
        <w:rtl w:val="0"/>
        <w:cs w:val="0"/>
      </w:rPr>
    </w:lvl>
  </w:abstractNum>
  <w:abstractNum w:abstractNumId="24">
    <w:nsid w:val="4A153B63"/>
    <w:multiLevelType w:val="hybridMultilevel"/>
    <w:tmpl w:val="5D145A26"/>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4A15942"/>
    <w:multiLevelType w:val="hybridMultilevel"/>
    <w:tmpl w:val="1DACC564"/>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63F666C"/>
    <w:multiLevelType w:val="hybridMultilevel"/>
    <w:tmpl w:val="B2561B3C"/>
    <w:lvl w:ilvl="0">
      <w:start w:val="2"/>
      <w:numFmt w:val="upperLetter"/>
      <w:lvlText w:val="%1."/>
      <w:lvlJc w:val="left"/>
      <w:pPr>
        <w:tabs>
          <w:tab w:val="num" w:pos="930"/>
        </w:tabs>
        <w:ind w:left="930" w:hanging="57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6815841"/>
    <w:multiLevelType w:val="hybridMultilevel"/>
    <w:tmpl w:val="4C8E560E"/>
    <w:lvl w:ilvl="0">
      <w:start w:val="7"/>
      <w:numFmt w:val="bullet"/>
      <w:lvlText w:val="-"/>
      <w:lvlJc w:val="left"/>
      <w:pPr>
        <w:tabs>
          <w:tab w:val="num" w:pos="360"/>
        </w:tabs>
        <w:ind w:left="360" w:hanging="360"/>
      </w:pPr>
      <w:rPr>
        <w:rFonts w:ascii="Centaur" w:eastAsia="Times New Roman"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8E2C9F"/>
    <w:multiLevelType w:val="singleLevel"/>
    <w:tmpl w:val="1C4E2520"/>
    <w:lvl w:ilvl="0">
      <w:start w:val="1"/>
      <w:numFmt w:val="upperLetter"/>
      <w:lvlText w:val="%1."/>
      <w:lvlJc w:val="left"/>
      <w:pPr>
        <w:tabs>
          <w:tab w:val="num" w:pos="1065"/>
        </w:tabs>
        <w:ind w:left="1065" w:hanging="1065"/>
      </w:pPr>
      <w:rPr>
        <w:rFonts w:cs="Times New Roman" w:hint="default"/>
        <w:rtl w:val="0"/>
        <w:cs w:val="0"/>
      </w:rPr>
    </w:lvl>
  </w:abstractNum>
  <w:abstractNum w:abstractNumId="29">
    <w:nsid w:val="623A253D"/>
    <w:multiLevelType w:val="hybridMultilevel"/>
    <w:tmpl w:val="EBE0B45C"/>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7F6F78"/>
    <w:multiLevelType w:val="hybridMultilevel"/>
    <w:tmpl w:val="472CE6E8"/>
    <w:lvl w:ilvl="0">
      <w:start w:val="16"/>
      <w:numFmt w:val="bullet"/>
      <w:lvlText w:val="-"/>
      <w:lvlJc w:val="left"/>
      <w:pPr>
        <w:tabs>
          <w:tab w:val="num" w:pos="420"/>
        </w:tabs>
        <w:ind w:left="420" w:hanging="360"/>
      </w:pPr>
      <w:rPr>
        <w:rFonts w:ascii="Times New Roman" w:eastAsia="Times New Roman" w:hAnsi="Times New Roman" w:hint="default"/>
        <w:b w:val="0"/>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31">
    <w:nsid w:val="630508B8"/>
    <w:multiLevelType w:val="hybridMultilevel"/>
    <w:tmpl w:val="24A42A40"/>
    <w:lvl w:ilvl="0">
      <w:start w:val="5"/>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3142F73"/>
    <w:multiLevelType w:val="hybridMultilevel"/>
    <w:tmpl w:val="B9BE630C"/>
    <w:lvl w:ilvl="0">
      <w:start w:val="4"/>
      <w:numFmt w:val="decimal"/>
      <w:lvlText w:val="%1."/>
      <w:lvlJc w:val="left"/>
      <w:pPr>
        <w:tabs>
          <w:tab w:val="num" w:pos="417"/>
        </w:tabs>
        <w:ind w:left="417" w:hanging="360"/>
      </w:pPr>
      <w:rPr>
        <w:rFonts w:cs="Times New Roman" w:hint="default"/>
        <w:rtl w:val="0"/>
        <w:cs w:val="0"/>
      </w:rPr>
    </w:lvl>
    <w:lvl w:ilvl="1">
      <w:start w:val="1"/>
      <w:numFmt w:val="lowerLetter"/>
      <w:lvlText w:val="%2."/>
      <w:lvlJc w:val="left"/>
      <w:pPr>
        <w:tabs>
          <w:tab w:val="num" w:pos="1137"/>
        </w:tabs>
        <w:ind w:left="1137" w:hanging="360"/>
      </w:pPr>
      <w:rPr>
        <w:rFonts w:cs="Times New Roman"/>
        <w:rtl w:val="0"/>
        <w:cs w:val="0"/>
      </w:rPr>
    </w:lvl>
    <w:lvl w:ilvl="2">
      <w:start w:val="1"/>
      <w:numFmt w:val="lowerRoman"/>
      <w:lvlText w:val="%3."/>
      <w:lvlJc w:val="right"/>
      <w:pPr>
        <w:tabs>
          <w:tab w:val="num" w:pos="1857"/>
        </w:tabs>
        <w:ind w:left="1857" w:hanging="180"/>
      </w:pPr>
      <w:rPr>
        <w:rFonts w:cs="Times New Roman"/>
        <w:rtl w:val="0"/>
        <w:cs w:val="0"/>
      </w:rPr>
    </w:lvl>
    <w:lvl w:ilvl="3">
      <w:start w:val="1"/>
      <w:numFmt w:val="decimal"/>
      <w:lvlText w:val="%4."/>
      <w:lvlJc w:val="left"/>
      <w:pPr>
        <w:tabs>
          <w:tab w:val="num" w:pos="2577"/>
        </w:tabs>
        <w:ind w:left="2577" w:hanging="360"/>
      </w:pPr>
      <w:rPr>
        <w:rFonts w:cs="Times New Roman"/>
        <w:rtl w:val="0"/>
        <w:cs w:val="0"/>
      </w:rPr>
    </w:lvl>
    <w:lvl w:ilvl="4">
      <w:start w:val="1"/>
      <w:numFmt w:val="lowerLetter"/>
      <w:lvlText w:val="%5."/>
      <w:lvlJc w:val="left"/>
      <w:pPr>
        <w:tabs>
          <w:tab w:val="num" w:pos="3297"/>
        </w:tabs>
        <w:ind w:left="3297" w:hanging="360"/>
      </w:pPr>
      <w:rPr>
        <w:rFonts w:cs="Times New Roman"/>
        <w:rtl w:val="0"/>
        <w:cs w:val="0"/>
      </w:rPr>
    </w:lvl>
    <w:lvl w:ilvl="5">
      <w:start w:val="1"/>
      <w:numFmt w:val="lowerRoman"/>
      <w:lvlText w:val="%6."/>
      <w:lvlJc w:val="right"/>
      <w:pPr>
        <w:tabs>
          <w:tab w:val="num" w:pos="4017"/>
        </w:tabs>
        <w:ind w:left="4017" w:hanging="180"/>
      </w:pPr>
      <w:rPr>
        <w:rFonts w:cs="Times New Roman"/>
        <w:rtl w:val="0"/>
        <w:cs w:val="0"/>
      </w:rPr>
    </w:lvl>
    <w:lvl w:ilvl="6">
      <w:start w:val="1"/>
      <w:numFmt w:val="decimal"/>
      <w:lvlText w:val="%7."/>
      <w:lvlJc w:val="left"/>
      <w:pPr>
        <w:tabs>
          <w:tab w:val="num" w:pos="4737"/>
        </w:tabs>
        <w:ind w:left="4737" w:hanging="360"/>
      </w:pPr>
      <w:rPr>
        <w:rFonts w:cs="Times New Roman"/>
        <w:rtl w:val="0"/>
        <w:cs w:val="0"/>
      </w:rPr>
    </w:lvl>
    <w:lvl w:ilvl="7">
      <w:start w:val="1"/>
      <w:numFmt w:val="lowerLetter"/>
      <w:lvlText w:val="%8."/>
      <w:lvlJc w:val="left"/>
      <w:pPr>
        <w:tabs>
          <w:tab w:val="num" w:pos="5457"/>
        </w:tabs>
        <w:ind w:left="5457" w:hanging="360"/>
      </w:pPr>
      <w:rPr>
        <w:rFonts w:cs="Times New Roman"/>
        <w:rtl w:val="0"/>
        <w:cs w:val="0"/>
      </w:rPr>
    </w:lvl>
    <w:lvl w:ilvl="8">
      <w:start w:val="1"/>
      <w:numFmt w:val="lowerRoman"/>
      <w:lvlText w:val="%9."/>
      <w:lvlJc w:val="right"/>
      <w:pPr>
        <w:tabs>
          <w:tab w:val="num" w:pos="6177"/>
        </w:tabs>
        <w:ind w:left="6177" w:hanging="180"/>
      </w:pPr>
      <w:rPr>
        <w:rFonts w:cs="Times New Roman"/>
        <w:rtl w:val="0"/>
        <w:cs w:val="0"/>
      </w:rPr>
    </w:lvl>
  </w:abstractNum>
  <w:abstractNum w:abstractNumId="33">
    <w:nsid w:val="63865108"/>
    <w:multiLevelType w:val="hybridMultilevel"/>
    <w:tmpl w:val="4672DF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A63234C"/>
    <w:multiLevelType w:val="hybridMultilevel"/>
    <w:tmpl w:val="A0C41D84"/>
    <w:lvl w:ilvl="0">
      <w:start w:val="1"/>
      <w:numFmt w:val="bullet"/>
      <w:lvlText w:val="-"/>
      <w:lvlJc w:val="left"/>
      <w:pPr>
        <w:tabs>
          <w:tab w:val="num" w:pos="1440"/>
        </w:tabs>
        <w:ind w:left="1440" w:hanging="360"/>
      </w:pPr>
      <w:rPr>
        <w:rFonts w:ascii="Stencil" w:hAnsi="Stencil" w:hint="default"/>
        <w:sz w:val="16"/>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F974A5C"/>
    <w:multiLevelType w:val="hybridMultilevel"/>
    <w:tmpl w:val="C1847D62"/>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09F41A2"/>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37">
    <w:nsid w:val="72BA235C"/>
    <w:multiLevelType w:val="hybridMultilevel"/>
    <w:tmpl w:val="DAAED414"/>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46D4408"/>
    <w:multiLevelType w:val="hybridMultilevel"/>
    <w:tmpl w:val="4B742CFE"/>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4983414"/>
    <w:multiLevelType w:val="hybridMultilevel"/>
    <w:tmpl w:val="533A67C8"/>
    <w:lvl w:ilvl="0">
      <w:start w:val="1"/>
      <w:numFmt w:val="decimal"/>
      <w:lvlText w:val="%1."/>
      <w:lvlJc w:val="left"/>
      <w:pPr>
        <w:tabs>
          <w:tab w:val="num" w:pos="502"/>
        </w:tabs>
        <w:ind w:left="502" w:hanging="360"/>
      </w:pPr>
      <w:rPr>
        <w:rFonts w:ascii="Times New Roman" w:hAnsi="Times New Roman" w:cs="Times New Roman" w:hint="default"/>
        <w:b w:val="0"/>
        <w:i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51A2736"/>
    <w:multiLevelType w:val="hybridMultilevel"/>
    <w:tmpl w:val="FE58153E"/>
    <w:lvl w:ilvl="0">
      <w:start w:val="1"/>
      <w:numFmt w:val="bullet"/>
      <w:lvlText w:val="-"/>
      <w:lvlJc w:val="left"/>
      <w:pPr>
        <w:tabs>
          <w:tab w:val="num" w:pos="360"/>
        </w:tabs>
        <w:ind w:left="360" w:hanging="360"/>
      </w:pPr>
      <w:rPr>
        <w:rFonts w:ascii="Centaur" w:eastAsia="Times New Roman" w:hAnsi="Centaur"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nsid w:val="782620F9"/>
    <w:multiLevelType w:val="hybridMultilevel"/>
    <w:tmpl w:val="5F12BC44"/>
    <w:lvl w:ilvl="0">
      <w:start w:val="4"/>
      <w:numFmt w:val="bullet"/>
      <w:lvlText w:val="-"/>
      <w:lvlJc w:val="left"/>
      <w:pPr>
        <w:tabs>
          <w:tab w:val="num" w:pos="720"/>
        </w:tabs>
        <w:ind w:left="72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9160B38"/>
    <w:multiLevelType w:val="hybridMultilevel"/>
    <w:tmpl w:val="F4248D36"/>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93D64F4"/>
    <w:multiLevelType w:val="hybridMultilevel"/>
    <w:tmpl w:val="DD8600E0"/>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9A50EE7"/>
    <w:multiLevelType w:val="hybridMultilevel"/>
    <w:tmpl w:val="AE6616BE"/>
    <w:lvl w:ilvl="0">
      <w:start w:val="7"/>
      <w:numFmt w:val="bullet"/>
      <w:lvlText w:val="-"/>
      <w:lvlJc w:val="left"/>
      <w:pPr>
        <w:tabs>
          <w:tab w:val="num" w:pos="360"/>
        </w:tabs>
        <w:ind w:left="360" w:hanging="360"/>
      </w:pPr>
      <w:rPr>
        <w:rFonts w:ascii="Centaur" w:eastAsia="Times New Roman" w:hAnsi="Centaur"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C6C02BC"/>
    <w:multiLevelType w:val="hybridMultilevel"/>
    <w:tmpl w:val="0816A4D8"/>
    <w:lvl w:ilvl="0">
      <w:start w:val="7"/>
      <w:numFmt w:val="bullet"/>
      <w:lvlText w:val="-"/>
      <w:lvlJc w:val="left"/>
      <w:pPr>
        <w:tabs>
          <w:tab w:val="num" w:pos="717"/>
        </w:tabs>
        <w:ind w:left="717" w:hanging="360"/>
      </w:pPr>
      <w:rPr>
        <w:rFonts w:ascii="Centaur" w:eastAsia="Times New Roman" w:hAnsi="Centaur"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46">
    <w:nsid w:val="7E765367"/>
    <w:multiLevelType w:val="hybridMultilevel"/>
    <w:tmpl w:val="9394F74E"/>
    <w:lvl w:ilvl="0">
      <w:start w:val="1"/>
      <w:numFmt w:val="bullet"/>
      <w:lvlText w:val=""/>
      <w:lvlJc w:val="left"/>
      <w:pPr>
        <w:tabs>
          <w:tab w:val="num" w:pos="1069"/>
        </w:tabs>
        <w:ind w:left="1069" w:hanging="360"/>
      </w:pPr>
      <w:rPr>
        <w:rFonts w:ascii="Wingdings" w:hAnsi="Wingdings" w:hint="default"/>
      </w:rPr>
    </w:lvl>
    <w:lvl w:ilvl="1">
      <w:start w:val="7"/>
      <w:numFmt w:val="bullet"/>
      <w:lvlText w:val="-"/>
      <w:lvlJc w:val="left"/>
      <w:pPr>
        <w:tabs>
          <w:tab w:val="num" w:pos="1789"/>
        </w:tabs>
        <w:ind w:left="1789" w:hanging="360"/>
      </w:pPr>
      <w:rPr>
        <w:rFonts w:ascii="Centaur" w:eastAsia="Times New Roman" w:hAnsi="Centaur"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7">
    <w:nsid w:val="7EFE2CA1"/>
    <w:multiLevelType w:val="hybridMultilevel"/>
    <w:tmpl w:val="9AEE4110"/>
    <w:lvl w:ilvl="0">
      <w:start w:val="7"/>
      <w:numFmt w:val="bullet"/>
      <w:lvlText w:val="-"/>
      <w:lvlJc w:val="left"/>
      <w:pPr>
        <w:tabs>
          <w:tab w:val="num" w:pos="717"/>
        </w:tabs>
        <w:ind w:left="717" w:hanging="360"/>
      </w:pPr>
      <w:rPr>
        <w:rFonts w:ascii="Centaur" w:eastAsia="Times New Roman" w:hAnsi="Centaur"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48">
    <w:nsid w:val="7F925357"/>
    <w:multiLevelType w:val="multilevel"/>
    <w:tmpl w:val="9BE07C3A"/>
    <w:lvl w:ilvl="0">
      <w:start w:val="1"/>
      <w:numFmt w:val="decimal"/>
      <w:lvlText w:val="%1."/>
      <w:lvlJc w:val="left"/>
      <w:pPr>
        <w:tabs>
          <w:tab w:val="num" w:pos="780"/>
        </w:tabs>
        <w:ind w:left="780" w:hanging="420"/>
      </w:pPr>
      <w:rPr>
        <w:rFonts w:cs="Times New Roman" w:hint="default"/>
        <w:rtl w:val="0"/>
        <w:cs w:val="0"/>
      </w:rPr>
    </w:lvl>
    <w:lvl w:ilvl="1">
      <w:start w:val="1"/>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num w:numId="1">
    <w:abstractNumId w:val="0"/>
  </w:num>
  <w:num w:numId="2">
    <w:abstractNumId w:val="36"/>
  </w:num>
  <w:num w:numId="3">
    <w:abstractNumId w:val="28"/>
  </w:num>
  <w:num w:numId="4">
    <w:abstractNumId w:val="32"/>
  </w:num>
  <w:num w:numId="5">
    <w:abstractNumId w:val="23"/>
  </w:num>
  <w:num w:numId="6">
    <w:abstractNumId w:val="39"/>
  </w:num>
  <w:num w:numId="7">
    <w:abstractNumId w:val="3"/>
  </w:num>
  <w:num w:numId="8">
    <w:abstractNumId w:val="10"/>
  </w:num>
  <w:num w:numId="9">
    <w:abstractNumId w:val="30"/>
  </w:num>
  <w:num w:numId="10">
    <w:abstractNumId w:val="15"/>
  </w:num>
  <w:num w:numId="11">
    <w:abstractNumId w:val="48"/>
  </w:num>
  <w:num w:numId="12">
    <w:abstractNumId w:val="12"/>
  </w:num>
  <w:num w:numId="13">
    <w:abstractNumId w:val="24"/>
  </w:num>
  <w:num w:numId="14">
    <w:abstractNumId w:val="31"/>
  </w:num>
  <w:num w:numId="15">
    <w:abstractNumId w:val="14"/>
  </w:num>
  <w:num w:numId="16">
    <w:abstractNumId w:val="13"/>
  </w:num>
  <w:num w:numId="17">
    <w:abstractNumId w:val="21"/>
  </w:num>
  <w:num w:numId="18">
    <w:abstractNumId w:val="18"/>
  </w:num>
  <w:num w:numId="19">
    <w:abstractNumId w:val="35"/>
  </w:num>
  <w:num w:numId="20">
    <w:abstractNumId w:val="43"/>
  </w:num>
  <w:num w:numId="21">
    <w:abstractNumId w:val="26"/>
  </w:num>
  <w:num w:numId="22">
    <w:abstractNumId w:val="42"/>
  </w:num>
  <w:num w:numId="23">
    <w:abstractNumId w:val="8"/>
  </w:num>
  <w:num w:numId="24">
    <w:abstractNumId w:val="7"/>
  </w:num>
  <w:num w:numId="25">
    <w:abstractNumId w:val="19"/>
  </w:num>
  <w:num w:numId="26">
    <w:abstractNumId w:val="29"/>
  </w:num>
  <w:num w:numId="27">
    <w:abstractNumId w:val="16"/>
  </w:num>
  <w:num w:numId="28">
    <w:abstractNumId w:val="1"/>
  </w:num>
  <w:num w:numId="29">
    <w:abstractNumId w:val="25"/>
  </w:num>
  <w:num w:numId="30">
    <w:abstractNumId w:val="38"/>
  </w:num>
  <w:num w:numId="31">
    <w:abstractNumId w:val="5"/>
  </w:num>
  <w:num w:numId="32">
    <w:abstractNumId w:val="6"/>
  </w:num>
  <w:num w:numId="33">
    <w:abstractNumId w:val="34"/>
  </w:num>
  <w:num w:numId="34">
    <w:abstractNumId w:val="41"/>
  </w:num>
  <w:num w:numId="35">
    <w:abstractNumId w:val="20"/>
  </w:num>
  <w:num w:numId="36">
    <w:abstractNumId w:val="40"/>
  </w:num>
  <w:num w:numId="37">
    <w:abstractNumId w:val="9"/>
  </w:num>
  <w:num w:numId="38">
    <w:abstractNumId w:val="11"/>
  </w:num>
  <w:num w:numId="39">
    <w:abstractNumId w:val="4"/>
  </w:num>
  <w:num w:numId="40">
    <w:abstractNumId w:val="27"/>
  </w:num>
  <w:num w:numId="41">
    <w:abstractNumId w:val="45"/>
  </w:num>
  <w:num w:numId="42">
    <w:abstractNumId w:val="44"/>
  </w:num>
  <w:num w:numId="43">
    <w:abstractNumId w:val="17"/>
  </w:num>
  <w:num w:numId="44">
    <w:abstractNumId w:val="47"/>
  </w:num>
  <w:num w:numId="45">
    <w:abstractNumId w:val="22"/>
  </w:num>
  <w:num w:numId="46">
    <w:abstractNumId w:val="46"/>
  </w:num>
  <w:num w:numId="47">
    <w:abstractNumId w:val="2"/>
  </w:num>
  <w:num w:numId="48">
    <w:abstractNumId w:val="37"/>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F01"/>
  <w:doNotTrackMoves/>
  <w:defaultTabStop w:val="708"/>
  <w:hyphenationZone w:val="425"/>
  <w:characterSpacingControl w:val="doNotCompress"/>
  <w:compat/>
  <w:rsids>
    <w:rsidRoot w:val="00D71DDB"/>
    <w:rsid w:val="00001A1A"/>
    <w:rsid w:val="000028D6"/>
    <w:rsid w:val="00002F4B"/>
    <w:rsid w:val="0000375B"/>
    <w:rsid w:val="0000409B"/>
    <w:rsid w:val="00005DD6"/>
    <w:rsid w:val="00005FDC"/>
    <w:rsid w:val="000061F9"/>
    <w:rsid w:val="000125BD"/>
    <w:rsid w:val="00013EEE"/>
    <w:rsid w:val="0001653D"/>
    <w:rsid w:val="000172FD"/>
    <w:rsid w:val="00017449"/>
    <w:rsid w:val="0001779F"/>
    <w:rsid w:val="000179AE"/>
    <w:rsid w:val="000204B6"/>
    <w:rsid w:val="00022603"/>
    <w:rsid w:val="00023C2D"/>
    <w:rsid w:val="00023C87"/>
    <w:rsid w:val="0002413D"/>
    <w:rsid w:val="00024782"/>
    <w:rsid w:val="00025CF9"/>
    <w:rsid w:val="00027023"/>
    <w:rsid w:val="00034419"/>
    <w:rsid w:val="0003669D"/>
    <w:rsid w:val="00036EB2"/>
    <w:rsid w:val="00040E8E"/>
    <w:rsid w:val="00042BF0"/>
    <w:rsid w:val="00043E94"/>
    <w:rsid w:val="00045EEC"/>
    <w:rsid w:val="0005451A"/>
    <w:rsid w:val="00054909"/>
    <w:rsid w:val="00061494"/>
    <w:rsid w:val="00061ABB"/>
    <w:rsid w:val="0006262E"/>
    <w:rsid w:val="00062A0B"/>
    <w:rsid w:val="00064249"/>
    <w:rsid w:val="000658D8"/>
    <w:rsid w:val="00070687"/>
    <w:rsid w:val="000724B8"/>
    <w:rsid w:val="00075373"/>
    <w:rsid w:val="00080F42"/>
    <w:rsid w:val="00083295"/>
    <w:rsid w:val="00084E35"/>
    <w:rsid w:val="00085283"/>
    <w:rsid w:val="000871B3"/>
    <w:rsid w:val="00090C4D"/>
    <w:rsid w:val="000924A7"/>
    <w:rsid w:val="0009261E"/>
    <w:rsid w:val="0009441B"/>
    <w:rsid w:val="00096408"/>
    <w:rsid w:val="000A151C"/>
    <w:rsid w:val="000A385C"/>
    <w:rsid w:val="000A42D2"/>
    <w:rsid w:val="000A4341"/>
    <w:rsid w:val="000A4538"/>
    <w:rsid w:val="000A493F"/>
    <w:rsid w:val="000A49F5"/>
    <w:rsid w:val="000A5123"/>
    <w:rsid w:val="000B10C9"/>
    <w:rsid w:val="000B50CE"/>
    <w:rsid w:val="000B72A9"/>
    <w:rsid w:val="000C412C"/>
    <w:rsid w:val="000C47F4"/>
    <w:rsid w:val="000C4F08"/>
    <w:rsid w:val="000C6065"/>
    <w:rsid w:val="000D05BA"/>
    <w:rsid w:val="000D1988"/>
    <w:rsid w:val="000D4E43"/>
    <w:rsid w:val="000D526E"/>
    <w:rsid w:val="000D7352"/>
    <w:rsid w:val="000D7A12"/>
    <w:rsid w:val="000D7C04"/>
    <w:rsid w:val="000E0126"/>
    <w:rsid w:val="000E03A8"/>
    <w:rsid w:val="000E3605"/>
    <w:rsid w:val="000E57B0"/>
    <w:rsid w:val="000E7D8F"/>
    <w:rsid w:val="000F41BB"/>
    <w:rsid w:val="000F4E32"/>
    <w:rsid w:val="000F6F87"/>
    <w:rsid w:val="001014E8"/>
    <w:rsid w:val="00102FA0"/>
    <w:rsid w:val="001053DE"/>
    <w:rsid w:val="001057CA"/>
    <w:rsid w:val="00105A5E"/>
    <w:rsid w:val="00106E79"/>
    <w:rsid w:val="00106EA9"/>
    <w:rsid w:val="001077F9"/>
    <w:rsid w:val="00111032"/>
    <w:rsid w:val="0011215C"/>
    <w:rsid w:val="00112456"/>
    <w:rsid w:val="00112FEC"/>
    <w:rsid w:val="00116C31"/>
    <w:rsid w:val="00117361"/>
    <w:rsid w:val="001174EC"/>
    <w:rsid w:val="001214FA"/>
    <w:rsid w:val="0012246C"/>
    <w:rsid w:val="001229BF"/>
    <w:rsid w:val="00123244"/>
    <w:rsid w:val="00123667"/>
    <w:rsid w:val="00124227"/>
    <w:rsid w:val="001273ED"/>
    <w:rsid w:val="00130AFD"/>
    <w:rsid w:val="00132409"/>
    <w:rsid w:val="001328B6"/>
    <w:rsid w:val="00134FBA"/>
    <w:rsid w:val="0013674B"/>
    <w:rsid w:val="0013788E"/>
    <w:rsid w:val="0014125D"/>
    <w:rsid w:val="00141B2C"/>
    <w:rsid w:val="0014271B"/>
    <w:rsid w:val="00144D06"/>
    <w:rsid w:val="00144F1F"/>
    <w:rsid w:val="0014521F"/>
    <w:rsid w:val="001465EE"/>
    <w:rsid w:val="00146D04"/>
    <w:rsid w:val="001470A1"/>
    <w:rsid w:val="001476BD"/>
    <w:rsid w:val="00147BAF"/>
    <w:rsid w:val="00150F4B"/>
    <w:rsid w:val="00152511"/>
    <w:rsid w:val="001543BE"/>
    <w:rsid w:val="00160B19"/>
    <w:rsid w:val="00163763"/>
    <w:rsid w:val="00164C1E"/>
    <w:rsid w:val="001663F4"/>
    <w:rsid w:val="00167B2C"/>
    <w:rsid w:val="0017190E"/>
    <w:rsid w:val="00172FEA"/>
    <w:rsid w:val="00174C5E"/>
    <w:rsid w:val="00174D2E"/>
    <w:rsid w:val="001750CC"/>
    <w:rsid w:val="00176432"/>
    <w:rsid w:val="00180C93"/>
    <w:rsid w:val="00180F0D"/>
    <w:rsid w:val="00182AA9"/>
    <w:rsid w:val="00183839"/>
    <w:rsid w:val="00187193"/>
    <w:rsid w:val="00187E15"/>
    <w:rsid w:val="00197078"/>
    <w:rsid w:val="00197DEC"/>
    <w:rsid w:val="001A1EF4"/>
    <w:rsid w:val="001A214C"/>
    <w:rsid w:val="001A746E"/>
    <w:rsid w:val="001B30E3"/>
    <w:rsid w:val="001B380B"/>
    <w:rsid w:val="001C2BE2"/>
    <w:rsid w:val="001D295C"/>
    <w:rsid w:val="001D2C9F"/>
    <w:rsid w:val="001D603F"/>
    <w:rsid w:val="001D64F2"/>
    <w:rsid w:val="001D77A9"/>
    <w:rsid w:val="001E0620"/>
    <w:rsid w:val="001E195B"/>
    <w:rsid w:val="001E507C"/>
    <w:rsid w:val="001F3031"/>
    <w:rsid w:val="001F3CA1"/>
    <w:rsid w:val="001F5B2E"/>
    <w:rsid w:val="001F635F"/>
    <w:rsid w:val="001F6A95"/>
    <w:rsid w:val="001F70C4"/>
    <w:rsid w:val="001F7F81"/>
    <w:rsid w:val="00200DCD"/>
    <w:rsid w:val="00201ACF"/>
    <w:rsid w:val="002021B8"/>
    <w:rsid w:val="002028E9"/>
    <w:rsid w:val="00202C82"/>
    <w:rsid w:val="00204685"/>
    <w:rsid w:val="002046E3"/>
    <w:rsid w:val="00205F1D"/>
    <w:rsid w:val="0021024C"/>
    <w:rsid w:val="00212155"/>
    <w:rsid w:val="00212C8C"/>
    <w:rsid w:val="00214239"/>
    <w:rsid w:val="002163CC"/>
    <w:rsid w:val="00216BFD"/>
    <w:rsid w:val="00220487"/>
    <w:rsid w:val="00221239"/>
    <w:rsid w:val="002225BB"/>
    <w:rsid w:val="00224970"/>
    <w:rsid w:val="00224DA1"/>
    <w:rsid w:val="002302E0"/>
    <w:rsid w:val="0023151F"/>
    <w:rsid w:val="00233A74"/>
    <w:rsid w:val="002343CF"/>
    <w:rsid w:val="00235F34"/>
    <w:rsid w:val="0023662C"/>
    <w:rsid w:val="00237466"/>
    <w:rsid w:val="00240E09"/>
    <w:rsid w:val="00244389"/>
    <w:rsid w:val="00246233"/>
    <w:rsid w:val="00247541"/>
    <w:rsid w:val="002477C2"/>
    <w:rsid w:val="00247F8B"/>
    <w:rsid w:val="00251C22"/>
    <w:rsid w:val="002521D5"/>
    <w:rsid w:val="002538EE"/>
    <w:rsid w:val="00253F8D"/>
    <w:rsid w:val="00254A6C"/>
    <w:rsid w:val="00261398"/>
    <w:rsid w:val="002615A7"/>
    <w:rsid w:val="00261EE1"/>
    <w:rsid w:val="0026327D"/>
    <w:rsid w:val="00265D2D"/>
    <w:rsid w:val="00266540"/>
    <w:rsid w:val="002670C9"/>
    <w:rsid w:val="00267426"/>
    <w:rsid w:val="00271E0D"/>
    <w:rsid w:val="00273225"/>
    <w:rsid w:val="0027396F"/>
    <w:rsid w:val="002768D7"/>
    <w:rsid w:val="00276E6D"/>
    <w:rsid w:val="00277065"/>
    <w:rsid w:val="00277CA3"/>
    <w:rsid w:val="00282147"/>
    <w:rsid w:val="0028395A"/>
    <w:rsid w:val="0028502C"/>
    <w:rsid w:val="00286852"/>
    <w:rsid w:val="00286B00"/>
    <w:rsid w:val="002918F2"/>
    <w:rsid w:val="00293E97"/>
    <w:rsid w:val="00294FB0"/>
    <w:rsid w:val="00295294"/>
    <w:rsid w:val="00295684"/>
    <w:rsid w:val="00295897"/>
    <w:rsid w:val="002A1AB2"/>
    <w:rsid w:val="002A1E49"/>
    <w:rsid w:val="002A3ACA"/>
    <w:rsid w:val="002A3D2E"/>
    <w:rsid w:val="002A3D42"/>
    <w:rsid w:val="002A47B8"/>
    <w:rsid w:val="002A724F"/>
    <w:rsid w:val="002B6989"/>
    <w:rsid w:val="002C5DA7"/>
    <w:rsid w:val="002C67E2"/>
    <w:rsid w:val="002C6C1F"/>
    <w:rsid w:val="002D18F3"/>
    <w:rsid w:val="002D1E34"/>
    <w:rsid w:val="002D1F30"/>
    <w:rsid w:val="002D368E"/>
    <w:rsid w:val="002D419C"/>
    <w:rsid w:val="002D5463"/>
    <w:rsid w:val="002E18BC"/>
    <w:rsid w:val="002E37AD"/>
    <w:rsid w:val="002E3B6B"/>
    <w:rsid w:val="002E4B60"/>
    <w:rsid w:val="002F2208"/>
    <w:rsid w:val="002F2C04"/>
    <w:rsid w:val="002F2D2A"/>
    <w:rsid w:val="002F49F8"/>
    <w:rsid w:val="002F5160"/>
    <w:rsid w:val="002F5D1D"/>
    <w:rsid w:val="002F6766"/>
    <w:rsid w:val="00302C0F"/>
    <w:rsid w:val="00303234"/>
    <w:rsid w:val="00303D18"/>
    <w:rsid w:val="00304459"/>
    <w:rsid w:val="00310719"/>
    <w:rsid w:val="003107F6"/>
    <w:rsid w:val="0031464B"/>
    <w:rsid w:val="00314F69"/>
    <w:rsid w:val="0031575D"/>
    <w:rsid w:val="00317231"/>
    <w:rsid w:val="00322CB7"/>
    <w:rsid w:val="00324DC0"/>
    <w:rsid w:val="00325E38"/>
    <w:rsid w:val="00327C78"/>
    <w:rsid w:val="0033094A"/>
    <w:rsid w:val="0033132B"/>
    <w:rsid w:val="00332036"/>
    <w:rsid w:val="00335F5A"/>
    <w:rsid w:val="00337E8B"/>
    <w:rsid w:val="00340B8E"/>
    <w:rsid w:val="00341668"/>
    <w:rsid w:val="00341DC1"/>
    <w:rsid w:val="00345621"/>
    <w:rsid w:val="003478BA"/>
    <w:rsid w:val="00352CB0"/>
    <w:rsid w:val="003538FB"/>
    <w:rsid w:val="00354DB8"/>
    <w:rsid w:val="0035701E"/>
    <w:rsid w:val="00357A9F"/>
    <w:rsid w:val="0036083B"/>
    <w:rsid w:val="00361B3A"/>
    <w:rsid w:val="00364872"/>
    <w:rsid w:val="003674F1"/>
    <w:rsid w:val="00382DDF"/>
    <w:rsid w:val="00383001"/>
    <w:rsid w:val="0038422F"/>
    <w:rsid w:val="00384F68"/>
    <w:rsid w:val="003852D2"/>
    <w:rsid w:val="00385775"/>
    <w:rsid w:val="00386161"/>
    <w:rsid w:val="003863E7"/>
    <w:rsid w:val="00387482"/>
    <w:rsid w:val="00387DE0"/>
    <w:rsid w:val="00394073"/>
    <w:rsid w:val="00397854"/>
    <w:rsid w:val="00397D20"/>
    <w:rsid w:val="003A0766"/>
    <w:rsid w:val="003A52D0"/>
    <w:rsid w:val="003A6920"/>
    <w:rsid w:val="003B1975"/>
    <w:rsid w:val="003B3574"/>
    <w:rsid w:val="003B4A4D"/>
    <w:rsid w:val="003B55E3"/>
    <w:rsid w:val="003B6788"/>
    <w:rsid w:val="003C1225"/>
    <w:rsid w:val="003C600B"/>
    <w:rsid w:val="003C6318"/>
    <w:rsid w:val="003D13A8"/>
    <w:rsid w:val="003D4F56"/>
    <w:rsid w:val="003D5B64"/>
    <w:rsid w:val="003D622B"/>
    <w:rsid w:val="003D65BD"/>
    <w:rsid w:val="003E5E56"/>
    <w:rsid w:val="003E76B2"/>
    <w:rsid w:val="003E7858"/>
    <w:rsid w:val="003E7F74"/>
    <w:rsid w:val="003F0E25"/>
    <w:rsid w:val="003F1852"/>
    <w:rsid w:val="003F25FC"/>
    <w:rsid w:val="003F2F23"/>
    <w:rsid w:val="003F57F1"/>
    <w:rsid w:val="00401BA7"/>
    <w:rsid w:val="00401E0C"/>
    <w:rsid w:val="004020DB"/>
    <w:rsid w:val="00402812"/>
    <w:rsid w:val="004041F2"/>
    <w:rsid w:val="00405406"/>
    <w:rsid w:val="00406483"/>
    <w:rsid w:val="004074DB"/>
    <w:rsid w:val="00407786"/>
    <w:rsid w:val="0041088F"/>
    <w:rsid w:val="00413B1F"/>
    <w:rsid w:val="00414664"/>
    <w:rsid w:val="00417B29"/>
    <w:rsid w:val="0042111C"/>
    <w:rsid w:val="00422754"/>
    <w:rsid w:val="0042664B"/>
    <w:rsid w:val="0043454A"/>
    <w:rsid w:val="00440B9E"/>
    <w:rsid w:val="00443074"/>
    <w:rsid w:val="00444943"/>
    <w:rsid w:val="0044584B"/>
    <w:rsid w:val="004542B5"/>
    <w:rsid w:val="00455C14"/>
    <w:rsid w:val="0045744B"/>
    <w:rsid w:val="004577DF"/>
    <w:rsid w:val="0047090C"/>
    <w:rsid w:val="004714B7"/>
    <w:rsid w:val="00481043"/>
    <w:rsid w:val="00483DB0"/>
    <w:rsid w:val="00484429"/>
    <w:rsid w:val="00484F75"/>
    <w:rsid w:val="0049102E"/>
    <w:rsid w:val="00491C25"/>
    <w:rsid w:val="00492DEB"/>
    <w:rsid w:val="00495E66"/>
    <w:rsid w:val="004A2307"/>
    <w:rsid w:val="004A39FA"/>
    <w:rsid w:val="004A47DF"/>
    <w:rsid w:val="004A707C"/>
    <w:rsid w:val="004A7B3B"/>
    <w:rsid w:val="004A7F9E"/>
    <w:rsid w:val="004B3023"/>
    <w:rsid w:val="004B45D8"/>
    <w:rsid w:val="004B4C91"/>
    <w:rsid w:val="004B707C"/>
    <w:rsid w:val="004C1E28"/>
    <w:rsid w:val="004C5A61"/>
    <w:rsid w:val="004C6488"/>
    <w:rsid w:val="004D50EC"/>
    <w:rsid w:val="004D589F"/>
    <w:rsid w:val="004D6F9A"/>
    <w:rsid w:val="004E31C9"/>
    <w:rsid w:val="004E3251"/>
    <w:rsid w:val="004E3583"/>
    <w:rsid w:val="004E3623"/>
    <w:rsid w:val="004E40B8"/>
    <w:rsid w:val="004E4A54"/>
    <w:rsid w:val="004E5BD4"/>
    <w:rsid w:val="004E7ADE"/>
    <w:rsid w:val="004F1324"/>
    <w:rsid w:val="004F1811"/>
    <w:rsid w:val="004F2BEE"/>
    <w:rsid w:val="00500024"/>
    <w:rsid w:val="005002A5"/>
    <w:rsid w:val="005014F3"/>
    <w:rsid w:val="00505034"/>
    <w:rsid w:val="0050574E"/>
    <w:rsid w:val="0050661B"/>
    <w:rsid w:val="00510C4F"/>
    <w:rsid w:val="005129C4"/>
    <w:rsid w:val="00526C18"/>
    <w:rsid w:val="005323A6"/>
    <w:rsid w:val="00532B62"/>
    <w:rsid w:val="00532BC1"/>
    <w:rsid w:val="00543EB6"/>
    <w:rsid w:val="0054438F"/>
    <w:rsid w:val="0054620A"/>
    <w:rsid w:val="00550E7C"/>
    <w:rsid w:val="005525F5"/>
    <w:rsid w:val="0055697A"/>
    <w:rsid w:val="00557B14"/>
    <w:rsid w:val="00557C00"/>
    <w:rsid w:val="005647E6"/>
    <w:rsid w:val="00565152"/>
    <w:rsid w:val="005660BF"/>
    <w:rsid w:val="00567CAA"/>
    <w:rsid w:val="00571CFC"/>
    <w:rsid w:val="00572C3F"/>
    <w:rsid w:val="005750B3"/>
    <w:rsid w:val="00577832"/>
    <w:rsid w:val="005818A1"/>
    <w:rsid w:val="00583CB2"/>
    <w:rsid w:val="005841E2"/>
    <w:rsid w:val="00586C0D"/>
    <w:rsid w:val="005879FF"/>
    <w:rsid w:val="00593D73"/>
    <w:rsid w:val="005A1934"/>
    <w:rsid w:val="005A49A6"/>
    <w:rsid w:val="005A4A2F"/>
    <w:rsid w:val="005A5D00"/>
    <w:rsid w:val="005A62ED"/>
    <w:rsid w:val="005A7A8D"/>
    <w:rsid w:val="005B6B90"/>
    <w:rsid w:val="005B743D"/>
    <w:rsid w:val="005C0BC0"/>
    <w:rsid w:val="005C19F6"/>
    <w:rsid w:val="005C29F4"/>
    <w:rsid w:val="005C3CBF"/>
    <w:rsid w:val="005C4533"/>
    <w:rsid w:val="005C6971"/>
    <w:rsid w:val="005D1397"/>
    <w:rsid w:val="005D2399"/>
    <w:rsid w:val="005D25B7"/>
    <w:rsid w:val="005D2AC0"/>
    <w:rsid w:val="005D4181"/>
    <w:rsid w:val="005E02DF"/>
    <w:rsid w:val="005E0FD6"/>
    <w:rsid w:val="005E1308"/>
    <w:rsid w:val="005E13D2"/>
    <w:rsid w:val="005E1687"/>
    <w:rsid w:val="005E1AB5"/>
    <w:rsid w:val="005E31FC"/>
    <w:rsid w:val="005E4B44"/>
    <w:rsid w:val="005E69CF"/>
    <w:rsid w:val="005E7C07"/>
    <w:rsid w:val="005F4CA9"/>
    <w:rsid w:val="005F5380"/>
    <w:rsid w:val="005F728D"/>
    <w:rsid w:val="00606DBC"/>
    <w:rsid w:val="00606F57"/>
    <w:rsid w:val="00606FE2"/>
    <w:rsid w:val="006077FD"/>
    <w:rsid w:val="00610318"/>
    <w:rsid w:val="006103C1"/>
    <w:rsid w:val="00611F35"/>
    <w:rsid w:val="00612317"/>
    <w:rsid w:val="00612842"/>
    <w:rsid w:val="00616811"/>
    <w:rsid w:val="00616B43"/>
    <w:rsid w:val="00620FD3"/>
    <w:rsid w:val="0062418F"/>
    <w:rsid w:val="00624E49"/>
    <w:rsid w:val="00625369"/>
    <w:rsid w:val="00626171"/>
    <w:rsid w:val="00626412"/>
    <w:rsid w:val="006269E6"/>
    <w:rsid w:val="00631812"/>
    <w:rsid w:val="00635579"/>
    <w:rsid w:val="00635BD9"/>
    <w:rsid w:val="006362A6"/>
    <w:rsid w:val="006364FA"/>
    <w:rsid w:val="00637928"/>
    <w:rsid w:val="00640364"/>
    <w:rsid w:val="00640FBB"/>
    <w:rsid w:val="0064252E"/>
    <w:rsid w:val="006429F6"/>
    <w:rsid w:val="00642CEC"/>
    <w:rsid w:val="00644674"/>
    <w:rsid w:val="00646490"/>
    <w:rsid w:val="00647E22"/>
    <w:rsid w:val="00653184"/>
    <w:rsid w:val="006539A5"/>
    <w:rsid w:val="0065544D"/>
    <w:rsid w:val="0065580A"/>
    <w:rsid w:val="006558C1"/>
    <w:rsid w:val="00657AD7"/>
    <w:rsid w:val="00657C9E"/>
    <w:rsid w:val="00657DDD"/>
    <w:rsid w:val="00660A53"/>
    <w:rsid w:val="006611B7"/>
    <w:rsid w:val="00662EE8"/>
    <w:rsid w:val="006634B2"/>
    <w:rsid w:val="006639CB"/>
    <w:rsid w:val="006658E7"/>
    <w:rsid w:val="00665FD5"/>
    <w:rsid w:val="0066731F"/>
    <w:rsid w:val="00667FA3"/>
    <w:rsid w:val="00671998"/>
    <w:rsid w:val="00673817"/>
    <w:rsid w:val="0067408F"/>
    <w:rsid w:val="006743ED"/>
    <w:rsid w:val="0067680E"/>
    <w:rsid w:val="00677D2F"/>
    <w:rsid w:val="00683BDD"/>
    <w:rsid w:val="0068415D"/>
    <w:rsid w:val="00684DE9"/>
    <w:rsid w:val="00686278"/>
    <w:rsid w:val="006868BE"/>
    <w:rsid w:val="006869FA"/>
    <w:rsid w:val="0068772C"/>
    <w:rsid w:val="00687D2F"/>
    <w:rsid w:val="006904D5"/>
    <w:rsid w:val="006908E7"/>
    <w:rsid w:val="00690BA6"/>
    <w:rsid w:val="00693BD9"/>
    <w:rsid w:val="00696264"/>
    <w:rsid w:val="006A0413"/>
    <w:rsid w:val="006A28E0"/>
    <w:rsid w:val="006A6237"/>
    <w:rsid w:val="006A7BB5"/>
    <w:rsid w:val="006B3AF2"/>
    <w:rsid w:val="006C0255"/>
    <w:rsid w:val="006C038F"/>
    <w:rsid w:val="006C3FEF"/>
    <w:rsid w:val="006C40D8"/>
    <w:rsid w:val="006C5960"/>
    <w:rsid w:val="006C5A9B"/>
    <w:rsid w:val="006C5BB6"/>
    <w:rsid w:val="006D10BE"/>
    <w:rsid w:val="006D19CD"/>
    <w:rsid w:val="006D3005"/>
    <w:rsid w:val="006D46B0"/>
    <w:rsid w:val="006D4848"/>
    <w:rsid w:val="006E04A6"/>
    <w:rsid w:val="006E0DAB"/>
    <w:rsid w:val="006E1F49"/>
    <w:rsid w:val="006F0A23"/>
    <w:rsid w:val="006F18C5"/>
    <w:rsid w:val="006F24E6"/>
    <w:rsid w:val="006F2CD9"/>
    <w:rsid w:val="006F371F"/>
    <w:rsid w:val="006F5F50"/>
    <w:rsid w:val="006F7524"/>
    <w:rsid w:val="00702E1C"/>
    <w:rsid w:val="00705641"/>
    <w:rsid w:val="00706E65"/>
    <w:rsid w:val="007070FE"/>
    <w:rsid w:val="00710998"/>
    <w:rsid w:val="0071180E"/>
    <w:rsid w:val="00711D2E"/>
    <w:rsid w:val="00714F21"/>
    <w:rsid w:val="00717FE1"/>
    <w:rsid w:val="00720AA9"/>
    <w:rsid w:val="00723A80"/>
    <w:rsid w:val="00723B2F"/>
    <w:rsid w:val="007240C4"/>
    <w:rsid w:val="00724A17"/>
    <w:rsid w:val="00727380"/>
    <w:rsid w:val="007279C6"/>
    <w:rsid w:val="007328A7"/>
    <w:rsid w:val="00733752"/>
    <w:rsid w:val="00734015"/>
    <w:rsid w:val="007346EB"/>
    <w:rsid w:val="007359BE"/>
    <w:rsid w:val="007377FA"/>
    <w:rsid w:val="00740848"/>
    <w:rsid w:val="00741158"/>
    <w:rsid w:val="00741D73"/>
    <w:rsid w:val="007458FE"/>
    <w:rsid w:val="0074767B"/>
    <w:rsid w:val="00751D64"/>
    <w:rsid w:val="007522ED"/>
    <w:rsid w:val="0075571D"/>
    <w:rsid w:val="00756AFE"/>
    <w:rsid w:val="00760357"/>
    <w:rsid w:val="00761791"/>
    <w:rsid w:val="00766BA3"/>
    <w:rsid w:val="00767003"/>
    <w:rsid w:val="00767B79"/>
    <w:rsid w:val="00773050"/>
    <w:rsid w:val="00775272"/>
    <w:rsid w:val="00775A15"/>
    <w:rsid w:val="0077613D"/>
    <w:rsid w:val="00776FE5"/>
    <w:rsid w:val="00780CFB"/>
    <w:rsid w:val="00782FA6"/>
    <w:rsid w:val="00784685"/>
    <w:rsid w:val="00791975"/>
    <w:rsid w:val="00791D18"/>
    <w:rsid w:val="0079520F"/>
    <w:rsid w:val="00797F0C"/>
    <w:rsid w:val="007A08D7"/>
    <w:rsid w:val="007A237A"/>
    <w:rsid w:val="007A51D6"/>
    <w:rsid w:val="007A79C6"/>
    <w:rsid w:val="007B3906"/>
    <w:rsid w:val="007B4047"/>
    <w:rsid w:val="007B4F43"/>
    <w:rsid w:val="007B6820"/>
    <w:rsid w:val="007B7663"/>
    <w:rsid w:val="007C0FE1"/>
    <w:rsid w:val="007C364B"/>
    <w:rsid w:val="007D4B33"/>
    <w:rsid w:val="007E181A"/>
    <w:rsid w:val="007E1B66"/>
    <w:rsid w:val="007E3212"/>
    <w:rsid w:val="007E3D45"/>
    <w:rsid w:val="007F23C8"/>
    <w:rsid w:val="007F607E"/>
    <w:rsid w:val="00801723"/>
    <w:rsid w:val="008034EA"/>
    <w:rsid w:val="00804EC9"/>
    <w:rsid w:val="00806D7C"/>
    <w:rsid w:val="00806F3C"/>
    <w:rsid w:val="00807AA8"/>
    <w:rsid w:val="00807FE1"/>
    <w:rsid w:val="0081352C"/>
    <w:rsid w:val="00814B3A"/>
    <w:rsid w:val="00815E11"/>
    <w:rsid w:val="008165A9"/>
    <w:rsid w:val="00816C8F"/>
    <w:rsid w:val="008219D9"/>
    <w:rsid w:val="00822E58"/>
    <w:rsid w:val="00822F70"/>
    <w:rsid w:val="0082327E"/>
    <w:rsid w:val="0082346C"/>
    <w:rsid w:val="00831861"/>
    <w:rsid w:val="0083395B"/>
    <w:rsid w:val="00834730"/>
    <w:rsid w:val="00834FC9"/>
    <w:rsid w:val="008351DC"/>
    <w:rsid w:val="008368D4"/>
    <w:rsid w:val="00836EAE"/>
    <w:rsid w:val="00840A36"/>
    <w:rsid w:val="00843E89"/>
    <w:rsid w:val="00844868"/>
    <w:rsid w:val="00844D22"/>
    <w:rsid w:val="00845C7B"/>
    <w:rsid w:val="0084715F"/>
    <w:rsid w:val="008536E1"/>
    <w:rsid w:val="00853923"/>
    <w:rsid w:val="0085501C"/>
    <w:rsid w:val="008566E3"/>
    <w:rsid w:val="00857157"/>
    <w:rsid w:val="00861C60"/>
    <w:rsid w:val="008627BE"/>
    <w:rsid w:val="008650C4"/>
    <w:rsid w:val="008702E1"/>
    <w:rsid w:val="0087106D"/>
    <w:rsid w:val="0087398E"/>
    <w:rsid w:val="00874C50"/>
    <w:rsid w:val="00875CBF"/>
    <w:rsid w:val="008763C7"/>
    <w:rsid w:val="0087696C"/>
    <w:rsid w:val="00880FA3"/>
    <w:rsid w:val="00885122"/>
    <w:rsid w:val="00887227"/>
    <w:rsid w:val="008915C2"/>
    <w:rsid w:val="00894AA6"/>
    <w:rsid w:val="00894BA9"/>
    <w:rsid w:val="008A0542"/>
    <w:rsid w:val="008A27E2"/>
    <w:rsid w:val="008A6688"/>
    <w:rsid w:val="008A750A"/>
    <w:rsid w:val="008B21DD"/>
    <w:rsid w:val="008B4F3B"/>
    <w:rsid w:val="008B5B3B"/>
    <w:rsid w:val="008B6384"/>
    <w:rsid w:val="008B7E6D"/>
    <w:rsid w:val="008C1856"/>
    <w:rsid w:val="008C18B7"/>
    <w:rsid w:val="008C2377"/>
    <w:rsid w:val="008C4C16"/>
    <w:rsid w:val="008C5D00"/>
    <w:rsid w:val="008C646D"/>
    <w:rsid w:val="008C7F56"/>
    <w:rsid w:val="008D0678"/>
    <w:rsid w:val="008D0BCD"/>
    <w:rsid w:val="008D2239"/>
    <w:rsid w:val="008D37BE"/>
    <w:rsid w:val="008D3C8E"/>
    <w:rsid w:val="008D555A"/>
    <w:rsid w:val="008D5CD2"/>
    <w:rsid w:val="008D5E30"/>
    <w:rsid w:val="008D6110"/>
    <w:rsid w:val="008D68D4"/>
    <w:rsid w:val="008D7253"/>
    <w:rsid w:val="008D7704"/>
    <w:rsid w:val="008E210D"/>
    <w:rsid w:val="008E25E6"/>
    <w:rsid w:val="008E386B"/>
    <w:rsid w:val="008E49E0"/>
    <w:rsid w:val="008E4D6C"/>
    <w:rsid w:val="008E633E"/>
    <w:rsid w:val="008F04E6"/>
    <w:rsid w:val="008F158B"/>
    <w:rsid w:val="008F1EC6"/>
    <w:rsid w:val="008F1F04"/>
    <w:rsid w:val="008F2CED"/>
    <w:rsid w:val="008F3977"/>
    <w:rsid w:val="008F5DB0"/>
    <w:rsid w:val="008F675C"/>
    <w:rsid w:val="008F6EB2"/>
    <w:rsid w:val="00901928"/>
    <w:rsid w:val="00903BCC"/>
    <w:rsid w:val="00904F88"/>
    <w:rsid w:val="00906F2D"/>
    <w:rsid w:val="00907643"/>
    <w:rsid w:val="00911418"/>
    <w:rsid w:val="009138CF"/>
    <w:rsid w:val="0091500A"/>
    <w:rsid w:val="00920115"/>
    <w:rsid w:val="00934FE5"/>
    <w:rsid w:val="0093703F"/>
    <w:rsid w:val="0093747E"/>
    <w:rsid w:val="00942969"/>
    <w:rsid w:val="00945EDA"/>
    <w:rsid w:val="00947956"/>
    <w:rsid w:val="00947CE3"/>
    <w:rsid w:val="00952441"/>
    <w:rsid w:val="00952BB3"/>
    <w:rsid w:val="00952ECF"/>
    <w:rsid w:val="00953E6D"/>
    <w:rsid w:val="00953F8D"/>
    <w:rsid w:val="009576FF"/>
    <w:rsid w:val="0095777A"/>
    <w:rsid w:val="009605B2"/>
    <w:rsid w:val="0096222B"/>
    <w:rsid w:val="00962B7B"/>
    <w:rsid w:val="00963DB8"/>
    <w:rsid w:val="0096444B"/>
    <w:rsid w:val="009654B9"/>
    <w:rsid w:val="00965898"/>
    <w:rsid w:val="00965B54"/>
    <w:rsid w:val="00965BF0"/>
    <w:rsid w:val="00965C6D"/>
    <w:rsid w:val="00965D7B"/>
    <w:rsid w:val="00967085"/>
    <w:rsid w:val="0096747B"/>
    <w:rsid w:val="009702A9"/>
    <w:rsid w:val="009755ED"/>
    <w:rsid w:val="009804C2"/>
    <w:rsid w:val="00980ADD"/>
    <w:rsid w:val="00981A40"/>
    <w:rsid w:val="00981E7E"/>
    <w:rsid w:val="00983BDA"/>
    <w:rsid w:val="00985067"/>
    <w:rsid w:val="00985D90"/>
    <w:rsid w:val="00986A0A"/>
    <w:rsid w:val="00986AA9"/>
    <w:rsid w:val="00986D2A"/>
    <w:rsid w:val="009870EE"/>
    <w:rsid w:val="0098746A"/>
    <w:rsid w:val="009922FA"/>
    <w:rsid w:val="009932AA"/>
    <w:rsid w:val="009963C2"/>
    <w:rsid w:val="009966FD"/>
    <w:rsid w:val="00997446"/>
    <w:rsid w:val="009A06C5"/>
    <w:rsid w:val="009A2CDF"/>
    <w:rsid w:val="009A2FDA"/>
    <w:rsid w:val="009A3CD6"/>
    <w:rsid w:val="009A64D8"/>
    <w:rsid w:val="009B0707"/>
    <w:rsid w:val="009B1BC2"/>
    <w:rsid w:val="009B2066"/>
    <w:rsid w:val="009B41EF"/>
    <w:rsid w:val="009B4C6D"/>
    <w:rsid w:val="009C14C7"/>
    <w:rsid w:val="009C17A9"/>
    <w:rsid w:val="009C22C3"/>
    <w:rsid w:val="009C32DE"/>
    <w:rsid w:val="009C3C22"/>
    <w:rsid w:val="009C4EA8"/>
    <w:rsid w:val="009C6CE1"/>
    <w:rsid w:val="009C73BF"/>
    <w:rsid w:val="009D1151"/>
    <w:rsid w:val="009D2C3C"/>
    <w:rsid w:val="009D5024"/>
    <w:rsid w:val="009E47ED"/>
    <w:rsid w:val="009E65BD"/>
    <w:rsid w:val="009F0E9E"/>
    <w:rsid w:val="009F3C72"/>
    <w:rsid w:val="009F4DA8"/>
    <w:rsid w:val="009F4E61"/>
    <w:rsid w:val="009F5767"/>
    <w:rsid w:val="009F6E3A"/>
    <w:rsid w:val="00A002DE"/>
    <w:rsid w:val="00A0215E"/>
    <w:rsid w:val="00A03D27"/>
    <w:rsid w:val="00A06C08"/>
    <w:rsid w:val="00A103F4"/>
    <w:rsid w:val="00A123E4"/>
    <w:rsid w:val="00A1276A"/>
    <w:rsid w:val="00A12F08"/>
    <w:rsid w:val="00A20DAB"/>
    <w:rsid w:val="00A25A28"/>
    <w:rsid w:val="00A25C70"/>
    <w:rsid w:val="00A269C0"/>
    <w:rsid w:val="00A309B8"/>
    <w:rsid w:val="00A3153D"/>
    <w:rsid w:val="00A33790"/>
    <w:rsid w:val="00A34E58"/>
    <w:rsid w:val="00A456BB"/>
    <w:rsid w:val="00A50D9C"/>
    <w:rsid w:val="00A53B44"/>
    <w:rsid w:val="00A5469F"/>
    <w:rsid w:val="00A5470B"/>
    <w:rsid w:val="00A54FEC"/>
    <w:rsid w:val="00A6067C"/>
    <w:rsid w:val="00A62AA2"/>
    <w:rsid w:val="00A6374D"/>
    <w:rsid w:val="00A644EC"/>
    <w:rsid w:val="00A65A2E"/>
    <w:rsid w:val="00A670E4"/>
    <w:rsid w:val="00A70A5E"/>
    <w:rsid w:val="00A71299"/>
    <w:rsid w:val="00A71A73"/>
    <w:rsid w:val="00A720D5"/>
    <w:rsid w:val="00A726CF"/>
    <w:rsid w:val="00A733D3"/>
    <w:rsid w:val="00A73915"/>
    <w:rsid w:val="00A7732C"/>
    <w:rsid w:val="00A803BD"/>
    <w:rsid w:val="00A839E7"/>
    <w:rsid w:val="00A86B85"/>
    <w:rsid w:val="00A92EC1"/>
    <w:rsid w:val="00A93362"/>
    <w:rsid w:val="00A9685C"/>
    <w:rsid w:val="00A96DA8"/>
    <w:rsid w:val="00A9700F"/>
    <w:rsid w:val="00AA1E4C"/>
    <w:rsid w:val="00AA2662"/>
    <w:rsid w:val="00AB1930"/>
    <w:rsid w:val="00AB248E"/>
    <w:rsid w:val="00AB531F"/>
    <w:rsid w:val="00AB7619"/>
    <w:rsid w:val="00AB7D07"/>
    <w:rsid w:val="00AC04F0"/>
    <w:rsid w:val="00AC2A8D"/>
    <w:rsid w:val="00AC2D1E"/>
    <w:rsid w:val="00AC5AE6"/>
    <w:rsid w:val="00AC663A"/>
    <w:rsid w:val="00AC7000"/>
    <w:rsid w:val="00AD021D"/>
    <w:rsid w:val="00AD0FE8"/>
    <w:rsid w:val="00AD150C"/>
    <w:rsid w:val="00AD2A2D"/>
    <w:rsid w:val="00AD6F5F"/>
    <w:rsid w:val="00AD73E0"/>
    <w:rsid w:val="00AE40CD"/>
    <w:rsid w:val="00AE4B9E"/>
    <w:rsid w:val="00AE500D"/>
    <w:rsid w:val="00AE572B"/>
    <w:rsid w:val="00AE6D1A"/>
    <w:rsid w:val="00AE6D5D"/>
    <w:rsid w:val="00AE7198"/>
    <w:rsid w:val="00AE730C"/>
    <w:rsid w:val="00AE7369"/>
    <w:rsid w:val="00AF06C7"/>
    <w:rsid w:val="00AF0BE5"/>
    <w:rsid w:val="00B00E2E"/>
    <w:rsid w:val="00B041B2"/>
    <w:rsid w:val="00B054B3"/>
    <w:rsid w:val="00B055D2"/>
    <w:rsid w:val="00B05688"/>
    <w:rsid w:val="00B1246C"/>
    <w:rsid w:val="00B1272D"/>
    <w:rsid w:val="00B13490"/>
    <w:rsid w:val="00B16742"/>
    <w:rsid w:val="00B16AD3"/>
    <w:rsid w:val="00B200B4"/>
    <w:rsid w:val="00B214B4"/>
    <w:rsid w:val="00B21C2B"/>
    <w:rsid w:val="00B2320C"/>
    <w:rsid w:val="00B23A42"/>
    <w:rsid w:val="00B25CB2"/>
    <w:rsid w:val="00B2716F"/>
    <w:rsid w:val="00B2731A"/>
    <w:rsid w:val="00B3039B"/>
    <w:rsid w:val="00B308CB"/>
    <w:rsid w:val="00B348F1"/>
    <w:rsid w:val="00B36F05"/>
    <w:rsid w:val="00B40968"/>
    <w:rsid w:val="00B4388C"/>
    <w:rsid w:val="00B470EC"/>
    <w:rsid w:val="00B50720"/>
    <w:rsid w:val="00B50945"/>
    <w:rsid w:val="00B55A55"/>
    <w:rsid w:val="00B56304"/>
    <w:rsid w:val="00B5647D"/>
    <w:rsid w:val="00B57810"/>
    <w:rsid w:val="00B60687"/>
    <w:rsid w:val="00B62EB3"/>
    <w:rsid w:val="00B64788"/>
    <w:rsid w:val="00B657C7"/>
    <w:rsid w:val="00B659A6"/>
    <w:rsid w:val="00B659AA"/>
    <w:rsid w:val="00B71D6D"/>
    <w:rsid w:val="00B72873"/>
    <w:rsid w:val="00B73AB8"/>
    <w:rsid w:val="00B73FEF"/>
    <w:rsid w:val="00B742BF"/>
    <w:rsid w:val="00B82EFF"/>
    <w:rsid w:val="00B84D8A"/>
    <w:rsid w:val="00B87ADA"/>
    <w:rsid w:val="00B9013B"/>
    <w:rsid w:val="00B938C2"/>
    <w:rsid w:val="00B97B13"/>
    <w:rsid w:val="00BA106F"/>
    <w:rsid w:val="00BA2EF7"/>
    <w:rsid w:val="00BB17EF"/>
    <w:rsid w:val="00BB18A4"/>
    <w:rsid w:val="00BB1C00"/>
    <w:rsid w:val="00BB23E2"/>
    <w:rsid w:val="00BB36D2"/>
    <w:rsid w:val="00BB4614"/>
    <w:rsid w:val="00BB4AA7"/>
    <w:rsid w:val="00BB673A"/>
    <w:rsid w:val="00BC1E77"/>
    <w:rsid w:val="00BC7B89"/>
    <w:rsid w:val="00BD13D7"/>
    <w:rsid w:val="00BD314C"/>
    <w:rsid w:val="00BD3713"/>
    <w:rsid w:val="00BD373E"/>
    <w:rsid w:val="00BD3C7B"/>
    <w:rsid w:val="00BE09F1"/>
    <w:rsid w:val="00BE264B"/>
    <w:rsid w:val="00BE5827"/>
    <w:rsid w:val="00BE5973"/>
    <w:rsid w:val="00BF03C2"/>
    <w:rsid w:val="00BF097A"/>
    <w:rsid w:val="00BF6316"/>
    <w:rsid w:val="00BF6349"/>
    <w:rsid w:val="00BF7223"/>
    <w:rsid w:val="00BF77CC"/>
    <w:rsid w:val="00BF7F40"/>
    <w:rsid w:val="00C02F0B"/>
    <w:rsid w:val="00C044FA"/>
    <w:rsid w:val="00C05080"/>
    <w:rsid w:val="00C0619B"/>
    <w:rsid w:val="00C0713F"/>
    <w:rsid w:val="00C115EE"/>
    <w:rsid w:val="00C11883"/>
    <w:rsid w:val="00C11FFA"/>
    <w:rsid w:val="00C1285A"/>
    <w:rsid w:val="00C13526"/>
    <w:rsid w:val="00C154A4"/>
    <w:rsid w:val="00C162C7"/>
    <w:rsid w:val="00C16B97"/>
    <w:rsid w:val="00C16C8A"/>
    <w:rsid w:val="00C17294"/>
    <w:rsid w:val="00C17979"/>
    <w:rsid w:val="00C20224"/>
    <w:rsid w:val="00C230F1"/>
    <w:rsid w:val="00C24037"/>
    <w:rsid w:val="00C24187"/>
    <w:rsid w:val="00C31936"/>
    <w:rsid w:val="00C367F6"/>
    <w:rsid w:val="00C3698B"/>
    <w:rsid w:val="00C44A3B"/>
    <w:rsid w:val="00C5072E"/>
    <w:rsid w:val="00C562B9"/>
    <w:rsid w:val="00C607AB"/>
    <w:rsid w:val="00C6088A"/>
    <w:rsid w:val="00C609DB"/>
    <w:rsid w:val="00C60C0A"/>
    <w:rsid w:val="00C61048"/>
    <w:rsid w:val="00C62791"/>
    <w:rsid w:val="00C62E18"/>
    <w:rsid w:val="00C640E5"/>
    <w:rsid w:val="00C65677"/>
    <w:rsid w:val="00C67D1A"/>
    <w:rsid w:val="00C72D98"/>
    <w:rsid w:val="00C7458C"/>
    <w:rsid w:val="00C773D9"/>
    <w:rsid w:val="00C830A2"/>
    <w:rsid w:val="00C842A3"/>
    <w:rsid w:val="00C85FBC"/>
    <w:rsid w:val="00C866A0"/>
    <w:rsid w:val="00C8684E"/>
    <w:rsid w:val="00C93F11"/>
    <w:rsid w:val="00C940AA"/>
    <w:rsid w:val="00C95356"/>
    <w:rsid w:val="00C95438"/>
    <w:rsid w:val="00C954DF"/>
    <w:rsid w:val="00C97E70"/>
    <w:rsid w:val="00C97F1A"/>
    <w:rsid w:val="00CA3212"/>
    <w:rsid w:val="00CA54C4"/>
    <w:rsid w:val="00CB1056"/>
    <w:rsid w:val="00CB33ED"/>
    <w:rsid w:val="00CB3A3C"/>
    <w:rsid w:val="00CB4EA1"/>
    <w:rsid w:val="00CC1BAB"/>
    <w:rsid w:val="00CC2517"/>
    <w:rsid w:val="00CC2521"/>
    <w:rsid w:val="00CC30B4"/>
    <w:rsid w:val="00CC34B2"/>
    <w:rsid w:val="00CC57BE"/>
    <w:rsid w:val="00CC7431"/>
    <w:rsid w:val="00CC7826"/>
    <w:rsid w:val="00CD44AB"/>
    <w:rsid w:val="00CD49EE"/>
    <w:rsid w:val="00CD60B2"/>
    <w:rsid w:val="00CD78AE"/>
    <w:rsid w:val="00CE6500"/>
    <w:rsid w:val="00CE76D6"/>
    <w:rsid w:val="00CF0357"/>
    <w:rsid w:val="00CF0D13"/>
    <w:rsid w:val="00CF2B0D"/>
    <w:rsid w:val="00CF6AED"/>
    <w:rsid w:val="00D012C4"/>
    <w:rsid w:val="00D015F4"/>
    <w:rsid w:val="00D02F67"/>
    <w:rsid w:val="00D03AEF"/>
    <w:rsid w:val="00D03B91"/>
    <w:rsid w:val="00D049D8"/>
    <w:rsid w:val="00D07CAB"/>
    <w:rsid w:val="00D11168"/>
    <w:rsid w:val="00D13B23"/>
    <w:rsid w:val="00D1425F"/>
    <w:rsid w:val="00D21CFE"/>
    <w:rsid w:val="00D26678"/>
    <w:rsid w:val="00D275FC"/>
    <w:rsid w:val="00D27BBA"/>
    <w:rsid w:val="00D304C4"/>
    <w:rsid w:val="00D3081A"/>
    <w:rsid w:val="00D30B8B"/>
    <w:rsid w:val="00D3157E"/>
    <w:rsid w:val="00D33B64"/>
    <w:rsid w:val="00D3541D"/>
    <w:rsid w:val="00D35C4C"/>
    <w:rsid w:val="00D35F2E"/>
    <w:rsid w:val="00D40266"/>
    <w:rsid w:val="00D40925"/>
    <w:rsid w:val="00D40F6A"/>
    <w:rsid w:val="00D41B66"/>
    <w:rsid w:val="00D438AB"/>
    <w:rsid w:val="00D45D29"/>
    <w:rsid w:val="00D466D4"/>
    <w:rsid w:val="00D46FF5"/>
    <w:rsid w:val="00D50004"/>
    <w:rsid w:val="00D535F0"/>
    <w:rsid w:val="00D555D2"/>
    <w:rsid w:val="00D5633D"/>
    <w:rsid w:val="00D56D54"/>
    <w:rsid w:val="00D576FC"/>
    <w:rsid w:val="00D66B98"/>
    <w:rsid w:val="00D70D4C"/>
    <w:rsid w:val="00D71DDB"/>
    <w:rsid w:val="00D720EE"/>
    <w:rsid w:val="00D73B58"/>
    <w:rsid w:val="00D74CF5"/>
    <w:rsid w:val="00D758E4"/>
    <w:rsid w:val="00D75EBA"/>
    <w:rsid w:val="00D80DA1"/>
    <w:rsid w:val="00D82409"/>
    <w:rsid w:val="00D82B53"/>
    <w:rsid w:val="00D83B99"/>
    <w:rsid w:val="00D9067D"/>
    <w:rsid w:val="00D919D4"/>
    <w:rsid w:val="00D94559"/>
    <w:rsid w:val="00D94CFA"/>
    <w:rsid w:val="00D95218"/>
    <w:rsid w:val="00D95698"/>
    <w:rsid w:val="00D96AD0"/>
    <w:rsid w:val="00DA1764"/>
    <w:rsid w:val="00DA20DD"/>
    <w:rsid w:val="00DA3890"/>
    <w:rsid w:val="00DB4C7B"/>
    <w:rsid w:val="00DB5A1A"/>
    <w:rsid w:val="00DB5FBF"/>
    <w:rsid w:val="00DC0368"/>
    <w:rsid w:val="00DC11F2"/>
    <w:rsid w:val="00DC1B04"/>
    <w:rsid w:val="00DC2FD3"/>
    <w:rsid w:val="00DC344F"/>
    <w:rsid w:val="00DC35C5"/>
    <w:rsid w:val="00DC3875"/>
    <w:rsid w:val="00DC4F37"/>
    <w:rsid w:val="00DC75BB"/>
    <w:rsid w:val="00DC76FB"/>
    <w:rsid w:val="00DD01CE"/>
    <w:rsid w:val="00DD0FB6"/>
    <w:rsid w:val="00DD182E"/>
    <w:rsid w:val="00DD570C"/>
    <w:rsid w:val="00DE4436"/>
    <w:rsid w:val="00DE7003"/>
    <w:rsid w:val="00DF0DD2"/>
    <w:rsid w:val="00DF224F"/>
    <w:rsid w:val="00DF2950"/>
    <w:rsid w:val="00DF2BBD"/>
    <w:rsid w:val="00DF368A"/>
    <w:rsid w:val="00DF54EB"/>
    <w:rsid w:val="00DF7347"/>
    <w:rsid w:val="00DF7969"/>
    <w:rsid w:val="00E02905"/>
    <w:rsid w:val="00E039A1"/>
    <w:rsid w:val="00E043E6"/>
    <w:rsid w:val="00E07220"/>
    <w:rsid w:val="00E10DD7"/>
    <w:rsid w:val="00E12BFD"/>
    <w:rsid w:val="00E22E7F"/>
    <w:rsid w:val="00E23946"/>
    <w:rsid w:val="00E24032"/>
    <w:rsid w:val="00E24338"/>
    <w:rsid w:val="00E261B2"/>
    <w:rsid w:val="00E30F51"/>
    <w:rsid w:val="00E30FE8"/>
    <w:rsid w:val="00E35627"/>
    <w:rsid w:val="00E356B9"/>
    <w:rsid w:val="00E357AF"/>
    <w:rsid w:val="00E40AD5"/>
    <w:rsid w:val="00E417B5"/>
    <w:rsid w:val="00E41A3C"/>
    <w:rsid w:val="00E41E90"/>
    <w:rsid w:val="00E44200"/>
    <w:rsid w:val="00E45727"/>
    <w:rsid w:val="00E5123A"/>
    <w:rsid w:val="00E5144B"/>
    <w:rsid w:val="00E5426A"/>
    <w:rsid w:val="00E5426B"/>
    <w:rsid w:val="00E557C2"/>
    <w:rsid w:val="00E6359C"/>
    <w:rsid w:val="00E646CE"/>
    <w:rsid w:val="00E66039"/>
    <w:rsid w:val="00E66545"/>
    <w:rsid w:val="00E66981"/>
    <w:rsid w:val="00E72B1E"/>
    <w:rsid w:val="00E743AE"/>
    <w:rsid w:val="00E748B1"/>
    <w:rsid w:val="00E74AA9"/>
    <w:rsid w:val="00E80877"/>
    <w:rsid w:val="00E8172D"/>
    <w:rsid w:val="00E85E8F"/>
    <w:rsid w:val="00E87249"/>
    <w:rsid w:val="00E906C3"/>
    <w:rsid w:val="00E915E6"/>
    <w:rsid w:val="00E9486E"/>
    <w:rsid w:val="00E951AE"/>
    <w:rsid w:val="00E97221"/>
    <w:rsid w:val="00EA073F"/>
    <w:rsid w:val="00EA079E"/>
    <w:rsid w:val="00EA39F4"/>
    <w:rsid w:val="00EA6C13"/>
    <w:rsid w:val="00EB2623"/>
    <w:rsid w:val="00EB28C4"/>
    <w:rsid w:val="00EB3DEF"/>
    <w:rsid w:val="00EB54EB"/>
    <w:rsid w:val="00EB639B"/>
    <w:rsid w:val="00EC25DB"/>
    <w:rsid w:val="00EC2994"/>
    <w:rsid w:val="00EC61EF"/>
    <w:rsid w:val="00EC7180"/>
    <w:rsid w:val="00ED0FE8"/>
    <w:rsid w:val="00ED10A5"/>
    <w:rsid w:val="00ED3DD7"/>
    <w:rsid w:val="00ED4336"/>
    <w:rsid w:val="00ED6A4B"/>
    <w:rsid w:val="00ED6C55"/>
    <w:rsid w:val="00EE0F52"/>
    <w:rsid w:val="00EE1A24"/>
    <w:rsid w:val="00EE1E6D"/>
    <w:rsid w:val="00EE2550"/>
    <w:rsid w:val="00EE5CAB"/>
    <w:rsid w:val="00EE7272"/>
    <w:rsid w:val="00EE7C78"/>
    <w:rsid w:val="00EF0B9B"/>
    <w:rsid w:val="00EF2186"/>
    <w:rsid w:val="00EF3D31"/>
    <w:rsid w:val="00F03951"/>
    <w:rsid w:val="00F03E23"/>
    <w:rsid w:val="00F03E28"/>
    <w:rsid w:val="00F0615A"/>
    <w:rsid w:val="00F0660A"/>
    <w:rsid w:val="00F0692C"/>
    <w:rsid w:val="00F06BC1"/>
    <w:rsid w:val="00F146D8"/>
    <w:rsid w:val="00F15AE8"/>
    <w:rsid w:val="00F16113"/>
    <w:rsid w:val="00F16FB0"/>
    <w:rsid w:val="00F20224"/>
    <w:rsid w:val="00F204E4"/>
    <w:rsid w:val="00F244E3"/>
    <w:rsid w:val="00F25D2B"/>
    <w:rsid w:val="00F26064"/>
    <w:rsid w:val="00F261F8"/>
    <w:rsid w:val="00F308C4"/>
    <w:rsid w:val="00F31ADB"/>
    <w:rsid w:val="00F32806"/>
    <w:rsid w:val="00F337F9"/>
    <w:rsid w:val="00F34E43"/>
    <w:rsid w:val="00F40319"/>
    <w:rsid w:val="00F41738"/>
    <w:rsid w:val="00F44E7C"/>
    <w:rsid w:val="00F46B17"/>
    <w:rsid w:val="00F52E46"/>
    <w:rsid w:val="00F52F88"/>
    <w:rsid w:val="00F5480A"/>
    <w:rsid w:val="00F56215"/>
    <w:rsid w:val="00F57177"/>
    <w:rsid w:val="00F60C55"/>
    <w:rsid w:val="00F630B3"/>
    <w:rsid w:val="00F64BD4"/>
    <w:rsid w:val="00F66A9D"/>
    <w:rsid w:val="00F67719"/>
    <w:rsid w:val="00F70996"/>
    <w:rsid w:val="00F70FD7"/>
    <w:rsid w:val="00F7405B"/>
    <w:rsid w:val="00F75C2D"/>
    <w:rsid w:val="00F813F6"/>
    <w:rsid w:val="00F81F3D"/>
    <w:rsid w:val="00F82361"/>
    <w:rsid w:val="00F82590"/>
    <w:rsid w:val="00F838A2"/>
    <w:rsid w:val="00F84785"/>
    <w:rsid w:val="00F84848"/>
    <w:rsid w:val="00F85641"/>
    <w:rsid w:val="00F85B31"/>
    <w:rsid w:val="00F8638A"/>
    <w:rsid w:val="00F873CF"/>
    <w:rsid w:val="00F911BC"/>
    <w:rsid w:val="00F92750"/>
    <w:rsid w:val="00F93E4B"/>
    <w:rsid w:val="00F94752"/>
    <w:rsid w:val="00F97557"/>
    <w:rsid w:val="00FA17D8"/>
    <w:rsid w:val="00FA1A49"/>
    <w:rsid w:val="00FA1D6E"/>
    <w:rsid w:val="00FA3096"/>
    <w:rsid w:val="00FA4A63"/>
    <w:rsid w:val="00FA7F90"/>
    <w:rsid w:val="00FB04B7"/>
    <w:rsid w:val="00FB3FA2"/>
    <w:rsid w:val="00FB4003"/>
    <w:rsid w:val="00FB5095"/>
    <w:rsid w:val="00FB5211"/>
    <w:rsid w:val="00FB65E0"/>
    <w:rsid w:val="00FB74E3"/>
    <w:rsid w:val="00FC2BC4"/>
    <w:rsid w:val="00FC2D75"/>
    <w:rsid w:val="00FC3420"/>
    <w:rsid w:val="00FC4190"/>
    <w:rsid w:val="00FC4820"/>
    <w:rsid w:val="00FC4E24"/>
    <w:rsid w:val="00FD0762"/>
    <w:rsid w:val="00FD23F9"/>
    <w:rsid w:val="00FD408A"/>
    <w:rsid w:val="00FD47A1"/>
    <w:rsid w:val="00FE064A"/>
    <w:rsid w:val="00FE0A00"/>
    <w:rsid w:val="00FE0AD2"/>
    <w:rsid w:val="00FE3827"/>
    <w:rsid w:val="00FE5310"/>
    <w:rsid w:val="00FE5426"/>
    <w:rsid w:val="00FE56D9"/>
    <w:rsid w:val="00FE65B0"/>
    <w:rsid w:val="00FE6C01"/>
    <w:rsid w:val="00FF176C"/>
    <w:rsid w:val="00FF60DF"/>
    <w:rsid w:val="00FF6B23"/>
    <w:rsid w:val="00FF7E93"/>
    <w:rsid w:val="00FF7F7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533"/>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
    <w:qFormat/>
    <w:rsid w:val="00D71DDB"/>
    <w:pPr>
      <w:keepNext/>
      <w:jc w:val="left"/>
      <w:outlineLvl w:val="0"/>
    </w:pPr>
    <w:rPr>
      <w:sz w:val="24"/>
    </w:rPr>
  </w:style>
  <w:style w:type="paragraph" w:styleId="Heading2">
    <w:name w:val="heading 2"/>
    <w:basedOn w:val="Normal"/>
    <w:next w:val="Normal"/>
    <w:link w:val="Nadpis2Char"/>
    <w:uiPriority w:val="9"/>
    <w:qFormat/>
    <w:rsid w:val="00D71DDB"/>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semiHidden/>
    <w:unhideWhenUsed/>
    <w:qFormat/>
    <w:rsid w:val="007359BE"/>
    <w:pPr>
      <w:keepNext/>
      <w:spacing w:before="240" w:after="60"/>
      <w:jc w:val="left"/>
      <w:outlineLvl w:val="2"/>
    </w:pPr>
    <w:rPr>
      <w:rFonts w:ascii="Cambria" w:hAnsi="Cambria"/>
      <w:b/>
      <w:bCs/>
      <w:sz w:val="26"/>
      <w:szCs w:val="26"/>
    </w:rPr>
  </w:style>
  <w:style w:type="paragraph" w:styleId="Heading7">
    <w:name w:val="heading 7"/>
    <w:basedOn w:val="Normal"/>
    <w:next w:val="Normal"/>
    <w:link w:val="Nadpis7Char"/>
    <w:uiPriority w:val="9"/>
    <w:qFormat/>
    <w:rsid w:val="00D71DDB"/>
    <w:pPr>
      <w:keepNext/>
      <w:ind w:firstLine="11"/>
      <w:jc w:val="lef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locked/>
    <w:rsid w:val="00D71DDB"/>
    <w:rPr>
      <w:rFonts w:ascii="Arial" w:hAnsi="Arial" w:cs="Times New Roman"/>
      <w:b/>
      <w:i/>
      <w:sz w:val="28"/>
      <w:rtl w:val="0"/>
      <w:cs w:val="0"/>
      <w:lang w:val="sk-SK" w:eastAsia="sk-SK"/>
    </w:rPr>
  </w:style>
  <w:style w:type="character" w:customStyle="1" w:styleId="Nadpis3Char">
    <w:name w:val="Nadpis 3 Char"/>
    <w:basedOn w:val="DefaultParagraphFont"/>
    <w:link w:val="Heading3"/>
    <w:uiPriority w:val="9"/>
    <w:semiHidden/>
    <w:locked/>
    <w:rsid w:val="007359BE"/>
    <w:rPr>
      <w:rFonts w:ascii="Cambria" w:hAnsi="Cambria" w:cs="Times New Roman"/>
      <w:b/>
      <w:sz w:val="26"/>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sz w:val="24"/>
      <w:szCs w:val="24"/>
      <w:rtl w:val="0"/>
      <w:cs w:val="0"/>
    </w:rPr>
  </w:style>
  <w:style w:type="paragraph" w:styleId="Title">
    <w:name w:val="Title"/>
    <w:basedOn w:val="Normal"/>
    <w:link w:val="NzovChar"/>
    <w:uiPriority w:val="10"/>
    <w:qFormat/>
    <w:rsid w:val="00D71DDB"/>
    <w:pPr>
      <w:jc w:val="center"/>
    </w:pPr>
    <w:rPr>
      <w:sz w:val="28"/>
    </w:rPr>
  </w:style>
  <w:style w:type="character" w:customStyle="1" w:styleId="NzovChar">
    <w:name w:val="Názov Char"/>
    <w:basedOn w:val="DefaultParagraphFont"/>
    <w:link w:val="Title"/>
    <w:uiPriority w:val="10"/>
    <w:locked/>
    <w:rsid w:val="002F2C04"/>
    <w:rPr>
      <w:rFonts w:cs="Times New Roman"/>
      <w:sz w:val="28"/>
      <w:rtl w:val="0"/>
      <w:cs w:val="0"/>
    </w:rPr>
  </w:style>
  <w:style w:type="paragraph" w:styleId="BodyText">
    <w:name w:val="Body Text"/>
    <w:aliases w:val="Základný text1,b"/>
    <w:basedOn w:val="Normal"/>
    <w:link w:val="ZkladntextChar"/>
    <w:uiPriority w:val="99"/>
    <w:rsid w:val="00D71DDB"/>
    <w:pPr>
      <w:jc w:val="left"/>
    </w:pPr>
    <w:rPr>
      <w:b/>
      <w:sz w:val="24"/>
    </w:rPr>
  </w:style>
  <w:style w:type="character" w:customStyle="1" w:styleId="ZkladntextChar">
    <w:name w:val="Základný text Char"/>
    <w:aliases w:val="Základný text1 Char,b Char"/>
    <w:basedOn w:val="DefaultParagraphFont"/>
    <w:link w:val="BodyText"/>
    <w:uiPriority w:val="99"/>
    <w:semiHidden/>
    <w:locked/>
    <w:rPr>
      <w:rFonts w:cs="Times New Roman"/>
      <w:rtl w:val="0"/>
      <w:cs w:val="0"/>
    </w:rPr>
  </w:style>
  <w:style w:type="paragraph" w:styleId="BodyText2">
    <w:name w:val="Body Text 2"/>
    <w:basedOn w:val="Normal"/>
    <w:link w:val="Zkladntext2Char"/>
    <w:uiPriority w:val="99"/>
    <w:rsid w:val="00D71DDB"/>
    <w:pPr>
      <w:jc w:val="left"/>
    </w:pPr>
    <w:rPr>
      <w:sz w:val="24"/>
    </w:rPr>
  </w:style>
  <w:style w:type="character" w:customStyle="1" w:styleId="Zkladntext2Char">
    <w:name w:val="Základný text 2 Char"/>
    <w:basedOn w:val="DefaultParagraphFont"/>
    <w:link w:val="BodyText2"/>
    <w:uiPriority w:val="99"/>
    <w:semiHidden/>
    <w:locked/>
    <w:rPr>
      <w:rFonts w:cs="Times New Roman"/>
      <w:rtl w:val="0"/>
      <w:cs w:val="0"/>
    </w:rPr>
  </w:style>
  <w:style w:type="paragraph" w:styleId="BodyTextIndent3">
    <w:name w:val="Body Text Indent 3"/>
    <w:basedOn w:val="Normal"/>
    <w:link w:val="Zarkazkladnhotextu3Char"/>
    <w:uiPriority w:val="99"/>
    <w:rsid w:val="00D71DDB"/>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Header">
    <w:name w:val="header"/>
    <w:basedOn w:val="Normal"/>
    <w:link w:val="HlavikaChar"/>
    <w:uiPriority w:val="99"/>
    <w:rsid w:val="00D71DDB"/>
    <w:pPr>
      <w:tabs>
        <w:tab w:val="center" w:pos="4536"/>
        <w:tab w:val="right" w:pos="9072"/>
      </w:tabs>
      <w:jc w:val="left"/>
    </w:pPr>
    <w:rPr>
      <w:sz w:val="24"/>
      <w:szCs w:val="24"/>
    </w:rPr>
  </w:style>
  <w:style w:type="character" w:customStyle="1" w:styleId="HlavikaChar">
    <w:name w:val="Hlavička Char"/>
    <w:basedOn w:val="DefaultParagraphFont"/>
    <w:link w:val="Header"/>
    <w:uiPriority w:val="99"/>
    <w:semiHidden/>
    <w:locked/>
    <w:rPr>
      <w:rFonts w:cs="Times New Roman"/>
      <w:rtl w:val="0"/>
      <w:cs w:val="0"/>
    </w:rPr>
  </w:style>
  <w:style w:type="paragraph" w:styleId="Footer">
    <w:name w:val="footer"/>
    <w:basedOn w:val="Normal"/>
    <w:link w:val="PtaChar"/>
    <w:uiPriority w:val="99"/>
    <w:rsid w:val="00D71DDB"/>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rtl w:val="0"/>
      <w:cs w:val="0"/>
    </w:rPr>
  </w:style>
  <w:style w:type="character" w:styleId="PageNumber">
    <w:name w:val="page number"/>
    <w:basedOn w:val="DefaultParagraphFont"/>
    <w:uiPriority w:val="99"/>
    <w:rsid w:val="00D71DDB"/>
    <w:rPr>
      <w:rFonts w:cs="Times New Roman"/>
      <w:rtl w:val="0"/>
      <w:cs w:val="0"/>
    </w:rPr>
  </w:style>
  <w:style w:type="paragraph" w:styleId="NormalWeb">
    <w:name w:val="Normal (Web)"/>
    <w:basedOn w:val="Normal"/>
    <w:uiPriority w:val="99"/>
    <w:rsid w:val="00D71DDB"/>
    <w:pPr>
      <w:spacing w:before="100" w:beforeAutospacing="1" w:after="100" w:afterAutospacing="1"/>
      <w:jc w:val="left"/>
    </w:pPr>
    <w:rPr>
      <w:rFonts w:ascii="Arial Unicode MS" w:eastAsia="Arial Unicode MS" w:hAnsi="Arial Unicode MS" w:cs="Arial Unicode MS"/>
      <w:sz w:val="24"/>
      <w:szCs w:val="24"/>
      <w:lang w:val="cs-CZ" w:eastAsia="cs-CZ"/>
    </w:rPr>
  </w:style>
  <w:style w:type="character" w:styleId="Strong">
    <w:name w:val="Strong"/>
    <w:basedOn w:val="DefaultParagraphFont"/>
    <w:uiPriority w:val="22"/>
    <w:qFormat/>
    <w:rsid w:val="00D71DDB"/>
    <w:rPr>
      <w:rFonts w:cs="Times New Roman"/>
      <w:b/>
      <w:rtl w:val="0"/>
      <w:cs w:val="0"/>
    </w:rPr>
  </w:style>
  <w:style w:type="paragraph" w:customStyle="1" w:styleId="detail-odstavec">
    <w:name w:val="detail-odstavec"/>
    <w:basedOn w:val="Normal"/>
    <w:rsid w:val="00D71DDB"/>
    <w:pPr>
      <w:spacing w:before="100" w:beforeAutospacing="1" w:after="100" w:afterAutospacing="1"/>
      <w:jc w:val="both"/>
    </w:pPr>
    <w:rPr>
      <w:color w:val="000000"/>
      <w:sz w:val="17"/>
      <w:szCs w:val="17"/>
      <w:lang w:val="cs-CZ" w:eastAsia="cs-CZ"/>
    </w:rPr>
  </w:style>
  <w:style w:type="paragraph" w:styleId="ListBullet">
    <w:name w:val="List Bullet"/>
    <w:basedOn w:val="Normal"/>
    <w:link w:val="ZoznamsodrkamiChar"/>
    <w:autoRedefine/>
    <w:uiPriority w:val="99"/>
    <w:rsid w:val="00D71DDB"/>
    <w:pPr>
      <w:jc w:val="both"/>
    </w:pPr>
    <w:rPr>
      <w:rFonts w:cs="Arial"/>
      <w:sz w:val="24"/>
      <w:szCs w:val="24"/>
      <w:lang w:eastAsia="cs-CZ"/>
    </w:rPr>
  </w:style>
  <w:style w:type="paragraph" w:customStyle="1" w:styleId="NormlnyWWW">
    <w:name w:val="Normálny (WWW)"/>
    <w:basedOn w:val="Normal"/>
    <w:rsid w:val="00D71DDB"/>
    <w:pPr>
      <w:spacing w:before="100" w:beforeAutospacing="1" w:after="100" w:afterAutospacing="1"/>
      <w:jc w:val="left"/>
    </w:pPr>
    <w:rPr>
      <w:sz w:val="24"/>
      <w:szCs w:val="24"/>
    </w:rPr>
  </w:style>
  <w:style w:type="paragraph" w:customStyle="1" w:styleId="Default">
    <w:name w:val="Default"/>
    <w:rsid w:val="00D71DDB"/>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Hyperlink">
    <w:name w:val="Hyperlink"/>
    <w:basedOn w:val="DefaultParagraphFont"/>
    <w:uiPriority w:val="99"/>
    <w:rsid w:val="00D71DDB"/>
    <w:rPr>
      <w:rFonts w:cs="Times New Roman"/>
      <w:color w:val="0000FF"/>
      <w:u w:val="single"/>
      <w:rtl w:val="0"/>
      <w:cs w:val="0"/>
    </w:rPr>
  </w:style>
  <w:style w:type="character" w:customStyle="1" w:styleId="ZoznamsodrkamiChar">
    <w:name w:val="Zoznam s odrážkami Char"/>
    <w:link w:val="ListBullet"/>
    <w:locked/>
    <w:rsid w:val="00D71DDB"/>
    <w:rPr>
      <w:sz w:val="24"/>
      <w:lang w:val="sk-SK" w:eastAsia="cs-CZ"/>
    </w:rPr>
  </w:style>
  <w:style w:type="character" w:customStyle="1" w:styleId="Textzstupnhosymbolu1">
    <w:name w:val="Text zástupného symbolu1"/>
    <w:rsid w:val="00D71DDB"/>
    <w:rPr>
      <w:rFonts w:ascii="Times New Roman" w:hAnsi="Times New Roman" w:cs="Times New Roman"/>
      <w:color w:val="808080"/>
    </w:rPr>
  </w:style>
  <w:style w:type="character" w:customStyle="1" w:styleId="placeholdertext">
    <w:name w:val="placeholdertext"/>
    <w:rsid w:val="00D71DDB"/>
    <w:rPr>
      <w:rFonts w:ascii="Times New Roman" w:hAnsi="Times New Roman" w:cs="Times New Roman"/>
      <w:color w:val="808080"/>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D71DDB"/>
    <w:pPr>
      <w:tabs>
        <w:tab w:val="num" w:pos="567"/>
      </w:tabs>
      <w:spacing w:line="240" w:lineRule="exact"/>
      <w:ind w:left="567" w:hanging="567"/>
      <w:jc w:val="left"/>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D7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D71DDB"/>
    <w:pPr>
      <w:spacing w:after="160" w:line="240" w:lineRule="exact"/>
      <w:jc w:val="left"/>
    </w:pPr>
    <w:rPr>
      <w:rFonts w:ascii="Tahoma" w:hAnsi="Tahoma" w:cs="Tahoma"/>
      <w:lang w:val="en-US" w:eastAsia="en-US"/>
    </w:rPr>
  </w:style>
  <w:style w:type="paragraph" w:styleId="BalloonText">
    <w:name w:val="Balloon Text"/>
    <w:basedOn w:val="Normal"/>
    <w:link w:val="TextbublinyChar"/>
    <w:uiPriority w:val="99"/>
    <w:semiHidden/>
    <w:rsid w:val="001B380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ListParagraph">
    <w:name w:val="List Paragraph"/>
    <w:basedOn w:val="Normal"/>
    <w:uiPriority w:val="34"/>
    <w:qFormat/>
    <w:rsid w:val="0050661B"/>
    <w:pPr>
      <w:spacing w:after="200" w:line="276" w:lineRule="auto"/>
      <w:ind w:left="720"/>
      <w:contextualSpacing/>
      <w:jc w:val="left"/>
    </w:pPr>
    <w:rPr>
      <w:rFonts w:ascii="Calibri" w:hAnsi="Calibri"/>
      <w:sz w:val="22"/>
      <w:szCs w:val="22"/>
      <w:lang w:eastAsia="en-US"/>
    </w:rPr>
  </w:style>
  <w:style w:type="character" w:customStyle="1" w:styleId="apple-converted-space">
    <w:name w:val="apple-converted-space"/>
    <w:basedOn w:val="DefaultParagraphFont"/>
    <w:rsid w:val="00C20224"/>
    <w:rPr>
      <w:rFonts w:cs="Times New Roman"/>
      <w:rtl w:val="0"/>
      <w:cs w:val="0"/>
    </w:rPr>
  </w:style>
  <w:style w:type="paragraph" w:styleId="FootnoteText">
    <w:name w:val="footnote text"/>
    <w:aliases w:val="Text poznámky pod čiarou 007"/>
    <w:basedOn w:val="Normal"/>
    <w:link w:val="TextpoznmkypodiarouChar"/>
    <w:uiPriority w:val="99"/>
    <w:rsid w:val="00D82409"/>
    <w:pPr>
      <w:jc w:val="left"/>
    </w:pPr>
    <w:rPr>
      <w:lang w:val="cs-CZ" w:eastAsia="cs-CZ"/>
    </w:rPr>
  </w:style>
  <w:style w:type="character" w:customStyle="1" w:styleId="TextpoznmkypodiarouChar">
    <w:name w:val="Text poznámky pod čiarou Char"/>
    <w:aliases w:val="Text poznámky pod čiarou 007 Char"/>
    <w:basedOn w:val="DefaultParagraphFont"/>
    <w:link w:val="FootnoteText"/>
    <w:uiPriority w:val="99"/>
    <w:locked/>
    <w:rsid w:val="00D82409"/>
    <w:rPr>
      <w:rFonts w:cs="Times New Roman"/>
      <w:rtl w:val="0"/>
      <w:cs w:val="0"/>
      <w:lang w:val="cs-CZ" w:eastAsia="cs-CZ"/>
    </w:rPr>
  </w:style>
  <w:style w:type="character" w:styleId="FootnoteReference">
    <w:name w:val="footnote reference"/>
    <w:basedOn w:val="DefaultParagraphFont"/>
    <w:uiPriority w:val="99"/>
    <w:semiHidden/>
    <w:rsid w:val="00D82409"/>
    <w:rPr>
      <w:rFonts w:cs="Times New Roman"/>
      <w:vertAlign w:val="superscript"/>
      <w:rtl w:val="0"/>
      <w:cs w:val="0"/>
    </w:rPr>
  </w:style>
  <w:style w:type="paragraph" w:customStyle="1" w:styleId="Deloittebodytext">
    <w:name w:val="Deloitte body text"/>
    <w:rsid w:val="00354DB8"/>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character" w:customStyle="1" w:styleId="ppp-input-value">
    <w:name w:val="ppp-input-value"/>
    <w:rsid w:val="002225BB"/>
  </w:style>
  <w:style w:type="character" w:customStyle="1" w:styleId="hps">
    <w:name w:val="hps"/>
    <w:rsid w:val="00B60687"/>
  </w:style>
  <w:style w:type="paragraph" w:styleId="TOCHeading">
    <w:name w:val="TOC Heading"/>
    <w:basedOn w:val="Heading1"/>
    <w:next w:val="Normal"/>
    <w:uiPriority w:val="39"/>
    <w:semiHidden/>
    <w:unhideWhenUsed/>
    <w:qFormat/>
    <w:rsid w:val="00635579"/>
    <w:pPr>
      <w:keepLines/>
      <w:spacing w:before="480" w:line="276" w:lineRule="auto"/>
      <w:jc w:val="left"/>
      <w:outlineLvl w:val="9"/>
    </w:pPr>
    <w:rPr>
      <w:rFonts w:ascii="Cambria" w:hAnsi="Cambria"/>
      <w:b/>
      <w:bCs/>
      <w:color w:val="365F91"/>
      <w:sz w:val="28"/>
      <w:szCs w:val="28"/>
    </w:rPr>
  </w:style>
  <w:style w:type="character" w:styleId="CommentReference">
    <w:name w:val="annotation reference"/>
    <w:basedOn w:val="DefaultParagraphFont"/>
    <w:uiPriority w:val="99"/>
    <w:rsid w:val="009A3CD6"/>
    <w:rPr>
      <w:rFonts w:cs="Times New Roman"/>
      <w:sz w:val="16"/>
      <w:rtl w:val="0"/>
      <w:cs w:val="0"/>
    </w:rPr>
  </w:style>
  <w:style w:type="paragraph" w:styleId="CommentText">
    <w:name w:val="annotation text"/>
    <w:basedOn w:val="Normal"/>
    <w:link w:val="TextkomentraChar"/>
    <w:uiPriority w:val="99"/>
    <w:rsid w:val="009A3CD6"/>
    <w:pPr>
      <w:jc w:val="left"/>
    </w:pPr>
  </w:style>
  <w:style w:type="character" w:customStyle="1" w:styleId="TextkomentraChar">
    <w:name w:val="Text komentára Char"/>
    <w:basedOn w:val="DefaultParagraphFont"/>
    <w:link w:val="CommentText"/>
    <w:uiPriority w:val="99"/>
    <w:locked/>
    <w:rsid w:val="009A3CD6"/>
    <w:rPr>
      <w:rFonts w:cs="Times New Roman"/>
      <w:rtl w:val="0"/>
      <w:cs w:val="0"/>
    </w:rPr>
  </w:style>
  <w:style w:type="paragraph" w:styleId="CommentSubject">
    <w:name w:val="annotation subject"/>
    <w:basedOn w:val="CommentText"/>
    <w:next w:val="CommentText"/>
    <w:link w:val="PredmetkomentraChar"/>
    <w:uiPriority w:val="99"/>
    <w:rsid w:val="009A3CD6"/>
    <w:pPr>
      <w:jc w:val="left"/>
    </w:pPr>
    <w:rPr>
      <w:b/>
      <w:bCs/>
    </w:rPr>
  </w:style>
  <w:style w:type="character" w:customStyle="1" w:styleId="PredmetkomentraChar">
    <w:name w:val="Predmet komentára Char"/>
    <w:basedOn w:val="TextkomentraChar"/>
    <w:link w:val="CommentSubject"/>
    <w:uiPriority w:val="99"/>
    <w:locked/>
    <w:rsid w:val="009A3CD6"/>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05FF-A558-4250-AD2E-9979BC8B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7</Pages>
  <Words>2006</Words>
  <Characters>11436</Characters>
  <Application>Microsoft Office Word</Application>
  <DocSecurity>0</DocSecurity>
  <Lines>0</Lines>
  <Paragraphs>0</Paragraphs>
  <ScaleCrop>false</ScaleCrop>
  <Company>MHSR</Company>
  <LinksUpToDate>false</LinksUpToDate>
  <CharactersWithSpaces>13416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Franceova</dc:creator>
  <cp:lastModifiedBy>PALUS  Juraj</cp:lastModifiedBy>
  <cp:revision>5</cp:revision>
  <cp:lastPrinted>2014-10-16T15:05:00Z</cp:lastPrinted>
  <dcterms:created xsi:type="dcterms:W3CDTF">2014-11-03T15:00:00Z</dcterms:created>
  <dcterms:modified xsi:type="dcterms:W3CDTF">2014-11-03T15:45:00Z</dcterms:modified>
</cp:coreProperties>
</file>