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4D3D" w:rsidRPr="00D86A15" w:rsidP="007B4D3D">
      <w:pPr>
        <w:keepNext/>
        <w:bidi w:val="0"/>
        <w:spacing w:after="60"/>
        <w:jc w:val="center"/>
        <w:outlineLvl w:val="3"/>
        <w:rPr>
          <w:rFonts w:ascii="Times New Roman" w:hAnsi="Times New Roman"/>
          <w:b/>
          <w:bCs/>
          <w:lang w:val="sk-SK"/>
        </w:rPr>
      </w:pPr>
      <w:r w:rsidRPr="00D86A15">
        <w:rPr>
          <w:rFonts w:ascii="Times New Roman" w:hAnsi="Times New Roman"/>
          <w:b/>
          <w:lang w:val="sk-SK"/>
        </w:rPr>
        <w:t>DOLOŽKA  ZLUČITEĽNOSTI</w:t>
      </w:r>
    </w:p>
    <w:p w:rsidR="007B4D3D" w:rsidRPr="00D86A15" w:rsidP="007B4D3D">
      <w:pPr>
        <w:bidi w:val="0"/>
        <w:jc w:val="center"/>
        <w:rPr>
          <w:rFonts w:ascii="Times New Roman" w:hAnsi="Times New Roman"/>
          <w:b/>
          <w:lang w:val="sk-SK"/>
        </w:rPr>
      </w:pPr>
      <w:r w:rsidRPr="00D86A15">
        <w:rPr>
          <w:rFonts w:ascii="Times New Roman" w:hAnsi="Times New Roman"/>
          <w:b/>
          <w:lang w:val="sk-SK"/>
        </w:rPr>
        <w:t>právneho predpisu s právom Európskej únie</w:t>
      </w:r>
    </w:p>
    <w:p w:rsidR="007B4D3D" w:rsidRPr="00D86A15" w:rsidP="007B4D3D">
      <w:pPr>
        <w:bidi w:val="0"/>
        <w:jc w:val="center"/>
        <w:rPr>
          <w:rFonts w:ascii="Times New Roman" w:hAnsi="Times New Roman"/>
          <w:lang w:val="sk-SK"/>
        </w:rPr>
      </w:pPr>
    </w:p>
    <w:p w:rsidR="007B4D3D" w:rsidRPr="00D86A15" w:rsidP="007B4D3D">
      <w:pPr>
        <w:numPr>
          <w:numId w:val="1"/>
        </w:numPr>
        <w:bidi w:val="0"/>
        <w:spacing w:after="200" w:line="276" w:lineRule="auto"/>
        <w:rPr>
          <w:rFonts w:ascii="Times New Roman" w:hAnsi="Times New Roman"/>
          <w:b/>
          <w:lang w:val="sk-SK"/>
        </w:rPr>
      </w:pPr>
      <w:r w:rsidRPr="00D86A15">
        <w:rPr>
          <w:rFonts w:ascii="Times New Roman" w:hAnsi="Times New Roman"/>
          <w:b/>
          <w:lang w:val="sk-SK"/>
        </w:rPr>
        <w:t>Prekladateľ právneho predpisu:</w:t>
      </w:r>
      <w:r w:rsidRPr="00D86A15">
        <w:rPr>
          <w:rFonts w:ascii="Times New Roman" w:hAnsi="Times New Roman"/>
          <w:lang w:val="sk-SK"/>
        </w:rPr>
        <w:t xml:space="preserve"> vláda Slovenskej republiky</w:t>
      </w:r>
    </w:p>
    <w:p w:rsidR="007B4D3D" w:rsidRPr="00FA4A2C" w:rsidP="007B4D3D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/>
          <w:bCs/>
          <w:lang w:val="sk-SK"/>
        </w:rPr>
      </w:pPr>
      <w:r w:rsidRPr="00D86A15">
        <w:rPr>
          <w:rFonts w:ascii="Times New Roman" w:hAnsi="Times New Roman"/>
          <w:b/>
          <w:lang w:val="sk-SK"/>
        </w:rPr>
        <w:t>Názov návrhu právneho predpisu:</w:t>
      </w:r>
      <w:r w:rsidRPr="00D86A15">
        <w:rPr>
          <w:rFonts w:ascii="Times New Roman" w:hAnsi="Times New Roman"/>
          <w:lang w:val="sk-SK"/>
        </w:rPr>
        <w:t xml:space="preserve"> Návrh </w:t>
      </w:r>
      <w:r w:rsidRPr="00D86A15">
        <w:rPr>
          <w:rFonts w:ascii="Times New Roman" w:hAnsi="Times New Roman"/>
          <w:bCs/>
          <w:iCs/>
          <w:lang w:val="sk-SK"/>
        </w:rPr>
        <w:t xml:space="preserve">zákona, </w:t>
      </w:r>
      <w:r w:rsidRPr="00D86A15">
        <w:rPr>
          <w:rFonts w:ascii="Times New Roman" w:hAnsi="Times New Roman"/>
          <w:bCs/>
          <w:lang w:val="sk-SK"/>
        </w:rPr>
        <w:t>ktorým sa mení a dopĺňa zákon                  č. 561/2007 Z. z. o investičnej pomoci</w:t>
      </w:r>
      <w:r w:rsidRPr="00D86A15">
        <w:rPr>
          <w:rFonts w:ascii="Times New Roman" w:hAnsi="Times New Roman"/>
          <w:bCs/>
          <w:iCs/>
          <w:lang w:val="sk-SK"/>
        </w:rPr>
        <w:t xml:space="preserve"> a o zmene a doplnení niektorých zákonov</w:t>
      </w:r>
      <w:r w:rsidRPr="00D86A15">
        <w:rPr>
          <w:rFonts w:ascii="Times New Roman" w:hAnsi="Times New Roman"/>
          <w:bCs/>
          <w:lang w:val="sk-SK"/>
        </w:rPr>
        <w:t xml:space="preserve"> v znení neskorších predpisov a ktorým sa mení a dopĺňa zákon </w:t>
      </w:r>
      <w:r w:rsidRPr="00D86A15">
        <w:rPr>
          <w:rFonts w:ascii="Times New Roman" w:hAnsi="Times New Roman"/>
          <w:szCs w:val="22"/>
          <w:lang w:val="sk-SK"/>
        </w:rPr>
        <w:t>č. 595/2003 Z. z. o dani z príjm</w:t>
      </w:r>
      <w:r w:rsidR="00090560">
        <w:rPr>
          <w:rFonts w:ascii="Times New Roman" w:hAnsi="Times New Roman"/>
          <w:szCs w:val="22"/>
          <w:lang w:val="sk-SK"/>
        </w:rPr>
        <w:t>ov v znení neskorších predpisov</w:t>
      </w:r>
    </w:p>
    <w:p w:rsidR="007B4D3D" w:rsidRPr="00D86A15" w:rsidP="007B4D3D">
      <w:pPr>
        <w:widowControl w:val="0"/>
        <w:bidi w:val="0"/>
        <w:ind w:left="340"/>
        <w:jc w:val="both"/>
        <w:rPr>
          <w:rFonts w:ascii="Times New Roman" w:hAnsi="Times New Roman"/>
          <w:b/>
          <w:bCs/>
          <w:lang w:val="sk-SK"/>
        </w:rPr>
      </w:pPr>
    </w:p>
    <w:p w:rsidR="007B4D3D" w:rsidRPr="00D86A15" w:rsidP="00090560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/>
          <w:bCs/>
          <w:lang w:val="sk-SK"/>
        </w:rPr>
      </w:pPr>
      <w:r w:rsidRPr="00D86A15">
        <w:rPr>
          <w:rFonts w:ascii="Times New Roman" w:hAnsi="Times New Roman"/>
          <w:b/>
          <w:lang w:val="sk-SK"/>
        </w:rPr>
        <w:t>Problematika návrhu právneho predpisu:</w:t>
      </w:r>
    </w:p>
    <w:p w:rsidR="007B4D3D" w:rsidRPr="00D86A15" w:rsidP="007B4D3D">
      <w:pPr>
        <w:numPr>
          <w:ilvl w:val="1"/>
          <w:numId w:val="2"/>
        </w:numPr>
        <w:tabs>
          <w:tab w:val="num" w:pos="560"/>
          <w:tab w:val="num" w:pos="700"/>
        </w:tabs>
        <w:bidi w:val="0"/>
        <w:ind w:left="538"/>
        <w:jc w:val="both"/>
        <w:rPr>
          <w:rFonts w:ascii="Times New Roman" w:hAnsi="Times New Roman"/>
          <w:bCs/>
          <w:lang w:val="sk-SK" w:eastAsia="cs-CZ"/>
        </w:rPr>
      </w:pPr>
      <w:r w:rsidRPr="00D86A15">
        <w:rPr>
          <w:rFonts w:ascii="Times New Roman" w:hAnsi="Times New Roman"/>
          <w:lang w:val="sk-SK" w:eastAsia="cs-CZ"/>
        </w:rPr>
        <w:t>je upravená v práve Európskej únie</w:t>
      </w:r>
    </w:p>
    <w:p w:rsidR="007B4D3D" w:rsidRPr="00D86A15" w:rsidP="007B4D3D">
      <w:pPr>
        <w:tabs>
          <w:tab w:val="num" w:pos="700"/>
        </w:tabs>
        <w:bidi w:val="0"/>
        <w:ind w:left="540"/>
        <w:jc w:val="both"/>
        <w:rPr>
          <w:rFonts w:ascii="Times New Roman" w:hAnsi="Times New Roman"/>
          <w:lang w:val="sk-SK" w:eastAsia="cs-CZ"/>
        </w:rPr>
      </w:pPr>
      <w:r w:rsidRPr="00D86A15">
        <w:rPr>
          <w:rFonts w:ascii="Times New Roman" w:hAnsi="Times New Roman"/>
          <w:lang w:val="sk-SK" w:eastAsia="cs-CZ"/>
        </w:rPr>
        <w:t xml:space="preserve"> - články 107 a 108 Zmluvy o fungovaní Európskej únie</w:t>
      </w:r>
    </w:p>
    <w:p w:rsidR="007B4D3D" w:rsidRPr="00D86A15" w:rsidP="007B4D3D">
      <w:pPr>
        <w:tabs>
          <w:tab w:val="num" w:pos="700"/>
        </w:tabs>
        <w:bidi w:val="0"/>
        <w:ind w:left="540"/>
        <w:jc w:val="both"/>
        <w:rPr>
          <w:rFonts w:ascii="Times New Roman" w:hAnsi="Times New Roman"/>
          <w:bCs/>
          <w:lang w:val="sk-SK" w:eastAsia="cs-CZ"/>
        </w:rPr>
      </w:pPr>
    </w:p>
    <w:p w:rsidR="007B4D3D" w:rsidRPr="00D86A15" w:rsidP="007B4D3D">
      <w:pPr>
        <w:tabs>
          <w:tab w:val="left" w:pos="1068"/>
        </w:tabs>
        <w:bidi w:val="0"/>
        <w:spacing w:after="120"/>
        <w:ind w:left="1077" w:hanging="357"/>
        <w:jc w:val="both"/>
        <w:rPr>
          <w:rFonts w:ascii="Times New Roman" w:hAnsi="Times New Roman"/>
          <w:i/>
          <w:iCs/>
          <w:lang w:val="sk-SK"/>
        </w:rPr>
      </w:pPr>
      <w:r w:rsidRPr="00D86A15">
        <w:rPr>
          <w:rFonts w:ascii="Times New Roman" w:hAnsi="Times New Roman"/>
          <w:i/>
          <w:iCs/>
          <w:lang w:val="sk-SK"/>
        </w:rPr>
        <w:t>-</w:t>
        <w:tab/>
        <w:t>sekundárnom (prijatom po nadobudnutí platnosti Lisabonskej zmluvy, ktorou                     sa mení a dopĺňa Zmluva o Európskej únii a Zmluva o založení Európskeho spoločenstva – po 30. novembri 2009)</w:t>
      </w:r>
    </w:p>
    <w:p w:rsidR="007B4D3D" w:rsidRPr="00D86A15" w:rsidP="006B2D37">
      <w:pPr>
        <w:widowControl w:val="0"/>
        <w:numPr>
          <w:numId w:val="6"/>
        </w:numPr>
        <w:tabs>
          <w:tab w:val="left" w:pos="1440"/>
        </w:tabs>
        <w:bidi w:val="0"/>
        <w:adjustRightInd w:val="0"/>
        <w:spacing w:after="240"/>
        <w:ind w:left="1434" w:hanging="357"/>
        <w:rPr>
          <w:rFonts w:ascii="Times New Roman" w:hAnsi="Times New Roman"/>
          <w:i/>
          <w:lang w:val="sk-SK"/>
        </w:rPr>
      </w:pPr>
      <w:r w:rsidRPr="00D86A15">
        <w:rPr>
          <w:rFonts w:ascii="Times New Roman" w:hAnsi="Times New Roman"/>
          <w:lang w:val="sk-SK"/>
        </w:rPr>
        <w:t xml:space="preserve">legislatívne akty </w:t>
      </w:r>
    </w:p>
    <w:p w:rsidR="007B4D3D" w:rsidRPr="00D86A15" w:rsidP="007B4D3D">
      <w:pPr>
        <w:widowControl w:val="0"/>
        <w:numPr>
          <w:numId w:val="6"/>
        </w:numPr>
        <w:tabs>
          <w:tab w:val="left" w:pos="1440"/>
        </w:tabs>
        <w:bidi w:val="0"/>
        <w:adjustRightInd w:val="0"/>
        <w:ind w:left="1440"/>
        <w:rPr>
          <w:rFonts w:ascii="Times New Roman" w:hAnsi="Times New Roman"/>
          <w:i/>
          <w:lang w:val="sk-SK"/>
        </w:rPr>
      </w:pPr>
      <w:r w:rsidRPr="00D86A15">
        <w:rPr>
          <w:rFonts w:ascii="Times New Roman" w:hAnsi="Times New Roman"/>
          <w:lang w:val="sk-SK"/>
        </w:rPr>
        <w:t>nelegislatívne akty</w:t>
      </w:r>
    </w:p>
    <w:p w:rsidR="007B4D3D" w:rsidP="007B4D3D">
      <w:pPr>
        <w:widowControl w:val="0"/>
        <w:numPr>
          <w:numId w:val="7"/>
        </w:numPr>
        <w:tabs>
          <w:tab w:val="left" w:pos="851"/>
        </w:tabs>
        <w:bidi w:val="0"/>
        <w:adjustRightInd w:val="0"/>
        <w:spacing w:after="120"/>
        <w:ind w:left="1134" w:hanging="425"/>
        <w:jc w:val="both"/>
        <w:rPr>
          <w:rFonts w:ascii="Times New Roman" w:hAnsi="Times New Roman"/>
          <w:lang w:val="sk-SK"/>
        </w:rPr>
      </w:pPr>
      <w:r w:rsidRPr="00D86A15">
        <w:rPr>
          <w:rFonts w:ascii="Times New Roman" w:hAnsi="Times New Roman"/>
          <w:lang w:val="sk-SK"/>
        </w:rPr>
        <w:t xml:space="preserve">    Rozhodnutie Komisie C (2014) 105 zo dňa 22. 1. 2014 týkajúce sa Regionálne</w:t>
      </w:r>
      <w:r w:rsidR="006B2D37">
        <w:rPr>
          <w:rFonts w:ascii="Times New Roman" w:hAnsi="Times New Roman"/>
          <w:lang w:val="sk-SK"/>
        </w:rPr>
        <w:t>j mapy pomoci na roky 2014-2020,</w:t>
      </w:r>
    </w:p>
    <w:p w:rsidR="006B2D37" w:rsidRPr="006B2D37" w:rsidP="006B2D37">
      <w:pPr>
        <w:widowControl w:val="0"/>
        <w:numPr>
          <w:numId w:val="8"/>
        </w:numPr>
        <w:tabs>
          <w:tab w:val="left" w:pos="1440"/>
        </w:tabs>
        <w:bidi w:val="0"/>
        <w:adjustRightInd w:val="0"/>
        <w:spacing w:after="120" w:line="276" w:lineRule="auto"/>
        <w:ind w:left="1134" w:hanging="425"/>
        <w:contextualSpacing/>
        <w:jc w:val="both"/>
        <w:rPr>
          <w:rFonts w:ascii="Times New Roman" w:hAnsi="Times New Roman"/>
          <w:i/>
          <w:lang w:val="sk-SK"/>
        </w:rPr>
      </w:pPr>
      <w:r w:rsidRPr="00D86A15">
        <w:rPr>
          <w:rFonts w:ascii="Times New Roman" w:eastAsia="Calibri" w:hAnsi="Times New Roman" w:hint="default"/>
          <w:lang w:val="sk-SK" w:eastAsia="en-US"/>
        </w:rPr>
        <w:t>Nariadenie Euró</w:t>
      </w:r>
      <w:r w:rsidRPr="00D86A15">
        <w:rPr>
          <w:rFonts w:ascii="Times New Roman" w:eastAsia="Calibri" w:hAnsi="Times New Roman" w:hint="default"/>
          <w:lang w:val="sk-SK" w:eastAsia="en-US"/>
        </w:rPr>
        <w:t>pskej komisie (EÚ</w:t>
      </w:r>
      <w:r w:rsidRPr="00D86A15">
        <w:rPr>
          <w:rFonts w:ascii="Times New Roman" w:eastAsia="Calibri" w:hAnsi="Times New Roman" w:hint="default"/>
          <w:lang w:val="sk-SK" w:eastAsia="en-US"/>
        </w:rPr>
        <w:t>) č</w:t>
      </w:r>
      <w:r w:rsidRPr="00D86A15">
        <w:rPr>
          <w:rFonts w:ascii="Times New Roman" w:eastAsia="Calibri" w:hAnsi="Times New Roman" w:hint="default"/>
          <w:lang w:val="sk-SK" w:eastAsia="en-US"/>
        </w:rPr>
        <w:t>. 651/2014 zo </w:t>
      </w:r>
      <w:r w:rsidRPr="00D86A15">
        <w:rPr>
          <w:rFonts w:ascii="Times New Roman" w:eastAsia="Calibri" w:hAnsi="Times New Roman" w:hint="default"/>
          <w:lang w:val="sk-SK" w:eastAsia="en-US"/>
        </w:rPr>
        <w:t>17. jú</w:t>
      </w:r>
      <w:r w:rsidRPr="00D86A15">
        <w:rPr>
          <w:rFonts w:ascii="Times New Roman" w:eastAsia="Calibri" w:hAnsi="Times New Roman" w:hint="default"/>
          <w:lang w:val="sk-SK" w:eastAsia="en-US"/>
        </w:rPr>
        <w:t>na 2014 o </w:t>
      </w:r>
      <w:r w:rsidRPr="00D86A15">
        <w:rPr>
          <w:rFonts w:ascii="Times New Roman" w:eastAsia="Calibri" w:hAnsi="Times New Roman" w:hint="default"/>
          <w:lang w:val="sk-SK" w:eastAsia="en-US"/>
        </w:rPr>
        <w:t>vyhlá</w:t>
      </w:r>
      <w:r w:rsidRPr="00D86A15">
        <w:rPr>
          <w:rFonts w:ascii="Times New Roman" w:eastAsia="Calibri" w:hAnsi="Times New Roman" w:hint="default"/>
          <w:lang w:val="sk-SK" w:eastAsia="en-US"/>
        </w:rPr>
        <w:t>sení</w:t>
      </w:r>
      <w:r w:rsidRPr="00D86A15">
        <w:rPr>
          <w:rFonts w:ascii="Times New Roman" w:eastAsia="Calibri" w:hAnsi="Times New Roman" w:hint="default"/>
          <w:lang w:val="sk-SK" w:eastAsia="en-US"/>
        </w:rPr>
        <w:t xml:space="preserve"> urč</w:t>
      </w:r>
      <w:r w:rsidRPr="00D86A15">
        <w:rPr>
          <w:rFonts w:ascii="Times New Roman" w:eastAsia="Calibri" w:hAnsi="Times New Roman" w:hint="default"/>
          <w:lang w:val="sk-SK" w:eastAsia="en-US"/>
        </w:rPr>
        <w:t>itý</w:t>
      </w:r>
      <w:r w:rsidRPr="00D86A15">
        <w:rPr>
          <w:rFonts w:ascii="Times New Roman" w:eastAsia="Calibri" w:hAnsi="Times New Roman" w:hint="default"/>
          <w:lang w:val="sk-SK" w:eastAsia="en-US"/>
        </w:rPr>
        <w:t>ch kategó</w:t>
      </w:r>
      <w:r w:rsidRPr="00D86A15">
        <w:rPr>
          <w:rFonts w:ascii="Times New Roman" w:eastAsia="Calibri" w:hAnsi="Times New Roman" w:hint="default"/>
          <w:lang w:val="sk-SK" w:eastAsia="en-US"/>
        </w:rPr>
        <w:t>rií</w:t>
      </w:r>
      <w:r w:rsidRPr="00D86A15">
        <w:rPr>
          <w:rFonts w:ascii="Times New Roman" w:eastAsia="Calibri" w:hAnsi="Times New Roman" w:hint="default"/>
          <w:lang w:val="sk-SK" w:eastAsia="en-US"/>
        </w:rPr>
        <w:t xml:space="preserve"> pomoci za zl</w:t>
      </w:r>
      <w:r w:rsidRPr="00D86A15">
        <w:rPr>
          <w:rFonts w:ascii="Times New Roman" w:eastAsia="Calibri" w:hAnsi="Times New Roman" w:hint="default"/>
          <w:lang w:val="sk-SK" w:eastAsia="en-US"/>
        </w:rPr>
        <w:t>uč</w:t>
      </w:r>
      <w:r w:rsidRPr="00D86A15">
        <w:rPr>
          <w:rFonts w:ascii="Times New Roman" w:eastAsia="Calibri" w:hAnsi="Times New Roman" w:hint="default"/>
          <w:lang w:val="sk-SK" w:eastAsia="en-US"/>
        </w:rPr>
        <w:t>iteľ</w:t>
      </w:r>
      <w:r w:rsidRPr="00D86A15">
        <w:rPr>
          <w:rFonts w:ascii="Times New Roman" w:eastAsia="Calibri" w:hAnsi="Times New Roman" w:hint="default"/>
          <w:lang w:val="sk-SK" w:eastAsia="en-US"/>
        </w:rPr>
        <w:t>né</w:t>
      </w:r>
      <w:r w:rsidRPr="00D86A15">
        <w:rPr>
          <w:rFonts w:ascii="Times New Roman" w:eastAsia="Calibri" w:hAnsi="Times New Roman" w:hint="default"/>
          <w:lang w:val="sk-SK" w:eastAsia="en-US"/>
        </w:rPr>
        <w:t xml:space="preserve"> s </w:t>
      </w:r>
      <w:r w:rsidRPr="00D86A15">
        <w:rPr>
          <w:rFonts w:ascii="Times New Roman" w:eastAsia="Calibri" w:hAnsi="Times New Roman" w:hint="default"/>
          <w:lang w:val="sk-SK" w:eastAsia="en-US"/>
        </w:rPr>
        <w:t>vnú</w:t>
      </w:r>
      <w:r w:rsidRPr="00D86A15">
        <w:rPr>
          <w:rFonts w:ascii="Times New Roman" w:eastAsia="Calibri" w:hAnsi="Times New Roman" w:hint="default"/>
          <w:lang w:val="sk-SK" w:eastAsia="en-US"/>
        </w:rPr>
        <w:t>torný</w:t>
      </w:r>
      <w:r w:rsidRPr="00D86A15">
        <w:rPr>
          <w:rFonts w:ascii="Times New Roman" w:eastAsia="Calibri" w:hAnsi="Times New Roman" w:hint="default"/>
          <w:lang w:val="sk-SK" w:eastAsia="en-US"/>
        </w:rPr>
        <w:t>m trhom podľ</w:t>
      </w:r>
      <w:r w:rsidRPr="00D86A15">
        <w:rPr>
          <w:rFonts w:ascii="Times New Roman" w:eastAsia="Calibri" w:hAnsi="Times New Roman" w:hint="default"/>
          <w:lang w:val="sk-SK" w:eastAsia="en-US"/>
        </w:rPr>
        <w:t>a č</w:t>
      </w:r>
      <w:r w:rsidRPr="00D86A15">
        <w:rPr>
          <w:rFonts w:ascii="Times New Roman" w:eastAsia="Calibri" w:hAnsi="Times New Roman" w:hint="default"/>
          <w:lang w:val="sk-SK" w:eastAsia="en-US"/>
        </w:rPr>
        <w:t>lá</w:t>
      </w:r>
      <w:r w:rsidRPr="00D86A15">
        <w:rPr>
          <w:rFonts w:ascii="Times New Roman" w:eastAsia="Calibri" w:hAnsi="Times New Roman" w:hint="default"/>
          <w:lang w:val="sk-SK" w:eastAsia="en-US"/>
        </w:rPr>
        <w:t>nkov 107 a </w:t>
      </w:r>
      <w:r w:rsidRPr="00D86A15">
        <w:rPr>
          <w:rFonts w:ascii="Times New Roman" w:eastAsia="Calibri" w:hAnsi="Times New Roman" w:hint="default"/>
          <w:lang w:val="sk-SK" w:eastAsia="en-US"/>
        </w:rPr>
        <w:t>108 zmluvy (Ú</w:t>
      </w:r>
      <w:r w:rsidRPr="00D86A15">
        <w:rPr>
          <w:rFonts w:ascii="Times New Roman" w:eastAsia="Calibri" w:hAnsi="Times New Roman" w:hint="default"/>
          <w:lang w:val="sk-SK" w:eastAsia="en-US"/>
        </w:rPr>
        <w:t>. v. EÚ</w:t>
      </w:r>
      <w:r w:rsidRPr="00D86A15">
        <w:rPr>
          <w:rFonts w:ascii="Times New Roman" w:eastAsia="Calibri" w:hAnsi="Times New Roman" w:hint="default"/>
          <w:lang w:val="sk-SK" w:eastAsia="en-US"/>
        </w:rPr>
        <w:t xml:space="preserve"> L 187, 26. 6. 2014)</w:t>
      </w:r>
    </w:p>
    <w:p w:rsidR="007B4D3D" w:rsidRPr="00D86A15" w:rsidP="00090560">
      <w:pPr>
        <w:tabs>
          <w:tab w:val="left" w:pos="1080"/>
        </w:tabs>
        <w:bidi w:val="0"/>
        <w:ind w:left="1134" w:hanging="425"/>
        <w:jc w:val="both"/>
        <w:rPr>
          <w:rFonts w:ascii="Times New Roman" w:hAnsi="Times New Roman"/>
          <w:i/>
          <w:lang w:val="sk-SK"/>
        </w:rPr>
      </w:pPr>
      <w:r w:rsidRPr="00D86A15">
        <w:rPr>
          <w:rFonts w:ascii="Times New Roman" w:hAnsi="Times New Roman"/>
          <w:i/>
          <w:iCs/>
          <w:lang w:val="sk-SK"/>
        </w:rPr>
        <w:t>-</w:t>
        <w:tab/>
        <w:t>sekundárnom</w:t>
      </w:r>
      <w:r w:rsidRPr="00D86A15">
        <w:rPr>
          <w:rFonts w:ascii="Times New Roman" w:hAnsi="Times New Roman"/>
          <w:i/>
          <w:lang w:val="sk-SK"/>
        </w:rPr>
        <w:t xml:space="preserve"> (prijatom pred nadobudnutím platnosti Lisabonskej zmluvy, ktorou sa mení a dopĺňa Zmluva o Európskej únii a Zmluva o založení Európskeho spoločenstva – do 30. novembra 2009)</w:t>
      </w:r>
    </w:p>
    <w:p w:rsidR="007B4D3D" w:rsidRPr="00D86A15" w:rsidP="007B4D3D">
      <w:pPr>
        <w:bidi w:val="0"/>
        <w:ind w:left="1060"/>
        <w:jc w:val="both"/>
        <w:rPr>
          <w:rFonts w:ascii="Times New Roman" w:hAnsi="Times New Roman"/>
          <w:bCs/>
          <w:lang w:val="sk-SK" w:eastAsia="cs-CZ"/>
        </w:rPr>
      </w:pPr>
    </w:p>
    <w:p w:rsidR="007B4D3D" w:rsidRPr="00D86A15" w:rsidP="007B4D3D">
      <w:pPr>
        <w:numPr>
          <w:numId w:val="3"/>
        </w:numPr>
        <w:bidi w:val="0"/>
        <w:spacing w:after="200" w:line="276" w:lineRule="auto"/>
        <w:jc w:val="both"/>
        <w:rPr>
          <w:rFonts w:ascii="Times New Roman" w:hAnsi="Times New Roman"/>
          <w:bCs/>
          <w:lang w:val="sk-SK" w:eastAsia="cs-CZ"/>
        </w:rPr>
      </w:pPr>
      <w:r w:rsidRPr="00D86A15">
        <w:rPr>
          <w:rFonts w:ascii="Times New Roman" w:hAnsi="Times New Roman"/>
          <w:lang w:val="sk-SK" w:eastAsia="cs-CZ"/>
        </w:rPr>
        <w:t>je obsiahnutá v judikatúre Súdneho dvora Európskej únie.</w:t>
      </w:r>
    </w:p>
    <w:p w:rsidR="007B4D3D" w:rsidRPr="00D86A15" w:rsidP="007B4D3D">
      <w:pPr>
        <w:tabs>
          <w:tab w:val="left" w:pos="360"/>
        </w:tabs>
        <w:bidi w:val="0"/>
        <w:ind w:left="357" w:hanging="357"/>
        <w:jc w:val="both"/>
        <w:rPr>
          <w:rFonts w:ascii="Times New Roman" w:hAnsi="Times New Roman"/>
          <w:b/>
          <w:lang w:val="sk-SK"/>
        </w:rPr>
      </w:pPr>
      <w:r w:rsidRPr="00D86A15">
        <w:rPr>
          <w:rFonts w:ascii="Times New Roman" w:hAnsi="Times New Roman"/>
          <w:b/>
          <w:lang w:val="sk-SK"/>
        </w:rPr>
        <w:t>4.</w:t>
      </w:r>
      <w:r w:rsidRPr="00D86A15">
        <w:rPr>
          <w:rFonts w:ascii="Times New Roman" w:hAnsi="Times New Roman"/>
          <w:lang w:val="sk-SK"/>
        </w:rPr>
        <w:t xml:space="preserve">    </w:t>
      </w:r>
      <w:r w:rsidRPr="00D86A15">
        <w:rPr>
          <w:rFonts w:ascii="Times New Roman" w:hAnsi="Times New Roman"/>
          <w:b/>
          <w:lang w:val="sk-SK"/>
        </w:rPr>
        <w:t xml:space="preserve">Záväzky Slovenskej republiky vo vzťahu k  Európskej únii: </w:t>
      </w:r>
    </w:p>
    <w:p w:rsidR="007B4D3D" w:rsidRPr="00D86A15" w:rsidP="007B4D3D">
      <w:pPr>
        <w:numPr>
          <w:numId w:val="5"/>
        </w:numPr>
        <w:tabs>
          <w:tab w:val="num" w:pos="720"/>
          <w:tab w:val="left" w:pos="1620"/>
        </w:tabs>
        <w:bidi w:val="0"/>
        <w:ind w:left="720"/>
        <w:jc w:val="both"/>
        <w:rPr>
          <w:rFonts w:ascii="Times New Roman" w:hAnsi="Times New Roman"/>
          <w:lang w:val="sk-SK"/>
        </w:rPr>
      </w:pPr>
      <w:r w:rsidRPr="00D86A15">
        <w:rPr>
          <w:rFonts w:ascii="Times New Roman" w:hAnsi="Times New Roman"/>
          <w:lang w:val="sk-SK"/>
        </w:rPr>
        <w:t>lehota na prebratie smernice alebo lehota na implementáciu nariadenia alebo rozhodnutia – bezpredmetné,</w:t>
      </w:r>
    </w:p>
    <w:p w:rsidR="007B4D3D" w:rsidRPr="00D86A15" w:rsidP="007B4D3D">
      <w:pPr>
        <w:numPr>
          <w:numId w:val="5"/>
        </w:numPr>
        <w:tabs>
          <w:tab w:val="num" w:pos="720"/>
          <w:tab w:val="left" w:pos="1620"/>
        </w:tabs>
        <w:bidi w:val="0"/>
        <w:ind w:left="720"/>
        <w:jc w:val="both"/>
        <w:rPr>
          <w:rFonts w:ascii="Times New Roman" w:hAnsi="Times New Roman"/>
          <w:lang w:val="sk-SK"/>
        </w:rPr>
      </w:pPr>
      <w:r w:rsidRPr="00D86A15">
        <w:rPr>
          <w:rFonts w:ascii="Times New Roman" w:hAnsi="Times New Roman"/>
          <w:lang w:val="sk-SK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 – bezpredmetné,</w:t>
      </w:r>
    </w:p>
    <w:p w:rsidR="007B4D3D" w:rsidRPr="00D86A15" w:rsidP="007B4D3D">
      <w:pPr>
        <w:numPr>
          <w:numId w:val="5"/>
        </w:numPr>
        <w:tabs>
          <w:tab w:val="num" w:pos="720"/>
          <w:tab w:val="left" w:pos="1620"/>
        </w:tabs>
        <w:bidi w:val="0"/>
        <w:ind w:left="720"/>
        <w:jc w:val="both"/>
        <w:rPr>
          <w:rFonts w:ascii="Times New Roman" w:hAnsi="Times New Roman"/>
          <w:lang w:val="sk-SK"/>
        </w:rPr>
      </w:pPr>
      <w:r w:rsidRPr="00D86A15">
        <w:rPr>
          <w:rFonts w:ascii="Times New Roman" w:hAnsi="Times New Roman"/>
          <w:lang w:val="sk-SK"/>
        </w:rPr>
        <w:t>informácia o konaní začatom proti Slovenskej republike o porušení Zmluvy podľa čl. 258 až 260 Zmluvy o fungovaní Európskej únie – nebolo začaté žiadne konanie,</w:t>
      </w:r>
    </w:p>
    <w:p w:rsidR="007B4D3D" w:rsidRPr="00D86A15" w:rsidP="007B4D3D">
      <w:pPr>
        <w:numPr>
          <w:numId w:val="5"/>
        </w:numPr>
        <w:tabs>
          <w:tab w:val="num" w:pos="720"/>
          <w:tab w:val="left" w:pos="1620"/>
        </w:tabs>
        <w:bidi w:val="0"/>
        <w:ind w:left="720"/>
        <w:jc w:val="both"/>
        <w:rPr>
          <w:rFonts w:ascii="Times New Roman" w:hAnsi="Times New Roman"/>
          <w:lang w:val="sk-SK"/>
        </w:rPr>
      </w:pPr>
      <w:r w:rsidRPr="00D86A15">
        <w:rPr>
          <w:rFonts w:ascii="Times New Roman" w:hAnsi="Times New Roman"/>
          <w:lang w:val="sk-SK"/>
        </w:rPr>
        <w:t>informácia o právnych predpisoch, v ktorých sú preberané smernice alebo rámcové rozhodnutia už prebraté spolu s uvedením rozsahu tohto prebratia.</w:t>
      </w:r>
    </w:p>
    <w:p w:rsidR="007B4D3D" w:rsidRPr="00D86A15" w:rsidP="007B4D3D">
      <w:pPr>
        <w:tabs>
          <w:tab w:val="left" w:pos="1620"/>
        </w:tabs>
        <w:bidi w:val="0"/>
        <w:ind w:left="360"/>
        <w:jc w:val="both"/>
        <w:rPr>
          <w:rFonts w:ascii="Times New Roman" w:hAnsi="Times New Roman"/>
          <w:lang w:val="sk-SK"/>
        </w:rPr>
      </w:pPr>
    </w:p>
    <w:p w:rsidR="007B4D3D" w:rsidRPr="00D86A15" w:rsidP="007B4D3D">
      <w:pPr>
        <w:numPr>
          <w:numId w:val="4"/>
        </w:numPr>
        <w:bidi w:val="0"/>
        <w:jc w:val="both"/>
        <w:rPr>
          <w:rFonts w:ascii="Times New Roman" w:hAnsi="Times New Roman"/>
          <w:b/>
          <w:bCs/>
          <w:lang w:val="sk-SK"/>
        </w:rPr>
      </w:pPr>
      <w:r w:rsidRPr="00D86A15">
        <w:rPr>
          <w:rFonts w:ascii="Times New Roman" w:hAnsi="Times New Roman"/>
          <w:b/>
          <w:lang w:val="sk-SK"/>
        </w:rPr>
        <w:t>Stupeň zlučiteľnosti návrhu právneho predpisu s právnom Európskej únie:</w:t>
      </w:r>
    </w:p>
    <w:p w:rsidR="007B4D3D" w:rsidRPr="00D86A15" w:rsidP="007B4D3D">
      <w:pPr>
        <w:bidi w:val="0"/>
        <w:ind w:left="340"/>
        <w:rPr>
          <w:rFonts w:ascii="Times New Roman" w:hAnsi="Times New Roman"/>
          <w:lang w:val="sk-SK"/>
        </w:rPr>
      </w:pPr>
      <w:r w:rsidRPr="00D86A15">
        <w:rPr>
          <w:rFonts w:ascii="Times New Roman" w:hAnsi="Times New Roman"/>
          <w:lang w:val="sk-SK"/>
        </w:rPr>
        <w:t>Úplný</w:t>
      </w:r>
    </w:p>
    <w:p w:rsidR="007B4D3D" w:rsidRPr="00D86A15" w:rsidP="007B4D3D">
      <w:pPr>
        <w:bidi w:val="0"/>
        <w:ind w:left="340"/>
        <w:rPr>
          <w:rFonts w:ascii="Times New Roman" w:hAnsi="Times New Roman"/>
          <w:b/>
          <w:bCs/>
          <w:lang w:val="sk-SK"/>
        </w:rPr>
      </w:pPr>
    </w:p>
    <w:p w:rsidR="007B4D3D" w:rsidRPr="00D86A15" w:rsidP="006B2D37">
      <w:pPr>
        <w:numPr>
          <w:numId w:val="4"/>
        </w:numPr>
        <w:bidi w:val="0"/>
        <w:rPr>
          <w:rFonts w:ascii="Times New Roman" w:hAnsi="Times New Roman"/>
          <w:b/>
          <w:bCs/>
          <w:lang w:val="sk-SK"/>
        </w:rPr>
      </w:pPr>
      <w:r w:rsidRPr="00D86A15">
        <w:rPr>
          <w:rFonts w:ascii="Times New Roman" w:hAnsi="Times New Roman"/>
          <w:b/>
          <w:lang w:val="sk-SK"/>
        </w:rPr>
        <w:t xml:space="preserve">Gestor a spolupracujúce rezorty:  </w:t>
      </w:r>
    </w:p>
    <w:p w:rsidR="007B4D3D" w:rsidRPr="00D86A15" w:rsidP="007B4D3D">
      <w:pPr>
        <w:bidi w:val="0"/>
        <w:ind w:left="300"/>
        <w:jc w:val="both"/>
        <w:rPr>
          <w:rFonts w:ascii="Times New Roman" w:hAnsi="Times New Roman"/>
          <w:lang w:val="sk-SK"/>
        </w:rPr>
      </w:pPr>
      <w:r w:rsidRPr="00D86A15">
        <w:rPr>
          <w:rFonts w:ascii="Times New Roman" w:hAnsi="Times New Roman"/>
          <w:lang w:val="sk-SK"/>
        </w:rPr>
        <w:t>Ministerstvo hospodárstva SR, Ministerstvo práce, sociálnych vecí a rodiny SR, Ministerstvo dopravy, výstavby a regionálneho rozvoja SR, Ministerstvo financií SR</w:t>
      </w:r>
      <w:r>
        <w:rPr>
          <w:rFonts w:ascii="Times New Roman" w:hAnsi="Times New Roman"/>
          <w:lang w:val="sk-SK"/>
        </w:rPr>
        <w:t>.</w:t>
      </w:r>
    </w:p>
    <w:p w:rsidR="005368A5">
      <w:pPr>
        <w:bidi w:val="0"/>
        <w:rPr>
          <w:rFonts w:ascii="Times New Roman" w:hAnsi="Times New Roman"/>
        </w:rPr>
      </w:pPr>
    </w:p>
    <w:sectPr w:rsidSect="006B2D37">
      <w:pgSz w:w="11906" w:h="16838"/>
      <w:pgMar w:top="851" w:right="1417" w:bottom="851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1D545C8B"/>
    <w:multiLevelType w:val="hybridMultilevel"/>
    <w:tmpl w:val="FC0CE32E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E3465F1"/>
    <w:multiLevelType w:val="hybridMultilevel"/>
    <w:tmpl w:val="5D6A0FA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482" w:hanging="340"/>
      </w:pPr>
      <w:rPr>
        <w:rFonts w:cs="Times New Roman" w:hint="default"/>
        <w:b w:val="0"/>
        <w:rtl w:val="0"/>
        <w:cs w:val="0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4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5">
      <w:start w:val="1"/>
      <w:numFmt w:val="decimal"/>
      <w:lvlText w:val="(%6)"/>
      <w:lvlJc w:val="left"/>
      <w:pPr>
        <w:ind w:left="450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FB365D"/>
    <w:multiLevelType w:val="hybridMultilevel"/>
    <w:tmpl w:val="A79A737E"/>
    <w:lvl w:ilvl="0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0446FF4"/>
    <w:multiLevelType w:val="hybridMultilevel"/>
    <w:tmpl w:val="5E369F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rtl w:val="0"/>
        <w:cs w:val="0"/>
      </w:rPr>
    </w:lvl>
    <w:lvl w:ilvl="1">
      <w:start w:val="1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F7400F6"/>
    <w:multiLevelType w:val="multilevel"/>
    <w:tmpl w:val="C76E6FE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65E26EC2"/>
    <w:multiLevelType w:val="hybridMultilevel"/>
    <w:tmpl w:val="C1FEBEC8"/>
    <w:lvl w:ilvl="0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28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7">
    <w:nsid w:val="777765A8"/>
    <w:multiLevelType w:val="hybridMultilevel"/>
    <w:tmpl w:val="30545A06"/>
    <w:lvl w:ilvl="0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B4D3D"/>
    <w:rsid w:val="00090560"/>
    <w:rsid w:val="005368A5"/>
    <w:rsid w:val="0055303A"/>
    <w:rsid w:val="006B2D37"/>
    <w:rsid w:val="007B4D3D"/>
    <w:rsid w:val="00C63E6C"/>
    <w:rsid w:val="00D86A15"/>
    <w:rsid w:val="00DB1328"/>
    <w:rsid w:val="00FA4A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D3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hu-H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352</Words>
  <Characters>2013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Madajova Silvia</dc:creator>
  <cp:lastModifiedBy>Gašparíková, Jarmila</cp:lastModifiedBy>
  <cp:revision>2</cp:revision>
  <dcterms:created xsi:type="dcterms:W3CDTF">2015-01-09T10:34:00Z</dcterms:created>
  <dcterms:modified xsi:type="dcterms:W3CDTF">2015-01-09T10:34:00Z</dcterms:modified>
</cp:coreProperties>
</file>