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3597" w:rsidRPr="00D86A15" w:rsidP="00423597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D86A15">
        <w:rPr>
          <w:rFonts w:ascii="Times New Roman" w:hAnsi="Times New Roman"/>
          <w:b/>
          <w:bCs/>
          <w:sz w:val="28"/>
          <w:szCs w:val="28"/>
          <w:lang w:val="sk-SK"/>
        </w:rPr>
        <w:t>Doložka vybraných vplyvov</w:t>
      </w:r>
    </w:p>
    <w:p w:rsidR="00423597" w:rsidRPr="00D86A15" w:rsidP="00423597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423597" w:rsidRPr="00D86A15" w:rsidP="00423597">
      <w:pPr>
        <w:bidi w:val="0"/>
        <w:rPr>
          <w:rFonts w:ascii="Times New Roman" w:hAnsi="Times New Roman"/>
          <w:b/>
          <w:bCs/>
          <w:lang w:val="sk-SK"/>
        </w:rPr>
      </w:pPr>
    </w:p>
    <w:p w:rsidR="00423597" w:rsidRPr="00D1763D" w:rsidP="00423597">
      <w:pPr>
        <w:bidi w:val="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b/>
          <w:bCs/>
          <w:lang w:val="sk-SK"/>
        </w:rPr>
        <w:t>A.1. Názov materiálu:</w:t>
      </w:r>
      <w:r w:rsidRPr="00D86A15">
        <w:rPr>
          <w:rFonts w:ascii="Times New Roman" w:hAnsi="Times New Roman"/>
          <w:lang w:val="sk-SK"/>
        </w:rPr>
        <w:t xml:space="preserve"> Návrh zákona, ktorým sa mení a dopĺňa zákon č. 561/2007 Z. z.                      o investičnej pomoci a o zmene a doplnení niektorých zákonov v znení neskorších predpisov a ktorým sa mení a dopĺňa zákon </w:t>
      </w:r>
      <w:r w:rsidRPr="00D86A15">
        <w:rPr>
          <w:rFonts w:ascii="Times New Roman" w:hAnsi="Times New Roman"/>
          <w:szCs w:val="22"/>
          <w:lang w:val="sk-SK"/>
        </w:rPr>
        <w:t>č. 595/2003 Z. z. o dani z príjm</w:t>
      </w:r>
      <w:r>
        <w:rPr>
          <w:rFonts w:ascii="Times New Roman" w:hAnsi="Times New Roman"/>
          <w:szCs w:val="22"/>
          <w:lang w:val="sk-SK"/>
        </w:rPr>
        <w:t>ov v znení neskorších predpisov</w:t>
      </w:r>
    </w:p>
    <w:p w:rsidR="00423597" w:rsidRPr="00FA4A2C" w:rsidP="00423597">
      <w:pPr>
        <w:bidi w:val="0"/>
        <w:jc w:val="both"/>
        <w:rPr>
          <w:rFonts w:ascii="Times New Roman" w:hAnsi="Times New Roman" w:cs="Arial"/>
          <w:lang w:val="sk-SK"/>
        </w:rPr>
      </w:pPr>
    </w:p>
    <w:p w:rsidR="00423597" w:rsidRPr="00D86A15" w:rsidP="00423597">
      <w:pPr>
        <w:bidi w:val="0"/>
        <w:outlineLvl w:val="0"/>
        <w:rPr>
          <w:rFonts w:ascii="Times New Roman" w:hAnsi="Times New Roman"/>
          <w:bCs/>
          <w:lang w:val="sk-SK"/>
        </w:rPr>
      </w:pPr>
      <w:r w:rsidRPr="00D86A15">
        <w:rPr>
          <w:rFonts w:ascii="Times New Roman" w:hAnsi="Times New Roman"/>
          <w:b/>
          <w:bCs/>
          <w:lang w:val="sk-SK"/>
        </w:rPr>
        <w:t xml:space="preserve">Termín začatia a ukončenia PPK: </w:t>
      </w:r>
    </w:p>
    <w:p w:rsidR="00423597" w:rsidRPr="00D86A15" w:rsidP="00423597">
      <w:pPr>
        <w:bidi w:val="0"/>
        <w:rPr>
          <w:rFonts w:ascii="Times New Roman" w:hAnsi="Times New Roman"/>
          <w:b/>
          <w:bCs/>
          <w:lang w:val="sk-SK"/>
        </w:rPr>
      </w:pPr>
    </w:p>
    <w:p w:rsidR="00423597" w:rsidRPr="00D86A15" w:rsidP="00423597">
      <w:pPr>
        <w:bidi w:val="0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bCs/>
          <w:lang w:val="sk-SK"/>
        </w:rPr>
        <w:t>A.2. Vplyvy:</w:t>
      </w:r>
    </w:p>
    <w:p w:rsidR="00423597" w:rsidRPr="00D86A15" w:rsidP="00423597">
      <w:pPr>
        <w:bidi w:val="0"/>
        <w:rPr>
          <w:rFonts w:ascii="Times New Roman" w:hAnsi="Times New Roman"/>
          <w:lang w:val="sk-SK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Pozitívne</w:t>
            </w:r>
            <w:r w:rsidRPr="00D86A15">
              <w:rPr>
                <w:rFonts w:ascii="Times New Roman" w:hAnsi="Times New Roman"/>
                <w:vertAlign w:val="superscript"/>
                <w:lang w:val="sk-SK"/>
              </w:rPr>
              <w:t>*</w:t>
            </w:r>
            <w:r w:rsidRPr="00D86A15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Žiadne</w:t>
            </w:r>
            <w:r w:rsidRPr="00D86A15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Negatívne</w:t>
            </w:r>
            <w:r w:rsidRPr="00D86A15">
              <w:rPr>
                <w:rFonts w:ascii="Times New Roman" w:hAnsi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FA4A2C" w:rsidP="005541DA">
            <w:pPr>
              <w:bidi w:val="0"/>
              <w:spacing w:after="0" w:line="240" w:lineRule="auto"/>
              <w:rPr>
                <w:rFonts w:ascii="Times New Roman" w:hAnsi="Times New Roman"/>
                <w:bCs/>
                <w:lang w:val="sk-SK"/>
              </w:rPr>
            </w:pPr>
            <w:r w:rsidRPr="00D1763D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1. Vplyvy na rozpočet verejnej správy</w:t>
            </w:r>
          </w:p>
          <w:p w:rsidR="00423597" w:rsidRPr="00D86A15" w:rsidP="005541DA">
            <w:pPr>
              <w:bidi w:val="0"/>
              <w:spacing w:after="0" w:line="240" w:lineRule="auto"/>
              <w:rPr>
                <w:rFonts w:ascii="Times New Roman" w:hAnsi="Times New Roman"/>
                <w:i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1763D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X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FA4A2C" w:rsidP="005541DA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D1763D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FA4A2C" w:rsidP="005541DA">
            <w:pPr>
              <w:bidi w:val="0"/>
              <w:spacing w:after="0" w:line="240" w:lineRule="auto"/>
              <w:rPr>
                <w:rFonts w:ascii="Times New Roman" w:hAnsi="Times New Roman"/>
                <w:bCs/>
                <w:lang w:val="sk-SK"/>
              </w:rPr>
            </w:pPr>
            <w:r w:rsidRPr="00D1763D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3. Sociálne vplyvy </w:t>
            </w:r>
          </w:p>
          <w:p w:rsidR="00423597" w:rsidRPr="00D86A15" w:rsidP="005541DA">
            <w:pPr>
              <w:bidi w:val="0"/>
              <w:spacing w:after="0" w:line="240" w:lineRule="auto"/>
              <w:rPr>
                <w:rFonts w:ascii="Times New Roman" w:hAnsi="Times New Roman"/>
                <w:bCs/>
                <w:lang w:val="sk-SK"/>
              </w:rPr>
            </w:pPr>
            <w:r w:rsidRPr="00D86A1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- vplyvy na hospodárenie obyvateľstva,</w:t>
            </w:r>
          </w:p>
          <w:p w:rsidR="00423597" w:rsidRPr="00D86A15" w:rsidP="005541DA">
            <w:pPr>
              <w:bidi w:val="0"/>
              <w:spacing w:after="0" w:line="240" w:lineRule="auto"/>
              <w:rPr>
                <w:rFonts w:ascii="Times New Roman" w:hAnsi="Times New Roman"/>
                <w:bCs/>
                <w:lang w:val="sk-SK"/>
              </w:rPr>
            </w:pPr>
            <w:r w:rsidRPr="00D86A1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- sociálnu exklúziu,</w:t>
            </w:r>
          </w:p>
          <w:p w:rsidR="00423597" w:rsidRPr="00D86A15" w:rsidP="005541DA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FA4A2C" w:rsidP="005541DA">
            <w:pPr>
              <w:bidi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D1763D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FA4A2C" w:rsidP="005541DA">
            <w:pPr>
              <w:bidi w:val="0"/>
              <w:spacing w:after="0" w:line="240" w:lineRule="auto"/>
              <w:rPr>
                <w:rFonts w:ascii="Times New Roman" w:hAnsi="Times New Roman"/>
                <w:bCs/>
                <w:lang w:val="sk-SK"/>
              </w:rPr>
            </w:pPr>
            <w:r w:rsidRPr="00D1763D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423597" w:rsidRPr="00D86A15" w:rsidP="00423597">
      <w:pPr>
        <w:bidi w:val="0"/>
        <w:jc w:val="both"/>
        <w:rPr>
          <w:rFonts w:ascii="Times New Roman" w:hAnsi="Times New Roman"/>
          <w:bCs/>
          <w:szCs w:val="20"/>
          <w:u w:val="single"/>
          <w:lang w:val="sk-SK"/>
        </w:rPr>
      </w:pPr>
      <w:r w:rsidRPr="00D1763D">
        <w:rPr>
          <w:rFonts w:ascii="Times New Roman" w:hAnsi="Times New Roman"/>
          <w:b/>
          <w:sz w:val="16"/>
          <w:szCs w:val="16"/>
          <w:lang w:val="sk-SK"/>
        </w:rPr>
        <w:t>*</w:t>
      </w:r>
      <w:r w:rsidRPr="00FA4A2C">
        <w:rPr>
          <w:rFonts w:ascii="Times New Roman" w:hAnsi="Times New Roman"/>
          <w:bCs/>
          <w:sz w:val="16"/>
          <w:szCs w:val="16"/>
          <w:lang w:val="sk-SK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</w:t>
      </w:r>
      <w:r w:rsidRPr="00D86A15">
        <w:rPr>
          <w:rFonts w:ascii="Times New Roman" w:hAnsi="Times New Roman"/>
          <w:bCs/>
          <w:sz w:val="16"/>
          <w:szCs w:val="16"/>
          <w:lang w:val="sk-SK"/>
        </w:rPr>
        <w:t>té vysvetlenie, či bilanciu vplyvov (sumárne zhodnotenie, ktorý vplyv v danej oblasti prevažuje) môže predkladateľ uviesť v poznámke.</w:t>
      </w:r>
    </w:p>
    <w:p w:rsidR="00423597" w:rsidRPr="00D86A15" w:rsidP="00423597">
      <w:pPr>
        <w:bidi w:val="0"/>
        <w:jc w:val="both"/>
        <w:rPr>
          <w:rFonts w:ascii="Times New Roman" w:hAnsi="Times New Roman"/>
          <w:b/>
          <w:bCs/>
          <w:szCs w:val="20"/>
          <w:lang w:val="sk-SK"/>
        </w:rPr>
      </w:pPr>
    </w:p>
    <w:p w:rsidR="00423597" w:rsidRPr="00D86A15" w:rsidP="00423597">
      <w:pPr>
        <w:bidi w:val="0"/>
        <w:jc w:val="both"/>
        <w:rPr>
          <w:rFonts w:ascii="Times New Roman" w:hAnsi="Times New Roman"/>
          <w:b/>
          <w:bCs/>
          <w:szCs w:val="20"/>
          <w:lang w:val="sk-SK"/>
        </w:rPr>
      </w:pPr>
      <w:r w:rsidRPr="00D86A15">
        <w:rPr>
          <w:rFonts w:ascii="Times New Roman" w:hAnsi="Times New Roman"/>
          <w:b/>
          <w:bCs/>
          <w:szCs w:val="20"/>
          <w:lang w:val="sk-SK"/>
        </w:rPr>
        <w:t>A.3. Poznámky</w:t>
      </w:r>
    </w:p>
    <w:p w:rsidR="00423597" w:rsidRPr="00D86A15" w:rsidP="00423597">
      <w:pPr>
        <w:bidi w:val="0"/>
        <w:jc w:val="both"/>
        <w:rPr>
          <w:rFonts w:ascii="Times New Roman" w:hAnsi="Times New Roman"/>
          <w:lang w:val="sk-SK"/>
        </w:rPr>
      </w:pPr>
    </w:p>
    <w:p w:rsidR="00423597" w:rsidRPr="00D86A15" w:rsidP="00423597">
      <w:pPr>
        <w:bidi w:val="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Predkladaný materiál bude m</w:t>
      </w:r>
      <w:r>
        <w:rPr>
          <w:rFonts w:ascii="Times New Roman" w:hAnsi="Times New Roman"/>
          <w:lang w:val="sk-SK"/>
        </w:rPr>
        <w:t>ať pozitívne aj negatívne vplyvy</w:t>
      </w:r>
      <w:r w:rsidRPr="00D86A15">
        <w:rPr>
          <w:rFonts w:ascii="Times New Roman" w:hAnsi="Times New Roman"/>
          <w:lang w:val="sk-SK"/>
        </w:rPr>
        <w:t xml:space="preserve"> na rozpočet verejnej správy. Výrazné pozitívne efekty sa predpokladajú najmä na strane príjmov štátneho rozpočtu plynúcich z tvorby nových pracovných miest a podpory realizácie investícií v Slovenskej republike. Pôjde predovšetkým o príjmy z priamych daní, nepriamych daní, odvodov </w:t>
      </w:r>
      <w:r>
        <w:rPr>
          <w:rFonts w:ascii="Times New Roman" w:hAnsi="Times New Roman"/>
          <w:lang w:val="sk-SK"/>
        </w:rPr>
        <w:t xml:space="preserve">                        </w:t>
      </w:r>
      <w:r w:rsidRPr="00D86A15">
        <w:rPr>
          <w:rFonts w:ascii="Times New Roman" w:hAnsi="Times New Roman"/>
          <w:lang w:val="sk-SK"/>
        </w:rPr>
        <w:t>na zdravotné a dôchodkové zabezpečenie, miestnych daní a poplatkov a pod. Negatívne vplyvy budú predstavovať výdavky štátneho rozpočtu, ktoré budú spojené so schválením investičnej pomoci na realizáciu investičných zámerov. Očakáva sa, že pozitívne efekty vysoko presiahnu negatívne.</w:t>
      </w:r>
      <w:r w:rsidR="00E4097C">
        <w:rPr>
          <w:rFonts w:ascii="Times New Roman" w:hAnsi="Times New Roman"/>
          <w:lang w:val="sk-SK"/>
        </w:rPr>
        <w:t xml:space="preserve"> </w:t>
      </w:r>
      <w:r w:rsidRPr="00E4097C" w:rsidR="00E4097C">
        <w:rPr>
          <w:rFonts w:ascii="Times New Roman" w:hAnsi="Times New Roman"/>
          <w:lang w:val="sk-SK"/>
        </w:rPr>
        <w:t>Stanovenie výšky vplyvu na verejné financie nie je možné explicitne určiť, nakoľko nevieme určiť počet podporených investičných zámerov a ani formy a výšky požadovanej investičnej pomoci.</w:t>
      </w:r>
    </w:p>
    <w:p w:rsidR="00423597" w:rsidRPr="00D86A15" w:rsidP="00423597">
      <w:pPr>
        <w:bidi w:val="0"/>
        <w:jc w:val="both"/>
        <w:rPr>
          <w:rFonts w:ascii="Times New Roman" w:hAnsi="Times New Roman"/>
          <w:szCs w:val="20"/>
          <w:lang w:val="sk-SK"/>
        </w:rPr>
      </w:pPr>
      <w:r w:rsidRPr="00D86A15">
        <w:rPr>
          <w:rFonts w:ascii="Times New Roman" w:hAnsi="Times New Roman"/>
          <w:szCs w:val="20"/>
          <w:lang w:val="sk-SK"/>
        </w:rPr>
        <w:t xml:space="preserve"> </w:t>
      </w:r>
    </w:p>
    <w:p w:rsidR="00423597" w:rsidRPr="00D86A15" w:rsidP="00423597">
      <w:pPr>
        <w:bidi w:val="0"/>
        <w:jc w:val="both"/>
        <w:rPr>
          <w:rFonts w:ascii="Times New Roman" w:hAnsi="Times New Roman"/>
          <w:b/>
          <w:szCs w:val="20"/>
          <w:lang w:val="sk-SK"/>
        </w:rPr>
      </w:pPr>
      <w:r w:rsidRPr="00D86A15">
        <w:rPr>
          <w:rFonts w:ascii="Times New Roman" w:hAnsi="Times New Roman"/>
          <w:b/>
          <w:szCs w:val="20"/>
          <w:lang w:val="sk-SK"/>
        </w:rPr>
        <w:t>A.4. Alternatívne riešenia</w:t>
      </w:r>
    </w:p>
    <w:p w:rsidR="00423597" w:rsidRPr="00D86A15" w:rsidP="00423597">
      <w:pPr>
        <w:bidi w:val="0"/>
        <w:jc w:val="both"/>
        <w:rPr>
          <w:rFonts w:ascii="Times New Roman" w:hAnsi="Times New Roman"/>
          <w:b/>
          <w:szCs w:val="20"/>
          <w:lang w:val="sk-SK"/>
        </w:rPr>
      </w:pPr>
    </w:p>
    <w:p w:rsidR="00423597" w:rsidRPr="00D86A15" w:rsidP="00423597">
      <w:pPr>
        <w:bidi w:val="0"/>
        <w:jc w:val="both"/>
        <w:rPr>
          <w:rFonts w:ascii="Times New Roman" w:hAnsi="Times New Roman"/>
          <w:b/>
          <w:szCs w:val="20"/>
          <w:lang w:val="sk-SK"/>
        </w:rPr>
      </w:pPr>
    </w:p>
    <w:p w:rsidR="00423597" w:rsidRPr="00D86A15" w:rsidP="00423597">
      <w:pPr>
        <w:bidi w:val="0"/>
        <w:rPr>
          <w:rFonts w:ascii="Times New Roman" w:hAnsi="Times New Roman"/>
          <w:b/>
          <w:szCs w:val="20"/>
          <w:lang w:val="sk-SK"/>
        </w:rPr>
      </w:pPr>
      <w:r w:rsidRPr="00D86A15">
        <w:rPr>
          <w:rFonts w:ascii="Times New Roman" w:hAnsi="Times New Roman"/>
          <w:b/>
          <w:szCs w:val="20"/>
          <w:lang w:val="sk-SK"/>
        </w:rPr>
        <w:t xml:space="preserve">A.5. Stanovisko gestorov </w:t>
      </w:r>
    </w:p>
    <w:p w:rsidR="00423597" w:rsidRPr="00D86A15" w:rsidP="00423597">
      <w:pPr>
        <w:bidi w:val="0"/>
        <w:spacing w:after="200" w:line="276" w:lineRule="auto"/>
        <w:rPr>
          <w:rFonts w:ascii="Times New Roman" w:hAnsi="Times New Roman"/>
          <w:b/>
          <w:lang w:val="sk-SK"/>
        </w:rPr>
      </w:pPr>
      <w:r w:rsidRPr="00D86A15">
        <w:rPr>
          <w:rFonts w:ascii="Times New Roman" w:hAnsi="Times New Roman"/>
          <w:b/>
          <w:lang w:val="sk-SK"/>
        </w:rPr>
        <w:br w:type="page"/>
      </w:r>
    </w:p>
    <w:p w:rsidR="00423597" w:rsidP="00423597">
      <w:pPr>
        <w:bidi w:val="0"/>
        <w:jc w:val="center"/>
        <w:rPr>
          <w:rFonts w:ascii="Times New Roman" w:hAnsi="Times New Roman"/>
          <w:b/>
          <w:sz w:val="28"/>
          <w:lang w:val="sk-SK"/>
        </w:rPr>
      </w:pPr>
      <w:r w:rsidRPr="00D86A15">
        <w:rPr>
          <w:rFonts w:ascii="Times New Roman" w:hAnsi="Times New Roman"/>
          <w:b/>
          <w:lang w:val="sk-SK"/>
        </w:rPr>
        <w:t> </w:t>
      </w:r>
      <w:r w:rsidRPr="00D86A15">
        <w:rPr>
          <w:rFonts w:ascii="Times New Roman" w:hAnsi="Times New Roman"/>
          <w:b/>
          <w:sz w:val="28"/>
          <w:lang w:val="sk-SK"/>
        </w:rPr>
        <w:t>Vplyvy na podnikateľské prostredie</w:t>
      </w:r>
    </w:p>
    <w:p w:rsidR="00423597" w:rsidRPr="00D86A15" w:rsidP="00423597">
      <w:pPr>
        <w:bidi w:val="0"/>
        <w:jc w:val="center"/>
        <w:rPr>
          <w:rFonts w:ascii="Times New Roman" w:hAnsi="Times New Roman"/>
          <w:lang w:val="sk-SK"/>
        </w:rPr>
      </w:pPr>
    </w:p>
    <w:p w:rsidR="00423597" w:rsidRPr="00D86A15" w:rsidP="00423597">
      <w:pPr>
        <w:bidi w:val="0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 </w:t>
      </w:r>
    </w:p>
    <w:tbl>
      <w:tblPr>
        <w:tblStyle w:val="TableNormal"/>
        <w:tblW w:w="9195" w:type="dxa"/>
        <w:tblCellMar>
          <w:left w:w="0" w:type="dxa"/>
          <w:right w:w="0" w:type="dxa"/>
        </w:tblCellMar>
      </w:tblPr>
      <w:tblGrid>
        <w:gridCol w:w="4155"/>
        <w:gridCol w:w="5040"/>
      </w:tblGrid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86A15" w:rsidP="005541D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b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1763D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1763D">
              <w:rPr>
                <w:rFonts w:ascii="Times New Roman" w:hAnsi="Times New Roman"/>
                <w:lang w:val="sk-SK"/>
              </w:rPr>
              <w:t> </w:t>
            </w:r>
          </w:p>
          <w:p w:rsidR="00423597" w:rsidRPr="00FA4A2C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A4A2C">
              <w:rPr>
                <w:rFonts w:ascii="Times New Roman" w:hAnsi="Times New Roman"/>
                <w:b/>
                <w:lang w:val="sk-SK"/>
              </w:rPr>
              <w:t>3.1</w:t>
            </w:r>
            <w:r w:rsidRPr="00FA4A2C"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423597" w:rsidRPr="00D86A15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86A15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423597" w:rsidRPr="00D86A15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 xml:space="preserve">V prípade poskytnutia investičnej pomoci ide o podporu konkrétnych spoločností. Nepriamo budú podporené aj iné podnikateľské subjekty </w:t>
            </w:r>
            <w:r>
              <w:rPr>
                <w:rFonts w:ascii="Times New Roman" w:hAnsi="Times New Roman"/>
                <w:lang w:val="sk-SK"/>
              </w:rPr>
              <w:t xml:space="preserve">                </w:t>
            </w:r>
            <w:r w:rsidRPr="00D86A15">
              <w:rPr>
                <w:rFonts w:ascii="Times New Roman" w:hAnsi="Times New Roman"/>
                <w:lang w:val="sk-SK"/>
              </w:rPr>
              <w:t xml:space="preserve">na strane priamych dodávateľov vstupov pre podporené spoločnosti, ako aj na strane ostatných spoločností ako napr. firmy v oblasti stravovacích a upratovacích služieb, a pod.  </w:t>
            </w:r>
          </w:p>
          <w:p w:rsidR="00423597" w:rsidRPr="00D86A15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2211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1763D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</w:p>
          <w:p w:rsidR="00423597" w:rsidRPr="00FA4A2C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A4A2C">
              <w:rPr>
                <w:rFonts w:ascii="Times New Roman" w:hAnsi="Times New Roman"/>
                <w:b/>
                <w:lang w:val="sk-SK"/>
              </w:rPr>
              <w:t>3.2</w:t>
            </w:r>
            <w:r w:rsidRPr="00FA4A2C"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423597" w:rsidRPr="00D86A15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86A15" w:rsidP="005541DA">
            <w:pPr>
              <w:bidi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 xml:space="preserve">Nepredpokladá sa zvyšovanie nákladov podnikov v dôsledku prijatia návrhu. Naopak, očakávajú sa priame aj nepriame prínosy podnikov. V dôsledku komplexnosti a zložitosti riešenej problematiky nie je ale možné kvalifikovane odhadnúť konkrétny rozsah prínosov.  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1763D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1763D">
              <w:rPr>
                <w:rFonts w:ascii="Times New Roman" w:hAnsi="Times New Roman"/>
                <w:lang w:val="sk-SK"/>
              </w:rPr>
              <w:t> </w:t>
            </w:r>
          </w:p>
          <w:p w:rsidR="00423597" w:rsidRPr="00FA4A2C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A4A2C">
              <w:rPr>
                <w:rFonts w:ascii="Times New Roman" w:hAnsi="Times New Roman"/>
                <w:b/>
                <w:lang w:val="sk-SK"/>
              </w:rPr>
              <w:t>3.3</w:t>
            </w:r>
            <w:r w:rsidRPr="00FA4A2C"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423597" w:rsidRPr="00D86A15" w:rsidP="005541DA">
            <w:pPr>
              <w:bidi w:val="0"/>
              <w:spacing w:after="0" w:line="240" w:lineRule="auto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86A15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 xml:space="preserve">Nepredpokladajú sa žiadne dodatočné administratívne náklady plynúce pre podniky z implementácie návrhu.  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1763D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1763D">
              <w:rPr>
                <w:rFonts w:ascii="Times New Roman" w:hAnsi="Times New Roman"/>
                <w:lang w:val="sk-SK"/>
              </w:rPr>
              <w:t> </w:t>
            </w:r>
          </w:p>
          <w:p w:rsidR="00423597" w:rsidRPr="00FA4A2C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A4A2C">
              <w:rPr>
                <w:rFonts w:ascii="Times New Roman" w:hAnsi="Times New Roman"/>
                <w:b/>
                <w:lang w:val="sk-SK"/>
              </w:rPr>
              <w:t>3.4</w:t>
            </w:r>
            <w:r w:rsidRPr="00FA4A2C"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423597" w:rsidRPr="00D86A15" w:rsidP="005541DA">
            <w:pPr>
              <w:bidi w:val="0"/>
              <w:spacing w:after="0" w:line="240" w:lineRule="auto"/>
              <w:ind w:left="360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86A15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 xml:space="preserve">Prijatie predloženého návrhu zákona nepredpokladá žiadne vplyvy na štandardné operácie na trhu.  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1763D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1763D">
              <w:rPr>
                <w:rFonts w:ascii="Times New Roman" w:hAnsi="Times New Roman"/>
                <w:lang w:val="sk-SK"/>
              </w:rPr>
              <w:t> </w:t>
            </w:r>
          </w:p>
          <w:p w:rsidR="00423597" w:rsidRPr="00FA4A2C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FA4A2C">
              <w:rPr>
                <w:rFonts w:ascii="Times New Roman" w:hAnsi="Times New Roman"/>
                <w:b/>
                <w:lang w:val="sk-SK"/>
              </w:rPr>
              <w:t>3.5</w:t>
            </w:r>
            <w:r w:rsidRPr="00FA4A2C"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423597" w:rsidRPr="00D86A15" w:rsidP="005541D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sk-SK"/>
              </w:rPr>
            </w:pPr>
            <w:r w:rsidRPr="00D86A15">
              <w:rPr>
                <w:rFonts w:ascii="Times New Roman" w:hAnsi="Times New Roman"/>
                <w:lang w:val="sk-SK"/>
              </w:rPr>
              <w:t>Poskytnutie investičnej pomoci bude mať dlhodobo pozitívny vplyv ekonomický rast a na zamestnanosť.</w:t>
            </w:r>
          </w:p>
        </w:tc>
      </w:tr>
    </w:tbl>
    <w:p w:rsidR="00423597" w:rsidRPr="00FA4A2C" w:rsidP="00423597">
      <w:pPr>
        <w:bidi w:val="0"/>
        <w:rPr>
          <w:rFonts w:ascii="Times New Roman" w:hAnsi="Times New Roman"/>
          <w:lang w:val="sk-SK"/>
        </w:rPr>
      </w:pPr>
      <w:r w:rsidRPr="00D1763D">
        <w:rPr>
          <w:rFonts w:ascii="Times New Roman" w:hAnsi="Times New Roman" w:cs="Calibri"/>
          <w:lang w:val="sk-SK"/>
        </w:rPr>
        <w:t> </w:t>
      </w:r>
    </w:p>
    <w:p w:rsidR="00423597" w:rsidP="00423597">
      <w:pPr>
        <w:bidi w:val="0"/>
        <w:jc w:val="both"/>
        <w:rPr>
          <w:rFonts w:ascii="Times New Roman" w:hAnsi="Times New Roman" w:cs="Calibri"/>
          <w:lang w:val="sk-SK"/>
        </w:rPr>
      </w:pPr>
    </w:p>
    <w:p w:rsidR="00423597" w:rsidP="00423597">
      <w:pPr>
        <w:bidi w:val="0"/>
        <w:jc w:val="both"/>
        <w:rPr>
          <w:rFonts w:ascii="Times New Roman" w:hAnsi="Times New Roman" w:cs="Calibri"/>
          <w:lang w:val="sk-SK"/>
        </w:rPr>
      </w:pPr>
    </w:p>
    <w:p w:rsidR="00423597" w:rsidP="00423597">
      <w:pPr>
        <w:bidi w:val="0"/>
        <w:jc w:val="both"/>
        <w:rPr>
          <w:rFonts w:ascii="Times New Roman" w:hAnsi="Times New Roman" w:cs="Calibri"/>
          <w:lang w:val="sk-SK"/>
        </w:rPr>
      </w:pPr>
    </w:p>
    <w:p w:rsidR="00423597" w:rsidP="00423597">
      <w:pPr>
        <w:bidi w:val="0"/>
        <w:jc w:val="both"/>
        <w:rPr>
          <w:rFonts w:ascii="Times New Roman" w:hAnsi="Times New Roman" w:cs="Calibri"/>
          <w:lang w:val="sk-SK"/>
        </w:rPr>
      </w:pPr>
    </w:p>
    <w:p w:rsidR="00423597" w:rsidP="00423597">
      <w:pPr>
        <w:bidi w:val="0"/>
        <w:jc w:val="both"/>
        <w:rPr>
          <w:rFonts w:ascii="Times New Roman" w:hAnsi="Times New Roman" w:cs="Calibri"/>
          <w:lang w:val="sk-SK"/>
        </w:rPr>
      </w:pPr>
    </w:p>
    <w:p w:rsidR="00423597" w:rsidP="00423597">
      <w:pPr>
        <w:bidi w:val="0"/>
        <w:jc w:val="both"/>
        <w:rPr>
          <w:rFonts w:ascii="Times New Roman" w:hAnsi="Times New Roman" w:cs="Calibri"/>
          <w:lang w:val="sk-SK"/>
        </w:rPr>
      </w:pPr>
    </w:p>
    <w:p w:rsidR="00423597" w:rsidP="00423597">
      <w:pPr>
        <w:bidi w:val="0"/>
        <w:jc w:val="both"/>
        <w:rPr>
          <w:rFonts w:ascii="Times New Roman" w:hAnsi="Times New Roman" w:cs="Calibri"/>
          <w:lang w:val="sk-SK"/>
        </w:rPr>
      </w:pPr>
    </w:p>
    <w:p w:rsidR="00423597" w:rsidP="00423597">
      <w:pPr>
        <w:bidi w:val="0"/>
        <w:jc w:val="both"/>
        <w:rPr>
          <w:rFonts w:ascii="Times New Roman" w:hAnsi="Times New Roman" w:cs="Calibri"/>
          <w:lang w:val="sk-SK"/>
        </w:rPr>
      </w:pPr>
    </w:p>
    <w:p w:rsidR="00423597" w:rsidRPr="00D86A15" w:rsidP="00423597">
      <w:pPr>
        <w:bidi w:val="0"/>
        <w:jc w:val="both"/>
        <w:rPr>
          <w:rFonts w:ascii="Times New Roman" w:hAnsi="Times New Roman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23597"/>
    <w:rsid w:val="00423597"/>
    <w:rsid w:val="005541DA"/>
    <w:rsid w:val="00C70584"/>
    <w:rsid w:val="00D1763D"/>
    <w:rsid w:val="00D86A15"/>
    <w:rsid w:val="00DE6F79"/>
    <w:rsid w:val="00E4097C"/>
    <w:rsid w:val="00FA4A2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9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hu-H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544</Words>
  <Characters>3105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Jokmanova Diana</dc:creator>
  <cp:lastModifiedBy>Gašparíková, Jarmila</cp:lastModifiedBy>
  <cp:revision>2</cp:revision>
  <dcterms:created xsi:type="dcterms:W3CDTF">2015-01-09T10:33:00Z</dcterms:created>
  <dcterms:modified xsi:type="dcterms:W3CDTF">2015-01-09T10:33:00Z</dcterms:modified>
</cp:coreProperties>
</file>