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 w:rsidP="00025981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="00C7498F">
              <w:rPr>
                <w:rFonts w:ascii="Times New Roman" w:hAnsi="Times New Roman"/>
                <w:sz w:val="20"/>
                <w:szCs w:val="20"/>
              </w:rPr>
              <w:t xml:space="preserve">právneho predpisu </w:t>
            </w:r>
            <w:r w:rsidR="008E6FBF">
              <w:rPr>
                <w:rFonts w:ascii="Times New Roman" w:hAnsi="Times New Roman"/>
                <w:sz w:val="20"/>
                <w:szCs w:val="20"/>
              </w:rPr>
              <w:t>s</w:t>
            </w:r>
            <w:r w:rsidR="009928E0">
              <w:rPr>
                <w:rFonts w:ascii="Times New Roman" w:hAnsi="Times New Roman"/>
                <w:sz w:val="20"/>
                <w:szCs w:val="20"/>
              </w:rPr>
              <w:t xml:space="preserve"> právom Európskej únie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90BA5" w:rsidP="00C877BA">
            <w:pPr>
              <w:pStyle w:val="Default"/>
              <w:bidi w:val="0"/>
              <w:spacing w:after="0" w:line="240" w:lineRule="auto"/>
              <w:rPr>
                <w:b/>
                <w:sz w:val="20"/>
                <w:szCs w:val="20"/>
              </w:rPr>
            </w:pPr>
            <w:r w:rsidR="00C877BA">
              <w:rPr>
                <w:b/>
                <w:bCs/>
                <w:sz w:val="19"/>
                <w:szCs w:val="19"/>
              </w:rPr>
              <w:t>S</w:t>
            </w:r>
            <w:r w:rsidR="00C877BA">
              <w:rPr>
                <w:b/>
                <w:bCs/>
                <w:sz w:val="19"/>
                <w:szCs w:val="19"/>
              </w:rPr>
              <w:t xml:space="preserve">mernica </w:t>
            </w:r>
            <w:r w:rsidR="00C877BA">
              <w:rPr>
                <w:b/>
                <w:bCs/>
                <w:sz w:val="19"/>
                <w:szCs w:val="19"/>
              </w:rPr>
              <w:t>E</w:t>
            </w:r>
            <w:r w:rsidR="00C877BA">
              <w:rPr>
                <w:b/>
                <w:bCs/>
                <w:sz w:val="19"/>
                <w:szCs w:val="19"/>
              </w:rPr>
              <w:t xml:space="preserve">urópskeho parlamentu a Rady </w:t>
            </w:r>
            <w:r w:rsidR="00C877BA">
              <w:rPr>
                <w:b/>
                <w:bCs/>
                <w:sz w:val="19"/>
                <w:szCs w:val="19"/>
              </w:rPr>
              <w:t xml:space="preserve"> 2010/75/EÚ</w:t>
            </w:r>
            <w:r w:rsidR="00CA32B7">
              <w:rPr>
                <w:b/>
                <w:bCs/>
                <w:sz w:val="19"/>
                <w:szCs w:val="19"/>
              </w:rPr>
              <w:t xml:space="preserve"> </w:t>
            </w:r>
            <w:r w:rsidR="00C877BA">
              <w:rPr>
                <w:b/>
                <w:bCs/>
                <w:sz w:val="19"/>
                <w:szCs w:val="19"/>
              </w:rPr>
              <w:t>z 24. novembra 2010 o priemyselných emisiách</w:t>
            </w:r>
            <w:r w:rsidR="00C877BA">
              <w:rPr>
                <w:b/>
                <w:bCs/>
                <w:sz w:val="19"/>
                <w:szCs w:val="19"/>
              </w:rPr>
              <w:t xml:space="preserve"> </w:t>
            </w:r>
            <w:r w:rsidR="00C877BA">
              <w:rPr>
                <w:b/>
                <w:bCs/>
                <w:sz w:val="19"/>
                <w:szCs w:val="19"/>
              </w:rPr>
              <w:t>(integrovaná prevencia a kontrola znečisťovania životného prostredia)</w:t>
            </w:r>
          </w:p>
          <w:p w:rsidR="008C54C3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F9D" w:rsidR="00C877BA">
              <w:rPr>
                <w:rFonts w:ascii="Times New Roman" w:hAnsi="Times New Roman"/>
                <w:b/>
                <w:sz w:val="22"/>
                <w:szCs w:val="22"/>
              </w:rPr>
              <w:t xml:space="preserve">Návrh zákona o odpadoch a o zmene a doplnení niektorých zákonov 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="005170A9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</w:t>
            </w:r>
          </w:p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(Č, O,</w:t>
            </w:r>
          </w:p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584B3F" w:rsidP="003C7BB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Spôsob transp.</w:t>
            </w:r>
          </w:p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</w:t>
            </w:r>
          </w:p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A02F9D" w:rsidP="004D5F33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0000AF" w:rsidP="004D5F33">
            <w:pPr>
              <w:pStyle w:val="Footer"/>
              <w:tabs>
                <w:tab w:val="clear" w:pos="4536"/>
                <w:tab w:val="clear" w:pos="9072"/>
              </w:tabs>
              <w:bidi w:val="0"/>
              <w:spacing w:after="0" w:line="240" w:lineRule="auto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0000AF">
              <w:rPr>
                <w:rFonts w:ascii="EUAlbertina" w:hAnsi="EUAlbertina" w:cs="EUAlbertina"/>
                <w:color w:val="000000"/>
                <w:sz w:val="19"/>
                <w:szCs w:val="19"/>
              </w:rPr>
              <w:t>Č</w:t>
            </w:r>
            <w:r w:rsidRPr="000000AF" w:rsidR="00903C02">
              <w:rPr>
                <w:rFonts w:ascii="EUAlbertina" w:hAnsi="EUAlbertina" w:cs="EUAlbertina"/>
                <w:color w:val="000000"/>
                <w:sz w:val="19"/>
                <w:szCs w:val="19"/>
              </w:rPr>
              <w:t>67</w:t>
            </w:r>
            <w:r w:rsidRPr="000000AF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 </w:t>
            </w:r>
          </w:p>
          <w:p w:rsidR="003E2843" w:rsidP="004D5F33">
            <w:pPr>
              <w:pStyle w:val="Footer"/>
              <w:tabs>
                <w:tab w:val="clear" w:pos="4536"/>
                <w:tab w:val="clear" w:pos="9072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3C02" w:rsidP="00903C02">
            <w:pPr>
              <w:pStyle w:val="Default"/>
              <w:bidi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Zákaz vypúšťania odpadov</w:t>
            </w:r>
          </w:p>
          <w:p w:rsidR="00903C02" w:rsidP="00903C02">
            <w:pPr>
              <w:pStyle w:val="Default"/>
              <w:bidi w:val="0"/>
              <w:spacing w:after="0" w:line="240" w:lineRule="auto"/>
              <w:rPr>
                <w:sz w:val="19"/>
                <w:szCs w:val="19"/>
              </w:rPr>
            </w:pPr>
          </w:p>
          <w:p w:rsidR="00903C02" w:rsidP="00903C02">
            <w:pPr>
              <w:pStyle w:val="Default"/>
              <w:bidi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Členské štáty zakážu vypúšťať do akéhokoľvek vodného útvaru, mora alebo oceá</w:t>
            </w:r>
            <w:r>
              <w:rPr>
                <w:sz w:val="19"/>
                <w:szCs w:val="19"/>
              </w:rPr>
              <w:t>nu tieto odpady:</w:t>
            </w:r>
          </w:p>
          <w:p w:rsidR="00903C02" w:rsidP="00903C02">
            <w:pPr>
              <w:pStyle w:val="Default"/>
              <w:bidi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a)pevný odpad;</w:t>
            </w:r>
          </w:p>
          <w:p w:rsidR="00903C02" w:rsidP="00903C02">
            <w:pPr>
              <w:pStyle w:val="Default"/>
              <w:bidi w:val="0"/>
              <w:spacing w:after="255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b)matečné lúhy, ktoré vznikajú vo fáze filtrácie po hydrolýze roztoku TiOSO</w:t>
            </w:r>
            <w:r>
              <w:rPr>
                <w:sz w:val="12"/>
                <w:szCs w:val="12"/>
              </w:rPr>
              <w:t xml:space="preserve">4 </w:t>
            </w:r>
            <w:r>
              <w:rPr>
                <w:sz w:val="19"/>
                <w:szCs w:val="19"/>
              </w:rPr>
              <w:t>zo zariadení, ktoré používajú sulfátový proces; vrátane kyslých odpadov spojených s takýmito lúhmi, ktoré obsahujú celkovo viac ako 0,5 % voľnej kyseliny sírovej a rôznych ťažkých kovov, a vrátane takých matečných lúhov, ktoré sa riedia, až kým neobsahujú 0,5 % alebo menej voľnej kyseliny sírovej;</w:t>
            </w:r>
          </w:p>
          <w:p w:rsidR="00903C02" w:rsidP="00903C02">
            <w:pPr>
              <w:pStyle w:val="Default"/>
              <w:bidi w:val="0"/>
              <w:spacing w:after="255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c) odpady zo zariadení, ktoré používajú chloridový proces, ktoré obsahujú viac ako 0,5 % voľnej kyseliny chlorovodíkovej a rôznych ťažkých kovov, vrátane takých odpadov, ktoré sa riedia, až kým neobsahujú 0,5 % alebo menej voľnej kyseliny chlorovodíkovej;</w:t>
            </w:r>
          </w:p>
          <w:p w:rsidR="003E2843" w:rsidRPr="00C7498F" w:rsidP="00C7498F">
            <w:pPr>
              <w:pStyle w:val="Default"/>
              <w:bidi w:val="0"/>
              <w:spacing w:after="563" w:line="240" w:lineRule="auto"/>
              <w:rPr>
                <w:sz w:val="19"/>
                <w:szCs w:val="19"/>
              </w:rPr>
            </w:pPr>
            <w:r w:rsidR="00903C02">
              <w:rPr>
                <w:sz w:val="19"/>
                <w:szCs w:val="19"/>
              </w:rPr>
              <w:t>d) filtračné soli, kaly a kvapalný odpad, ktoré vznikajú pri úprave (zahusťovaní alebo neutralizácii) odpadu uvedeného v písmenách b) a c) a obsahujú rôzne ťažké kovy, avšak nezahŕňajú neutralizovaný a prefiltrovaný či dekantovaný odpad, ktorý obsahuje len stopy ťažkých kovov a má pred akýmkoľvek zri</w:t>
            </w:r>
            <w:r w:rsidR="00903C02">
              <w:rPr>
                <w:sz w:val="19"/>
                <w:szCs w:val="19"/>
              </w:rPr>
              <w:t>edením hodnotu pH vyššiu ako 5,5.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6B5688" w:rsidP="000F735D">
            <w:pPr>
              <w:pStyle w:val="Dtumvpredpise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000AF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§</w:t>
            </w:r>
            <w:r w:rsidRPr="000000AF" w:rsidR="00903C02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78</w:t>
            </w:r>
            <w:r w:rsidRPr="000000AF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 xml:space="preserve"> O</w:t>
            </w:r>
            <w:r w:rsidRPr="000000AF" w:rsidR="00903C02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5981" w:rsidRPr="00025981" w:rsidP="00025981">
            <w:pPr>
              <w:pStyle w:val="ListParagraph"/>
              <w:tabs>
                <w:tab w:val="left" w:pos="426"/>
              </w:tabs>
              <w:autoSpaceDN/>
              <w:bidi w:val="0"/>
              <w:spacing w:after="0" w:line="240" w:lineRule="auto"/>
              <w:ind w:left="0"/>
              <w:contextualSpacing/>
              <w:jc w:val="both"/>
              <w:textAlignment w:val="auto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Zakazuje sa zneškodniť vypustením a vhodením  do vodného recipienta, mora a oceánu</w:t>
            </w:r>
          </w:p>
          <w:p w:rsidR="00025981" w:rsidRPr="00025981" w:rsidP="00392F5F">
            <w:pPr>
              <w:pStyle w:val="ListParagraph"/>
              <w:numPr>
                <w:ilvl w:val="1"/>
                <w:numId w:val="2"/>
              </w:numPr>
              <w:autoSpaceDE w:val="0"/>
              <w:bidi w:val="0"/>
              <w:spacing w:after="0" w:line="240" w:lineRule="auto"/>
              <w:ind w:left="851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tuhý odpad,</w:t>
            </w:r>
          </w:p>
          <w:p w:rsidR="00025981" w:rsidRPr="00025981" w:rsidP="00392F5F">
            <w:pPr>
              <w:pStyle w:val="ListParagraph"/>
              <w:numPr>
                <w:ilvl w:val="1"/>
                <w:numId w:val="2"/>
              </w:numPr>
              <w:autoSpaceDE w:val="0"/>
              <w:bidi w:val="0"/>
              <w:spacing w:after="0" w:line="240" w:lineRule="auto"/>
              <w:ind w:left="851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matečné lúhy, ktoré vznikajú vo fáze filtrácie po hydrolýze roztoku TiOSO4 zo zariadení, ktoré používajú sulfátový proces; vrátane kyslých odpadov spojených s takýmito lúhmi, ktoré obsahujú celkovo viac ako 0,5 % voľnej kyseliny sírovej a rôznych ťažkých kovov, a vrátane takých matečných lúhov, ktoré sa riedia, až kým neobsahujú 0,5 % alebo menej voľnej kyseliny sírovej,</w:t>
            </w:r>
          </w:p>
          <w:p w:rsidR="00025981" w:rsidRPr="00025981" w:rsidP="00392F5F">
            <w:pPr>
              <w:pStyle w:val="ListParagraph"/>
              <w:numPr>
                <w:ilvl w:val="1"/>
                <w:numId w:val="2"/>
              </w:numPr>
              <w:autoSpaceDE w:val="0"/>
              <w:bidi w:val="0"/>
              <w:spacing w:after="0" w:line="240" w:lineRule="auto"/>
              <w:ind w:left="851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odpady zo zariadení, ktoré používa</w:t>
            </w: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 xml:space="preserve">jú chloridový proces, ktoré obsahujú viac ako 0,5 % voľnej kyseliny chlorovodíkovej a rôznych ťažkých kovov, vrátane takých odpadov, ktoré sa riedia, až kým neobsahujú 0,5 % alebo menej voľnej kyseliny chlorovodíkovej, </w:t>
            </w:r>
          </w:p>
          <w:p w:rsidR="00025981" w:rsidRPr="00025981" w:rsidP="00392F5F">
            <w:pPr>
              <w:pStyle w:val="ListParagraph"/>
              <w:numPr>
                <w:ilvl w:val="1"/>
                <w:numId w:val="2"/>
              </w:numPr>
              <w:autoSpaceDE w:val="0"/>
              <w:bidi w:val="0"/>
              <w:spacing w:after="0" w:line="240" w:lineRule="auto"/>
              <w:ind w:left="851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filtračné soli, kaly a kvapalný odpad, ktoré vznikajú pri úprave (zahusťovaní alebo neutralizácii) odpadu uvedeného v písmenách b) a c) a obsahujú rôzne ťažké kovy, avšak nezahŕňajú neutralizovaný a prefiltrovaný či dekantovaný odpad, ktorý obsahuje len stopy ťažkých kovov a má pred akýmkoľvek zriedením hodnotu pH vyššiu ako 5,5.</w:t>
            </w:r>
          </w:p>
          <w:p w:rsidR="003E2843" w:rsidRPr="007D7AE1" w:rsidP="00F15CFF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="003B3CA6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3B3CA6" w:rsidP="004D5F3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3B3CA6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Č</w:t>
            </w:r>
            <w:r w:rsidRPr="003B3CA6" w:rsidR="00903C02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68</w:t>
            </w:r>
          </w:p>
          <w:p w:rsidR="003E2843" w:rsidRPr="003B3CA6" w:rsidP="004D5F3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3C02" w:rsidP="00903C02">
            <w:pPr>
              <w:pStyle w:val="Default"/>
              <w:bidi w:val="0"/>
              <w:spacing w:after="0" w:line="240" w:lineRule="auto"/>
              <w:rPr>
                <w:sz w:val="19"/>
                <w:szCs w:val="19"/>
              </w:rPr>
            </w:pPr>
            <w:r w:rsidRPr="00E85855">
              <w:rPr>
                <w:sz w:val="19"/>
                <w:szCs w:val="19"/>
              </w:rPr>
              <w:t>Kontrola emisií do vody</w:t>
            </w:r>
          </w:p>
          <w:p w:rsidR="003E2843" w:rsidRPr="00E85855" w:rsidP="00903C02">
            <w:pPr>
              <w:pStyle w:val="PARA"/>
              <w:bidi w:val="0"/>
              <w:spacing w:before="0" w:line="240" w:lineRule="auto"/>
              <w:jc w:val="left"/>
              <w:rPr>
                <w:rFonts w:ascii="EUAlbertina" w:hAnsi="EUAlbertina" w:cs="EUAlbertina"/>
                <w:color w:val="000000"/>
                <w:sz w:val="19"/>
                <w:szCs w:val="19"/>
                <w:lang w:val="sk-SK"/>
              </w:rPr>
            </w:pPr>
            <w:r w:rsidRPr="00E85855" w:rsidR="00903C02">
              <w:rPr>
                <w:rFonts w:ascii="EUAlbertina" w:hAnsi="EUAlbertina" w:cs="EUAlbertina"/>
                <w:color w:val="000000"/>
                <w:sz w:val="19"/>
                <w:szCs w:val="19"/>
                <w:lang w:val="sk-SK"/>
              </w:rPr>
              <w:t>Emisie zo zariadení do vody nesmú presiahnuť limitné hodnoty emisií stanovené v prílohe VIII časť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1</w:t>
            </w:r>
          </w:p>
          <w:p w:rsidR="004E4D36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E85855" w:rsidP="00025981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§78 O5</w:t>
            </w:r>
            <w:r w:rsid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 xml:space="preserve"> </w:t>
            </w:r>
            <w:r w:rsid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Pb)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5981" w:rsidRPr="00025981" w:rsidP="00025981">
            <w:pPr>
              <w:bidi w:val="0"/>
              <w:spacing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Prevádzkovateľ zariadenia, v  ktorom  sa  vyrába  oxid  titaničitý,  je  povinný  postupovať v súlade s osobitnými predpismi104) na ochranu ľudského zdravia a životného prostredia tak, aby nedošlo k ohrozeniu zložiek životného prostredia a škodlivému ovplyvneniu výletných miest alebo krajiny a najmä</w:t>
            </w:r>
          </w:p>
          <w:p w:rsidR="00025981" w:rsidRPr="00025981" w:rsidP="00392F5F">
            <w:pPr>
              <w:pStyle w:val="ListParagraph"/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vo vzťahu k emisiám zo zariadenia do ovzdušia a vody v súlade s osobitnými predpismi</w:t>
            </w:r>
            <w:r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rtl w:val="0"/>
                <w:lang w:eastAsia="sk-SK"/>
              </w:rPr>
              <w:footnoteReference w:id="2"/>
            </w: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) plniť monitorovacie povinnosti a povinnosť dodržiavania emisných limitov,</w:t>
            </w:r>
          </w:p>
          <w:p w:rsidR="003E2843" w:rsidRPr="00E85855" w:rsidP="003649CB">
            <w:pPr>
              <w:pStyle w:val="ListParagraph"/>
              <w:bidi w:val="0"/>
              <w:spacing w:after="0" w:line="240" w:lineRule="auto"/>
              <w:ind w:left="851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P="004D5F3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lang w:eastAsia="sk-SK"/>
              </w:rPr>
            </w:pPr>
            <w:r w:rsidRPr="003B3CA6">
              <w:rPr>
                <w:rFonts w:ascii="Times New Roman" w:hAnsi="Times New Roman"/>
                <w:sz w:val="19"/>
                <w:szCs w:val="19"/>
              </w:rPr>
              <w:t>Č6</w:t>
            </w:r>
            <w:r w:rsidRPr="003B3CA6" w:rsidR="003B3CA6">
              <w:rPr>
                <w:rFonts w:ascii="Times New Roman" w:hAnsi="Times New Roman"/>
                <w:sz w:val="19"/>
                <w:szCs w:val="19"/>
              </w:rPr>
              <w:t>9(1)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CA6" w:rsidP="003B3CA6">
            <w:pPr>
              <w:pStyle w:val="Default"/>
              <w:bidi w:val="0"/>
              <w:spacing w:after="0" w:line="240" w:lineRule="auto"/>
              <w:rPr>
                <w:sz w:val="19"/>
                <w:szCs w:val="19"/>
              </w:rPr>
            </w:pPr>
            <w:r w:rsidRPr="00E85855">
              <w:rPr>
                <w:sz w:val="19"/>
                <w:szCs w:val="19"/>
              </w:rPr>
              <w:t>Prevencia a riadenie emisií do ovzdušia</w:t>
            </w:r>
          </w:p>
          <w:p w:rsidR="003E2843" w:rsidRPr="00E85855" w:rsidP="003B3CA6">
            <w:pPr>
              <w:widowControl/>
              <w:autoSpaceDE w:val="0"/>
              <w:autoSpaceDN w:val="0"/>
              <w:bidi w:val="0"/>
              <w:spacing w:before="0" w:after="0"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 w:rsidR="003B3CA6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Musí sa predchádzať emisiám kvapôčok kyseliny zo zariadenia;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E85855" w:rsidP="00025981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§</w:t>
            </w:r>
            <w:r w:rsid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78</w:t>
            </w: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 xml:space="preserve"> O</w:t>
            </w:r>
            <w:r w:rsid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5 Pa)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5981" w:rsidRPr="00025981" w:rsidP="00025981">
            <w:pPr>
              <w:bidi w:val="0"/>
              <w:spacing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Prevádzkovateľ zariadenia, v  ktorom  sa  vyrába  oxid  titaničitý,  je  povinný  postupovať v súlade s osobitnými predpismi104) na ochranu ľudského zdravia a životného prostredia tak, aby nedošlo k ohrozeniu zložiek životného prostredia a škodlivému ovplyvneniu výletných miest alebo krajiny a najmä</w:t>
            </w:r>
          </w:p>
          <w:p w:rsidR="00E85855" w:rsidRPr="00E85855" w:rsidP="00E858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a)</w:t>
            </w:r>
            <w:r w:rsidRPr="00E85855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predchádzať emisiám kvapôčok kyseliny zo zariadenia,</w:t>
            </w:r>
          </w:p>
          <w:p w:rsidR="003E2843" w:rsidRPr="00E85855" w:rsidP="00E85855">
            <w:pPr>
              <w:pStyle w:val="ListParagraph"/>
              <w:bidi w:val="0"/>
              <w:spacing w:after="0" w:line="240" w:lineRule="auto"/>
              <w:ind w:left="144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477872" w:rsidP="0047787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77872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477872" w:rsidP="0047787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P="003B3CA6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>Č</w:t>
            </w:r>
            <w:r w:rsidR="003B3CA6"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>69(2)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E85855" w:rsidP="003B3CA6">
            <w:pPr>
              <w:pStyle w:val="BodyText2"/>
              <w:bidi w:val="0"/>
              <w:spacing w:after="0" w:line="240" w:lineRule="auto"/>
              <w:jc w:val="left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E85855" w:rsidR="003B3CA6">
              <w:rPr>
                <w:rFonts w:ascii="EUAlbertina" w:hAnsi="EUAlbertina" w:cs="EUAlbertina"/>
                <w:color w:val="000000"/>
                <w:sz w:val="19"/>
                <w:szCs w:val="19"/>
              </w:rPr>
              <w:t>Emisie zo zariadení do ovzdu</w:t>
            </w:r>
            <w:r w:rsidRPr="00E85855" w:rsidR="003B3CA6">
              <w:rPr>
                <w:rFonts w:ascii="EUAlbertina" w:hAnsi="EUAlbertina" w:cs="EUAlbertina"/>
                <w:color w:val="000000"/>
                <w:sz w:val="19"/>
                <w:szCs w:val="19"/>
              </w:rPr>
              <w:t>šia nesmú presiahnuť limitné hodnoty emisií stanovené v prílohe VIII časti 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E85855" w:rsidP="00025981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§</w:t>
            </w:r>
            <w:r w:rsid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78 O5 Pb)</w:t>
            </w:r>
            <w:r w:rsidRP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5981" w:rsidRPr="00025981" w:rsidP="00025981">
            <w:pPr>
              <w:bidi w:val="0"/>
              <w:spacing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Prevádzkovateľ zariadenia, v  ktorom  sa  vyrába  oxid  titaničitý,  je  povinný  postupovať v súlade s osobitnými predpismi104) na ochranu ľudského zdravia a ž</w:t>
            </w: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ivotného prostredia tak, aby nedošlo k ohrozeniu zložiek životného prostredia a škodlivému ovplyvneniu výletných miest alebo krajiny a najmä</w:t>
            </w:r>
          </w:p>
          <w:p w:rsidR="00025981" w:rsidRPr="00025981" w:rsidP="00392F5F">
            <w:pPr>
              <w:pStyle w:val="ListParagraph"/>
              <w:numPr>
                <w:numId w:val="3"/>
              </w:numPr>
              <w:bidi w:val="0"/>
              <w:spacing w:after="0" w:line="240" w:lineRule="auto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vo vzťahu k emisiám zo zariadenia do ovzdušia a vody v súlade s osobitnými predpismi</w:t>
            </w:r>
            <w:r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rtl w:val="0"/>
                <w:lang w:eastAsia="sk-SK"/>
              </w:rPr>
              <w:footnoteReference w:id="3"/>
            </w: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) plniť monitorovacie povinnosti a povinnosť dodržiavania emisných limitov,</w:t>
            </w:r>
          </w:p>
          <w:p w:rsidR="003E2843" w:rsidRPr="00E85855" w:rsidP="00477872">
            <w:pPr>
              <w:pStyle w:val="Normlny"/>
              <w:bidi w:val="0"/>
              <w:spacing w:after="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477872" w:rsidP="0047787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77872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477872" w:rsidP="0047787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P="004D5F3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>Č7</w:t>
            </w:r>
            <w:r w:rsidR="003B3CA6"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 xml:space="preserve"> </w:t>
            </w:r>
          </w:p>
          <w:p w:rsidR="003E2843" w:rsidP="003B3CA6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 xml:space="preserve"> (1)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CA6" w:rsidP="003B3CA6">
            <w:pPr>
              <w:pStyle w:val="Default"/>
              <w:bidi w:val="0"/>
              <w:spacing w:after="0" w:line="240" w:lineRule="auto"/>
              <w:rPr>
                <w:sz w:val="19"/>
                <w:szCs w:val="19"/>
              </w:rPr>
            </w:pPr>
            <w:r w:rsidRPr="00E85855">
              <w:rPr>
                <w:sz w:val="19"/>
                <w:szCs w:val="19"/>
              </w:rPr>
              <w:t>Monitorovanie emisií</w:t>
            </w:r>
          </w:p>
          <w:p w:rsidR="003E2843" w:rsidRPr="00E85855" w:rsidP="003B3CA6">
            <w:pPr>
              <w:pStyle w:val="BodyText21"/>
              <w:bidi w:val="0"/>
              <w:spacing w:before="0" w:after="0" w:line="240" w:lineRule="auto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E85855" w:rsidR="003B3CA6">
              <w:rPr>
                <w:rFonts w:ascii="EUAlbertina" w:hAnsi="EUAlbertina" w:cs="EUAlbertina"/>
                <w:color w:val="000000"/>
                <w:sz w:val="19"/>
                <w:szCs w:val="19"/>
              </w:rPr>
              <w:t>Členské štáty zabezpečia monitorovanie emisií do vody, aby príslušný orgán mohol kontrolovať dodržiavanie podmienok povolenia a článku 68.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1</w:t>
            </w:r>
          </w:p>
          <w:p w:rsidR="00C55499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  <w:r w:rsidRPr="00E85855" w:rsid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§</w:t>
            </w:r>
            <w:r w:rsid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78 O5 P</w:t>
            </w:r>
            <w:r w:rsidR="00001A5B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b</w:t>
            </w:r>
            <w:r w:rsid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)</w:t>
            </w:r>
          </w:p>
          <w:p w:rsidR="00001A5B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761B83" w:rsidP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761B83" w:rsidP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 w:rsidP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§78 O6</w:t>
            </w:r>
          </w:p>
          <w:p w:rsidR="00001A5B" w:rsidRPr="00E85855">
            <w:pPr>
              <w:pStyle w:val="Dtumvpredpise"/>
              <w:bidi w:val="0"/>
              <w:spacing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5981" w:rsidRPr="00025981" w:rsidP="00025981">
            <w:pPr>
              <w:bidi w:val="0"/>
              <w:spacing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Prevádzkovateľ zariadenia, v  ktorom  sa  vyrába  oxid  titaničitý,  je  povinný  postupovať v súlade s osobitnými predpismi104) na ochranu ľudského zdravia a životné</w:t>
            </w: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ho prostredia tak, aby nedošlo k ohrozeniu zložiek životného prostredia a škodlivému ovplyvneniu výletných miest alebo krajiny a najmä</w:t>
            </w:r>
          </w:p>
          <w:p w:rsidR="00025981" w:rsidRPr="00025981" w:rsidP="00392F5F">
            <w:pPr>
              <w:pStyle w:val="ListParagraph"/>
              <w:numPr>
                <w:numId w:val="4"/>
              </w:numPr>
              <w:bidi w:val="0"/>
              <w:spacing w:after="0" w:line="240" w:lineRule="auto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vo vzťahu k emisiám zo zariadenia do ovzdušia a vody v súlade s osobitnými predpismi</w:t>
            </w:r>
            <w:r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rtl w:val="0"/>
                <w:lang w:eastAsia="sk-SK"/>
              </w:rPr>
              <w:footnoteReference w:id="4"/>
            </w: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) plniť monitorovacie povinnosti a povinnosť dodržiavania emisných limitov,</w:t>
            </w:r>
          </w:p>
          <w:p w:rsidR="003E2843" w:rsidP="007413C9">
            <w:pPr>
              <w:pStyle w:val="Normlny"/>
              <w:bidi w:val="0"/>
              <w:spacing w:after="0" w:line="240" w:lineRule="auto"/>
              <w:jc w:val="both"/>
              <w:rPr>
                <w:rFonts w:ascii="EUAlbertina" w:hAnsi="EUAlbertina" w:cs="EUAlbertina"/>
                <w:b/>
                <w:color w:val="000000"/>
                <w:sz w:val="19"/>
                <w:szCs w:val="19"/>
                <w:lang w:eastAsia="sk-SK"/>
              </w:rPr>
            </w:pPr>
          </w:p>
          <w:p w:rsidR="00001A5B" w:rsidRPr="00E85855" w:rsidP="007413C9">
            <w:pPr>
              <w:pStyle w:val="Normlny"/>
              <w:bidi w:val="0"/>
              <w:spacing w:after="0" w:line="240" w:lineRule="auto"/>
              <w:jc w:val="both"/>
              <w:rPr>
                <w:rFonts w:ascii="EUAlbertina" w:hAnsi="EUAlbertina" w:cs="EUAlbertina"/>
                <w:b/>
                <w:color w:val="000000"/>
                <w:sz w:val="19"/>
                <w:szCs w:val="19"/>
                <w:lang w:eastAsia="sk-SK"/>
              </w:rPr>
            </w:pPr>
            <w:r w:rsidRPr="00E158AE" w:rsidR="00025981">
              <w:rPr>
                <w:rFonts w:ascii="Times New Roman" w:hAnsi="Times New Roman"/>
              </w:rPr>
              <w:t xml:space="preserve">Pri zneškodňovaní odpadu z výroby oxidu titaničitého činnosťou D15, ukladaním na skládku odpadov činnosťou D1 alebo  činnosťou D3 uvedených v prílohe č. 3 vykonáva orgán štátnej správy odpadového hospodárstva alebo ním poverená osoba periodické monitorovanie tohto odpadu, ako aj prostredia, do ktorého sa odpad vypúšťa, ukladá alebo vstrekuje; ustanovenia § 112 ods. 3 a 4 nie sú týmto dotknuté.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477872" w:rsidP="0047787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77872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477872" w:rsidP="0047787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P="003B3CA6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</w:pPr>
            <w:r w:rsidR="003B3CA6"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>Č70</w:t>
            </w:r>
            <w:r>
              <w:rPr>
                <w:rFonts w:ascii="Times New Roman" w:hAnsi="Times New Roman"/>
                <w:spacing w:val="0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 w:rsidRPr="00E85855" w:rsidP="003B3CA6">
            <w:pPr>
              <w:widowControl/>
              <w:autoSpaceDE w:val="0"/>
              <w:autoSpaceDN w:val="0"/>
              <w:bidi w:val="0"/>
              <w:spacing w:before="0" w:after="0"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 w:rsidR="003B3CA6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Členské štáty zabezpečia monitorovanie emisií do ovzdušia, aby príslušný orgán mohol kontrolovať dodržiavanie podmienok povolenia a článku 69. V rámci tohto monitorovania je potrebné vykonávať aspoň monitorovanie emisií podľa prílohy VIII časť 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E85855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1</w:t>
            </w:r>
          </w:p>
          <w:p w:rsidR="00C55499" w:rsidRPr="00E85855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  <w:r w:rsidRPr="00E85855" w:rsid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 xml:space="preserve">§ </w:t>
            </w:r>
            <w:r w:rsidR="00E85855"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78 O5 Pb)</w:t>
            </w: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  <w:p w:rsidR="00001A5B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  <w:t>§78 O6</w:t>
            </w:r>
          </w:p>
          <w:p w:rsidR="00001A5B" w:rsidRPr="00E85855">
            <w:pPr>
              <w:pStyle w:val="Normlny"/>
              <w:bidi w:val="0"/>
              <w:spacing w:after="0" w:line="240" w:lineRule="auto"/>
              <w:jc w:val="center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5981" w:rsidRPr="00025981" w:rsidP="00025981">
            <w:pPr>
              <w:bidi w:val="0"/>
              <w:spacing w:line="240" w:lineRule="auto"/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Prevádzkovateľ zariadenia, v  ktorom  sa  vyrába  oxid  titaničitý,  je  povinný  postupovať v súlade s osobitnými predpismi104) na ochranu ľudského zdravia a životného prostredia tak, aby nedošlo k ohrozeniu zlo</w:t>
            </w:r>
            <w:r w:rsidRPr="00025981">
              <w:rPr>
                <w:rFonts w:ascii="EUAlbertina" w:hAnsi="EUAlbertina" w:cs="EUAlbertina"/>
                <w:color w:val="000000"/>
                <w:spacing w:val="0"/>
                <w:sz w:val="19"/>
                <w:szCs w:val="19"/>
                <w:lang w:eastAsia="sk-SK"/>
              </w:rPr>
              <w:t>žiek životného prostredia a škodlivému ovplyvneniu výletných miest alebo krajiny a najmä</w:t>
            </w:r>
          </w:p>
          <w:p w:rsidR="00025981" w:rsidRPr="00025981" w:rsidP="00392F5F">
            <w:pPr>
              <w:pStyle w:val="ListParagraph"/>
              <w:numPr>
                <w:numId w:val="5"/>
              </w:numPr>
              <w:bidi w:val="0"/>
              <w:spacing w:after="0" w:line="240" w:lineRule="auto"/>
              <w:jc w:val="both"/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</w:pP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vo vzťahu k emisiám zo zariadenia do ovzdušia a vody v súlade s osobitnými predpismi</w:t>
            </w:r>
            <w:r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rtl w:val="0"/>
                <w:lang w:eastAsia="sk-SK"/>
              </w:rPr>
              <w:footnoteReference w:id="5"/>
            </w:r>
            <w:r w:rsidRPr="00025981">
              <w:rPr>
                <w:rFonts w:ascii="EUAlbertina" w:hAnsi="EUAlbertina" w:cs="EUAlbertina"/>
                <w:color w:val="000000"/>
                <w:kern w:val="0"/>
                <w:sz w:val="19"/>
                <w:szCs w:val="19"/>
                <w:lang w:eastAsia="sk-SK"/>
              </w:rPr>
              <w:t>) plniť monitorovacie povinnosti a povinnosť dodržiavania emisných limitov,</w:t>
            </w:r>
          </w:p>
          <w:p w:rsidR="00025981" w:rsidP="00025981">
            <w:pPr>
              <w:pStyle w:val="Normlny"/>
              <w:bidi w:val="0"/>
              <w:spacing w:after="0" w:line="240" w:lineRule="auto"/>
              <w:jc w:val="both"/>
              <w:rPr>
                <w:rFonts w:ascii="EUAlbertina" w:hAnsi="EUAlbertina" w:cs="EUAlbertina"/>
                <w:b/>
                <w:color w:val="000000"/>
                <w:sz w:val="19"/>
                <w:szCs w:val="19"/>
                <w:lang w:eastAsia="sk-SK"/>
              </w:rPr>
            </w:pPr>
          </w:p>
          <w:p w:rsidR="00001A5B" w:rsidRPr="00E85855" w:rsidP="00025981">
            <w:pPr>
              <w:pStyle w:val="Normlny"/>
              <w:bidi w:val="0"/>
              <w:spacing w:after="0" w:line="240" w:lineRule="auto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  <w:lang w:eastAsia="sk-SK"/>
              </w:rPr>
            </w:pPr>
            <w:r w:rsidRPr="00E158AE" w:rsidR="00025981">
              <w:rPr>
                <w:rFonts w:ascii="Times New Roman" w:hAnsi="Times New Roman"/>
              </w:rPr>
              <w:t xml:space="preserve">Pri zneškodňovaní odpadu z výroby oxidu titaničitého činnosťou D15, ukladaním na skládku odpadov činnosťou D1 alebo  činnosťou D3 uvedených v prílohe č. 3 vykonáva orgán štátnej správy odpadového hospodárstva alebo ním poverená osoba periodické monitorovanie tohto odpadu, ako aj prostredia, do ktorého sa odpad vypúšťa, ukladá alebo vstrekuje; ustanovenia § 112 ods. 3 a 4 nie sú týmto dotknuté.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84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E284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0066CD">
      <w:pPr>
        <w:widowControl/>
        <w:bidi w:val="0"/>
        <w:spacing w:before="0" w:after="0"/>
        <w:jc w:val="left"/>
        <w:rPr>
          <w:rFonts w:ascii="Times New Roman" w:hAnsi="Times New Roman"/>
          <w:spacing w:val="0"/>
          <w:sz w:val="20"/>
          <w:szCs w:val="20"/>
          <w:lang w:eastAsia="sk-SK"/>
        </w:rPr>
      </w:pPr>
    </w:p>
    <w:p w:rsidR="008C54C3" w:rsidRPr="000066CD">
      <w:pPr>
        <w:widowControl/>
        <w:bidi w:val="0"/>
        <w:spacing w:before="0" w:after="0"/>
        <w:jc w:val="left"/>
        <w:rPr>
          <w:rFonts w:ascii="Times New Roman" w:hAnsi="Times New Roman"/>
          <w:spacing w:val="0"/>
          <w:sz w:val="20"/>
          <w:szCs w:val="20"/>
          <w:lang w:eastAsia="sk-SK"/>
        </w:rPr>
      </w:pPr>
      <w:r w:rsidRPr="000066CD">
        <w:rPr>
          <w:rFonts w:ascii="Times New Roman" w:hAnsi="Times New Roman"/>
          <w:spacing w:val="0"/>
          <w:sz w:val="20"/>
          <w:szCs w:val="20"/>
          <w:lang w:eastAsia="sk-SK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0066C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066CD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Č – článok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O – odsek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V – veta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 xml:space="preserve">P – </w:t>
            </w:r>
            <w:r w:rsidRPr="000066CD" w:rsidR="00DA0F6C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číslo</w:t>
            </w: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 xml:space="preserve"> (</w:t>
            </w:r>
            <w:r w:rsidRPr="000066CD" w:rsidR="00DA0F6C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písmeno</w:t>
            </w: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)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0066C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066CD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N – bežná transpozícia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O – transpozícia s možnosťou voľby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D – transpozícia podľa úvahy (dobrovoľná)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0066C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066CD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Č – článok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§ – paragraf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O – odsek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V – veta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0066C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066CD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0066CD" w:rsidP="008C54C3">
            <w:pPr>
              <w:widowControl/>
              <w:bidi w:val="0"/>
              <w:spacing w:before="0" w:after="0" w:line="240" w:lineRule="auto"/>
              <w:ind w:left="290" w:hanging="290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Ú – úplná zhoda (ak bolo ustanovenie smernice prebraté v celom rozsahu, správne, v príslušnej form</w:t>
            </w:r>
            <w:r w:rsidRPr="000066CD" w:rsidR="00391DC5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e</w:t>
            </w: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 xml:space="preserve">, so zabezpečenou inštitucionálnou </w:t>
            </w:r>
            <w:r w:rsidR="00AB1604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i</w:t>
            </w: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nfraštruktúrou, s príslušnými sankciami a vo vzájomnej súvislosti)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Č – čiastočná zhoda (ak minimálne jedna z podmienok úplnej zhody nie je splnená)</w:t>
            </w:r>
          </w:p>
          <w:p w:rsidR="008C54C3" w:rsidRPr="000066CD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066CD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C54C3" w:rsidRPr="000066CD">
            <w:pPr>
              <w:widowControl/>
              <w:bidi w:val="0"/>
              <w:spacing w:before="0" w:after="0" w:line="240" w:lineRule="auto"/>
              <w:ind w:left="290" w:hanging="290"/>
              <w:jc w:val="left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 w:rsidRPr="000066CD"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n.a. – neaplikovateľnosť (ak sa ustanovenie smernice netýka SR alebo nie je potrebné ho prebrať)</w:t>
            </w:r>
          </w:p>
        </w:tc>
      </w:tr>
    </w:tbl>
    <w:p w:rsidR="008C54C3">
      <w:pPr>
        <w:widowControl/>
        <w:bidi w:val="0"/>
        <w:spacing w:before="0" w:after="0"/>
        <w:jc w:val="left"/>
        <w:rPr>
          <w:rFonts w:ascii="Times New Roman" w:hAnsi="Times New Roman"/>
          <w:spacing w:val="0"/>
          <w:sz w:val="20"/>
          <w:szCs w:val="20"/>
          <w:lang w:eastAsia="sk-SK"/>
        </w:rPr>
      </w:pPr>
    </w:p>
    <w:p w:rsidR="008C54C3">
      <w:pPr>
        <w:widowControl/>
        <w:bidi w:val="0"/>
        <w:spacing w:before="0" w:after="0"/>
        <w:jc w:val="left"/>
        <w:rPr>
          <w:rFonts w:ascii="Times New Roman" w:hAnsi="Times New Roman"/>
          <w:spacing w:val="0"/>
          <w:sz w:val="20"/>
          <w:szCs w:val="20"/>
          <w:lang w:eastAsia="sk-SK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>
            <w:pPr>
              <w:widowControl/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>
            <w:pPr>
              <w:widowControl/>
              <w:autoSpaceDE w:val="0"/>
              <w:autoSpaceDN w:val="0"/>
              <w:bidi w:val="0"/>
              <w:spacing w:before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P="00A23AB6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="005E644F">
              <w:rPr>
                <w:rFonts w:ascii="Times New Roman" w:hAnsi="Times New Roman"/>
                <w:lang w:eastAsia="sk-SK"/>
              </w:rPr>
              <w:t xml:space="preserve">Zákon č. </w:t>
            </w:r>
            <w:r w:rsidR="00930063">
              <w:rPr>
                <w:rFonts w:ascii="Times New Roman" w:hAnsi="Times New Roman"/>
                <w:lang w:eastAsia="sk-SK"/>
              </w:rPr>
              <w:t>…</w:t>
            </w:r>
            <w:r w:rsidR="005E644F">
              <w:rPr>
                <w:rFonts w:ascii="Times New Roman" w:hAnsi="Times New Roman"/>
                <w:lang w:eastAsia="sk-SK"/>
              </w:rPr>
              <w:t>/20</w:t>
            </w:r>
            <w:r w:rsidR="00930063">
              <w:rPr>
                <w:rFonts w:ascii="Times New Roman" w:hAnsi="Times New Roman"/>
                <w:lang w:eastAsia="sk-SK"/>
              </w:rPr>
              <w:t>1</w:t>
            </w:r>
            <w:r w:rsidR="00A23AB6">
              <w:rPr>
                <w:rFonts w:ascii="Times New Roman" w:hAnsi="Times New Roman"/>
                <w:lang w:eastAsia="sk-SK"/>
              </w:rPr>
              <w:t>5</w:t>
            </w:r>
            <w:r w:rsidR="005E644F">
              <w:rPr>
                <w:rFonts w:ascii="Times New Roman" w:hAnsi="Times New Roman"/>
                <w:lang w:eastAsia="sk-SK"/>
              </w:rPr>
              <w:t xml:space="preserve"> </w:t>
            </w:r>
            <w:r w:rsidR="00930063">
              <w:rPr>
                <w:rFonts w:ascii="Times New Roman" w:hAnsi="Times New Roman"/>
                <w:lang w:eastAsia="sk-SK"/>
              </w:rPr>
              <w:t xml:space="preserve"> </w:t>
            </w:r>
            <w:r w:rsidR="005E644F">
              <w:rPr>
                <w:rFonts w:ascii="Times New Roman" w:hAnsi="Times New Roman"/>
                <w:lang w:eastAsia="sk-SK"/>
              </w:rPr>
              <w:t>Z. z. o odpadoch a o zmene a doplnení niektorých zákonov</w:t>
            </w:r>
            <w:r w:rsidR="00A23AB6">
              <w:rPr>
                <w:rFonts w:ascii="Times New Roman" w:hAnsi="Times New Roman"/>
                <w:lang w:eastAsia="sk-SK"/>
              </w:rPr>
              <w:t xml:space="preserve"> v znení neskorší</w:t>
            </w:r>
            <w:r w:rsidR="003649CB">
              <w:rPr>
                <w:rFonts w:ascii="Times New Roman" w:hAnsi="Times New Roman"/>
                <w:lang w:eastAsia="sk-SK"/>
              </w:rPr>
              <w:t>ch predpisov</w:t>
            </w:r>
            <w:r w:rsidR="005E644F">
              <w:rPr>
                <w:rFonts w:ascii="Times New Roman" w:hAnsi="Times New Roman"/>
                <w:lang w:eastAsia="sk-SK"/>
              </w:rPr>
              <w:t xml:space="preserve">  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16D2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C16D2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="00C55499">
              <w:rPr>
                <w:rFonts w:ascii="Times New Roman" w:hAnsi="Times New Roman"/>
                <w:lang w:eastAsia="sk-SK"/>
              </w:rPr>
              <w:t>Návrh vyhlášky MŽP SR č. .../2015 Z. z</w:t>
            </w:r>
            <w:r w:rsidRPr="00C55499" w:rsidR="00C55499">
              <w:rPr>
                <w:rFonts w:ascii="Times New Roman" w:hAnsi="Times New Roman"/>
                <w:lang w:eastAsia="sk-SK"/>
              </w:rPr>
              <w:t xml:space="preserve">., </w:t>
            </w:r>
            <w:r w:rsidRPr="00C55499" w:rsidR="00C55499">
              <w:rPr>
                <w:rFonts w:ascii="Times New Roman" w:hAnsi="Times New Roman"/>
                <w:bCs/>
                <w:color w:val="000000"/>
                <w:lang w:eastAsia="sk-SK"/>
              </w:rPr>
              <w:t>ktorou sa vykonávajú  niektoré ustanovenia zákona o odpadoch</w:t>
            </w:r>
            <w:r w:rsidRPr="00E73270" w:rsidR="00C554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225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16D2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C16D2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16D2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C16D2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16D2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C16D2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3EB4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C3EB4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48D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26B9A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6B9A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26B9A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1629F6" w:rsidP="00392F5F">
            <w:pPr>
              <w:widowControl/>
              <w:numPr>
                <w:numId w:val="1"/>
              </w:num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eastAsia="sk-SK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629F6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3A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E4D36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08103A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F45">
      <w:pPr>
        <w:widowControl/>
        <w:autoSpaceDE w:val="0"/>
        <w:autoSpaceDN w:val="0"/>
        <w:bidi w:val="0"/>
        <w:spacing w:before="0" w:after="0"/>
        <w:jc w:val="left"/>
        <w:rPr>
          <w:rFonts w:ascii="Times New Roman" w:hAnsi="Times New Roman"/>
          <w:spacing w:val="0"/>
          <w:sz w:val="24"/>
          <w:szCs w:val="24"/>
          <w:lang w:eastAsia="sk-SK"/>
        </w:rPr>
      </w:pPr>
      <w:r>
        <w:rPr>
          <w:rFonts w:ascii="Times New Roman" w:hAnsi="Times New Roman"/>
          <w:spacing w:val="0"/>
          <w:sz w:val="24"/>
          <w:szCs w:val="24"/>
          <w:lang w:eastAsia="sk-SK"/>
        </w:rPr>
        <w:separator/>
      </w:r>
    </w:p>
  </w:footnote>
  <w:footnote w:type="continuationSeparator" w:id="1">
    <w:p w:rsidR="00A06F45">
      <w:pPr>
        <w:widowControl/>
        <w:autoSpaceDE w:val="0"/>
        <w:autoSpaceDN w:val="0"/>
        <w:bidi w:val="0"/>
        <w:spacing w:before="0" w:after="0"/>
        <w:jc w:val="left"/>
        <w:rPr>
          <w:rFonts w:ascii="Times New Roman" w:hAnsi="Times New Roman"/>
          <w:spacing w:val="0"/>
          <w:sz w:val="24"/>
          <w:szCs w:val="24"/>
          <w:lang w:eastAsia="sk-SK"/>
        </w:rPr>
      </w:pPr>
      <w:r>
        <w:rPr>
          <w:rFonts w:ascii="Times New Roman" w:hAnsi="Times New Roman"/>
          <w:spacing w:val="0"/>
          <w:sz w:val="24"/>
          <w:szCs w:val="24"/>
          <w:lang w:eastAsia="sk-SK"/>
        </w:rPr>
        <w:continuationSeparator/>
      </w:r>
    </w:p>
  </w:footnote>
  <w:footnote w:id="2">
    <w:p w:rsidP="00025981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025981">
        <w:rPr>
          <w:rStyle w:val="FootnoteReference"/>
          <w:rFonts w:ascii="Times New Roman" w:hAnsi="Times New Roman"/>
        </w:rPr>
        <w:footnoteRef/>
      </w:r>
      <w:r w:rsidR="00025981">
        <w:rPr>
          <w:rFonts w:ascii="Times New Roman" w:hAnsi="Times New Roman"/>
        </w:rPr>
        <w:t xml:space="preserve">) Napríklad zákon č. 364/2004 Z. z., zákon č. 137/2010 Z. z. </w:t>
      </w:r>
    </w:p>
  </w:footnote>
  <w:footnote w:id="3">
    <w:p w:rsidP="00025981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025981">
        <w:rPr>
          <w:rStyle w:val="FootnoteReference"/>
          <w:rFonts w:ascii="Times New Roman" w:hAnsi="Times New Roman"/>
        </w:rPr>
        <w:footnoteRef/>
      </w:r>
      <w:r w:rsidR="00025981">
        <w:rPr>
          <w:rFonts w:ascii="Times New Roman" w:hAnsi="Times New Roman"/>
        </w:rPr>
        <w:t xml:space="preserve">) Napríklad zákon č. 364/2004 Z. z., zákon č. 137/2010 Z. z. </w:t>
      </w:r>
    </w:p>
  </w:footnote>
  <w:footnote w:id="4">
    <w:p w:rsidP="00025981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025981">
        <w:rPr>
          <w:rStyle w:val="FootnoteReference"/>
          <w:rFonts w:ascii="Times New Roman" w:hAnsi="Times New Roman"/>
        </w:rPr>
        <w:footnoteRef/>
      </w:r>
      <w:r w:rsidR="00025981">
        <w:rPr>
          <w:rFonts w:ascii="Times New Roman" w:hAnsi="Times New Roman"/>
        </w:rPr>
        <w:t xml:space="preserve">) Napríklad zákon č. 364/2004 Z. z., zákon č. 137/2010 Z. z. </w:t>
      </w:r>
    </w:p>
  </w:footnote>
  <w:footnote w:id="5">
    <w:p w:rsidP="00025981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025981">
        <w:rPr>
          <w:rStyle w:val="FootnoteReference"/>
          <w:rFonts w:ascii="Times New Roman" w:hAnsi="Times New Roman"/>
        </w:rPr>
        <w:footnoteRef/>
      </w:r>
      <w:r w:rsidR="00025981">
        <w:rPr>
          <w:rFonts w:ascii="Times New Roman" w:hAnsi="Times New Roman"/>
        </w:rPr>
        <w:t xml:space="preserve">) Napríklad zákon č. 364/2004 Z. z., zákon č. 137/2010 Z. z.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B"/>
    <w:multiLevelType w:val="singleLevel"/>
    <w:tmpl w:val="0000005B"/>
    <w:name w:val="WW8Num9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F91F3C"/>
    <w:multiLevelType w:val="hybridMultilevel"/>
    <w:tmpl w:val="05667520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3634E5"/>
    <w:multiLevelType w:val="hybridMultilevel"/>
    <w:tmpl w:val="51D032F8"/>
    <w:lvl w:ilvl="0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BB03C7E"/>
    <w:multiLevelType w:val="hybridMultilevel"/>
    <w:tmpl w:val="51D032F8"/>
    <w:lvl w:ilvl="0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3885D26"/>
    <w:multiLevelType w:val="hybridMultilevel"/>
    <w:tmpl w:val="937476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00AF"/>
    <w:rsid w:val="00001A5B"/>
    <w:rsid w:val="00002644"/>
    <w:rsid w:val="00005235"/>
    <w:rsid w:val="000066CD"/>
    <w:rsid w:val="00007884"/>
    <w:rsid w:val="00011425"/>
    <w:rsid w:val="00017051"/>
    <w:rsid w:val="00017711"/>
    <w:rsid w:val="00024359"/>
    <w:rsid w:val="00024F37"/>
    <w:rsid w:val="00025981"/>
    <w:rsid w:val="000277C3"/>
    <w:rsid w:val="00037E1E"/>
    <w:rsid w:val="000479BA"/>
    <w:rsid w:val="0005042F"/>
    <w:rsid w:val="00062118"/>
    <w:rsid w:val="000725ED"/>
    <w:rsid w:val="0008103A"/>
    <w:rsid w:val="00094983"/>
    <w:rsid w:val="000A6B9A"/>
    <w:rsid w:val="000B5541"/>
    <w:rsid w:val="000C3694"/>
    <w:rsid w:val="000D4F33"/>
    <w:rsid w:val="000D78E7"/>
    <w:rsid w:val="000E0B0C"/>
    <w:rsid w:val="000F3E10"/>
    <w:rsid w:val="000F735D"/>
    <w:rsid w:val="000F7E7C"/>
    <w:rsid w:val="001000FE"/>
    <w:rsid w:val="00102891"/>
    <w:rsid w:val="00105541"/>
    <w:rsid w:val="001075FB"/>
    <w:rsid w:val="001210B2"/>
    <w:rsid w:val="00121FC7"/>
    <w:rsid w:val="001259B5"/>
    <w:rsid w:val="001322B0"/>
    <w:rsid w:val="00133765"/>
    <w:rsid w:val="0014091E"/>
    <w:rsid w:val="00145388"/>
    <w:rsid w:val="00146548"/>
    <w:rsid w:val="00147070"/>
    <w:rsid w:val="00151218"/>
    <w:rsid w:val="001554E3"/>
    <w:rsid w:val="001565DA"/>
    <w:rsid w:val="001629F6"/>
    <w:rsid w:val="00171E09"/>
    <w:rsid w:val="00171FF9"/>
    <w:rsid w:val="0017523F"/>
    <w:rsid w:val="001755F3"/>
    <w:rsid w:val="00177C7A"/>
    <w:rsid w:val="0018091A"/>
    <w:rsid w:val="00180A6E"/>
    <w:rsid w:val="00183470"/>
    <w:rsid w:val="00185D49"/>
    <w:rsid w:val="00187A59"/>
    <w:rsid w:val="00187E62"/>
    <w:rsid w:val="0019046B"/>
    <w:rsid w:val="00190A0A"/>
    <w:rsid w:val="00195FD7"/>
    <w:rsid w:val="001963D3"/>
    <w:rsid w:val="00196590"/>
    <w:rsid w:val="0019686F"/>
    <w:rsid w:val="001A0796"/>
    <w:rsid w:val="001A49B4"/>
    <w:rsid w:val="001B1B79"/>
    <w:rsid w:val="001C3DFE"/>
    <w:rsid w:val="001C4427"/>
    <w:rsid w:val="001C45B6"/>
    <w:rsid w:val="001C4F25"/>
    <w:rsid w:val="001D0140"/>
    <w:rsid w:val="001D6AA4"/>
    <w:rsid w:val="001E126B"/>
    <w:rsid w:val="001F092C"/>
    <w:rsid w:val="001F553F"/>
    <w:rsid w:val="002008E1"/>
    <w:rsid w:val="00201808"/>
    <w:rsid w:val="00203C54"/>
    <w:rsid w:val="00211148"/>
    <w:rsid w:val="002170A5"/>
    <w:rsid w:val="00220009"/>
    <w:rsid w:val="002257DA"/>
    <w:rsid w:val="00236AAB"/>
    <w:rsid w:val="002534F2"/>
    <w:rsid w:val="002579F7"/>
    <w:rsid w:val="00261552"/>
    <w:rsid w:val="002642D3"/>
    <w:rsid w:val="00266310"/>
    <w:rsid w:val="00267369"/>
    <w:rsid w:val="00267CEF"/>
    <w:rsid w:val="00270D5B"/>
    <w:rsid w:val="0027533F"/>
    <w:rsid w:val="002823A0"/>
    <w:rsid w:val="00283F1E"/>
    <w:rsid w:val="0029480E"/>
    <w:rsid w:val="002B0CEB"/>
    <w:rsid w:val="002B15A1"/>
    <w:rsid w:val="002B2174"/>
    <w:rsid w:val="002B39D3"/>
    <w:rsid w:val="002C33E6"/>
    <w:rsid w:val="002C37E0"/>
    <w:rsid w:val="002C7098"/>
    <w:rsid w:val="002D0670"/>
    <w:rsid w:val="002D391C"/>
    <w:rsid w:val="002E7FEA"/>
    <w:rsid w:val="002F0C3E"/>
    <w:rsid w:val="00301045"/>
    <w:rsid w:val="0032400A"/>
    <w:rsid w:val="003259D0"/>
    <w:rsid w:val="00326FEB"/>
    <w:rsid w:val="00332198"/>
    <w:rsid w:val="00335C6C"/>
    <w:rsid w:val="003360D5"/>
    <w:rsid w:val="003428B0"/>
    <w:rsid w:val="00343E3C"/>
    <w:rsid w:val="00347F47"/>
    <w:rsid w:val="00354C1D"/>
    <w:rsid w:val="00357884"/>
    <w:rsid w:val="003649CB"/>
    <w:rsid w:val="00370291"/>
    <w:rsid w:val="00370971"/>
    <w:rsid w:val="00373A9C"/>
    <w:rsid w:val="003770EC"/>
    <w:rsid w:val="003816B1"/>
    <w:rsid w:val="003840C0"/>
    <w:rsid w:val="00390D3B"/>
    <w:rsid w:val="00391DC5"/>
    <w:rsid w:val="00392029"/>
    <w:rsid w:val="00392F5F"/>
    <w:rsid w:val="00395729"/>
    <w:rsid w:val="00397410"/>
    <w:rsid w:val="003A46F4"/>
    <w:rsid w:val="003A5D5B"/>
    <w:rsid w:val="003A7A42"/>
    <w:rsid w:val="003B3CA6"/>
    <w:rsid w:val="003C3EB4"/>
    <w:rsid w:val="003C55BD"/>
    <w:rsid w:val="003C5B42"/>
    <w:rsid w:val="003C7BB2"/>
    <w:rsid w:val="003D11EE"/>
    <w:rsid w:val="003D3792"/>
    <w:rsid w:val="003D6C94"/>
    <w:rsid w:val="003E06C1"/>
    <w:rsid w:val="003E24BD"/>
    <w:rsid w:val="003E2843"/>
    <w:rsid w:val="003F5316"/>
    <w:rsid w:val="003F5964"/>
    <w:rsid w:val="003F6928"/>
    <w:rsid w:val="003F6EE5"/>
    <w:rsid w:val="004005D3"/>
    <w:rsid w:val="00421C97"/>
    <w:rsid w:val="00425215"/>
    <w:rsid w:val="00426D06"/>
    <w:rsid w:val="00430A36"/>
    <w:rsid w:val="0043556A"/>
    <w:rsid w:val="00441C23"/>
    <w:rsid w:val="00444360"/>
    <w:rsid w:val="00446B81"/>
    <w:rsid w:val="00447A93"/>
    <w:rsid w:val="0045057B"/>
    <w:rsid w:val="00450A8B"/>
    <w:rsid w:val="00453DC5"/>
    <w:rsid w:val="00457412"/>
    <w:rsid w:val="00465E32"/>
    <w:rsid w:val="00471047"/>
    <w:rsid w:val="00477872"/>
    <w:rsid w:val="004940B9"/>
    <w:rsid w:val="004941A4"/>
    <w:rsid w:val="004A2323"/>
    <w:rsid w:val="004B0315"/>
    <w:rsid w:val="004D19F0"/>
    <w:rsid w:val="004D234E"/>
    <w:rsid w:val="004D5F33"/>
    <w:rsid w:val="004D7ACD"/>
    <w:rsid w:val="004E0906"/>
    <w:rsid w:val="004E2FC1"/>
    <w:rsid w:val="004E3F6D"/>
    <w:rsid w:val="004E46EA"/>
    <w:rsid w:val="004E4D36"/>
    <w:rsid w:val="004F0425"/>
    <w:rsid w:val="004F1007"/>
    <w:rsid w:val="004F374A"/>
    <w:rsid w:val="005054D6"/>
    <w:rsid w:val="00505D8B"/>
    <w:rsid w:val="00510990"/>
    <w:rsid w:val="00511BA7"/>
    <w:rsid w:val="005170A9"/>
    <w:rsid w:val="00520388"/>
    <w:rsid w:val="00520850"/>
    <w:rsid w:val="00523094"/>
    <w:rsid w:val="005262FC"/>
    <w:rsid w:val="00526B9A"/>
    <w:rsid w:val="00527ACD"/>
    <w:rsid w:val="005317EF"/>
    <w:rsid w:val="00547DE5"/>
    <w:rsid w:val="005541E2"/>
    <w:rsid w:val="005609C7"/>
    <w:rsid w:val="00561887"/>
    <w:rsid w:val="00565F11"/>
    <w:rsid w:val="00566066"/>
    <w:rsid w:val="005757E9"/>
    <w:rsid w:val="00584B3F"/>
    <w:rsid w:val="005859F5"/>
    <w:rsid w:val="00590362"/>
    <w:rsid w:val="005A5E87"/>
    <w:rsid w:val="005A7F64"/>
    <w:rsid w:val="005B2FAD"/>
    <w:rsid w:val="005B2FD0"/>
    <w:rsid w:val="005B57DA"/>
    <w:rsid w:val="005C30C8"/>
    <w:rsid w:val="005D14D1"/>
    <w:rsid w:val="005D3975"/>
    <w:rsid w:val="005D548D"/>
    <w:rsid w:val="005E644F"/>
    <w:rsid w:val="005F66D6"/>
    <w:rsid w:val="00600842"/>
    <w:rsid w:val="00616EAF"/>
    <w:rsid w:val="00650C8E"/>
    <w:rsid w:val="00664C5A"/>
    <w:rsid w:val="00664C8F"/>
    <w:rsid w:val="00676608"/>
    <w:rsid w:val="006823C3"/>
    <w:rsid w:val="00682410"/>
    <w:rsid w:val="00690BA5"/>
    <w:rsid w:val="00691D1B"/>
    <w:rsid w:val="0069705D"/>
    <w:rsid w:val="006A0467"/>
    <w:rsid w:val="006A1644"/>
    <w:rsid w:val="006A3214"/>
    <w:rsid w:val="006A3E60"/>
    <w:rsid w:val="006B13F0"/>
    <w:rsid w:val="006B2E35"/>
    <w:rsid w:val="006B5688"/>
    <w:rsid w:val="006D46A8"/>
    <w:rsid w:val="006E4A3A"/>
    <w:rsid w:val="006F6B24"/>
    <w:rsid w:val="00713DE5"/>
    <w:rsid w:val="00714D3D"/>
    <w:rsid w:val="00715C9D"/>
    <w:rsid w:val="00722E60"/>
    <w:rsid w:val="00726F34"/>
    <w:rsid w:val="00732CB5"/>
    <w:rsid w:val="007413C9"/>
    <w:rsid w:val="00743A4F"/>
    <w:rsid w:val="0074604D"/>
    <w:rsid w:val="007469D6"/>
    <w:rsid w:val="00747CE1"/>
    <w:rsid w:val="007514F9"/>
    <w:rsid w:val="007516EC"/>
    <w:rsid w:val="0075553D"/>
    <w:rsid w:val="00761B83"/>
    <w:rsid w:val="00763D1D"/>
    <w:rsid w:val="0076408F"/>
    <w:rsid w:val="007647D1"/>
    <w:rsid w:val="00772E65"/>
    <w:rsid w:val="007738B5"/>
    <w:rsid w:val="00773A54"/>
    <w:rsid w:val="007761BD"/>
    <w:rsid w:val="00785788"/>
    <w:rsid w:val="00785F09"/>
    <w:rsid w:val="007904CE"/>
    <w:rsid w:val="00792C5B"/>
    <w:rsid w:val="0079468C"/>
    <w:rsid w:val="00795704"/>
    <w:rsid w:val="00795E99"/>
    <w:rsid w:val="007B163F"/>
    <w:rsid w:val="007B1F37"/>
    <w:rsid w:val="007B3A0D"/>
    <w:rsid w:val="007C43EE"/>
    <w:rsid w:val="007C700D"/>
    <w:rsid w:val="007D467C"/>
    <w:rsid w:val="007D7AE1"/>
    <w:rsid w:val="007E0402"/>
    <w:rsid w:val="007E4FCF"/>
    <w:rsid w:val="007E699C"/>
    <w:rsid w:val="007F038A"/>
    <w:rsid w:val="007F1090"/>
    <w:rsid w:val="007F1742"/>
    <w:rsid w:val="007F1959"/>
    <w:rsid w:val="007F3D1E"/>
    <w:rsid w:val="007F7343"/>
    <w:rsid w:val="00802FD9"/>
    <w:rsid w:val="00803274"/>
    <w:rsid w:val="008157CA"/>
    <w:rsid w:val="00821E85"/>
    <w:rsid w:val="00830605"/>
    <w:rsid w:val="00834F1F"/>
    <w:rsid w:val="00836ADD"/>
    <w:rsid w:val="00840438"/>
    <w:rsid w:val="00863B6E"/>
    <w:rsid w:val="00863E86"/>
    <w:rsid w:val="008723AB"/>
    <w:rsid w:val="00872FA6"/>
    <w:rsid w:val="00874CE8"/>
    <w:rsid w:val="00880FF2"/>
    <w:rsid w:val="00884619"/>
    <w:rsid w:val="00884BC8"/>
    <w:rsid w:val="008A05E4"/>
    <w:rsid w:val="008A32E1"/>
    <w:rsid w:val="008A4F7F"/>
    <w:rsid w:val="008B34C5"/>
    <w:rsid w:val="008B4061"/>
    <w:rsid w:val="008C102F"/>
    <w:rsid w:val="008C54C3"/>
    <w:rsid w:val="008D02EA"/>
    <w:rsid w:val="008E34CA"/>
    <w:rsid w:val="008E4940"/>
    <w:rsid w:val="008E5B95"/>
    <w:rsid w:val="008E6485"/>
    <w:rsid w:val="008E6FBF"/>
    <w:rsid w:val="00901FD1"/>
    <w:rsid w:val="00903C02"/>
    <w:rsid w:val="00903FAA"/>
    <w:rsid w:val="009173E3"/>
    <w:rsid w:val="0092472C"/>
    <w:rsid w:val="0092613D"/>
    <w:rsid w:val="00930063"/>
    <w:rsid w:val="00930367"/>
    <w:rsid w:val="00930373"/>
    <w:rsid w:val="0093605F"/>
    <w:rsid w:val="00940C5E"/>
    <w:rsid w:val="009474DB"/>
    <w:rsid w:val="0096221E"/>
    <w:rsid w:val="00962E73"/>
    <w:rsid w:val="00966F96"/>
    <w:rsid w:val="00971C79"/>
    <w:rsid w:val="00974BF3"/>
    <w:rsid w:val="00981779"/>
    <w:rsid w:val="00982A75"/>
    <w:rsid w:val="00983E8E"/>
    <w:rsid w:val="00985BDF"/>
    <w:rsid w:val="009928E0"/>
    <w:rsid w:val="00997BE3"/>
    <w:rsid w:val="009B247C"/>
    <w:rsid w:val="009B6785"/>
    <w:rsid w:val="009C16D2"/>
    <w:rsid w:val="009C17B9"/>
    <w:rsid w:val="009C3EAC"/>
    <w:rsid w:val="009C6CF5"/>
    <w:rsid w:val="009D255C"/>
    <w:rsid w:val="009D512D"/>
    <w:rsid w:val="009E313C"/>
    <w:rsid w:val="009E3595"/>
    <w:rsid w:val="009E5688"/>
    <w:rsid w:val="009E72BA"/>
    <w:rsid w:val="009F005F"/>
    <w:rsid w:val="009F55AB"/>
    <w:rsid w:val="009F5957"/>
    <w:rsid w:val="009F7A46"/>
    <w:rsid w:val="00A01294"/>
    <w:rsid w:val="00A02F90"/>
    <w:rsid w:val="00A02F9D"/>
    <w:rsid w:val="00A06D52"/>
    <w:rsid w:val="00A06F45"/>
    <w:rsid w:val="00A13A07"/>
    <w:rsid w:val="00A13C3B"/>
    <w:rsid w:val="00A15677"/>
    <w:rsid w:val="00A23661"/>
    <w:rsid w:val="00A23AB6"/>
    <w:rsid w:val="00A2479F"/>
    <w:rsid w:val="00A34A5E"/>
    <w:rsid w:val="00A35667"/>
    <w:rsid w:val="00A37578"/>
    <w:rsid w:val="00A46FEF"/>
    <w:rsid w:val="00A657E5"/>
    <w:rsid w:val="00A661D6"/>
    <w:rsid w:val="00A66B0A"/>
    <w:rsid w:val="00A7256E"/>
    <w:rsid w:val="00A75A0E"/>
    <w:rsid w:val="00A771B4"/>
    <w:rsid w:val="00A800F4"/>
    <w:rsid w:val="00A9063F"/>
    <w:rsid w:val="00A91EEA"/>
    <w:rsid w:val="00A9496A"/>
    <w:rsid w:val="00AA26C9"/>
    <w:rsid w:val="00AA317A"/>
    <w:rsid w:val="00AA3AF2"/>
    <w:rsid w:val="00AB1604"/>
    <w:rsid w:val="00AB6828"/>
    <w:rsid w:val="00AC0FDE"/>
    <w:rsid w:val="00AC4671"/>
    <w:rsid w:val="00AD2461"/>
    <w:rsid w:val="00AD3068"/>
    <w:rsid w:val="00AD45B6"/>
    <w:rsid w:val="00AE05FB"/>
    <w:rsid w:val="00AE0C5E"/>
    <w:rsid w:val="00AE2227"/>
    <w:rsid w:val="00AF1975"/>
    <w:rsid w:val="00AF54A7"/>
    <w:rsid w:val="00AF694B"/>
    <w:rsid w:val="00B00335"/>
    <w:rsid w:val="00B02F18"/>
    <w:rsid w:val="00B12B36"/>
    <w:rsid w:val="00B20FE6"/>
    <w:rsid w:val="00B2105E"/>
    <w:rsid w:val="00B21741"/>
    <w:rsid w:val="00B4038B"/>
    <w:rsid w:val="00B416E0"/>
    <w:rsid w:val="00B67891"/>
    <w:rsid w:val="00B71EDE"/>
    <w:rsid w:val="00B733AC"/>
    <w:rsid w:val="00B741A3"/>
    <w:rsid w:val="00B75293"/>
    <w:rsid w:val="00B75D22"/>
    <w:rsid w:val="00B77A59"/>
    <w:rsid w:val="00B800AD"/>
    <w:rsid w:val="00B80698"/>
    <w:rsid w:val="00B83A9B"/>
    <w:rsid w:val="00B865D8"/>
    <w:rsid w:val="00B9022E"/>
    <w:rsid w:val="00B96B21"/>
    <w:rsid w:val="00BA2521"/>
    <w:rsid w:val="00BB7EC7"/>
    <w:rsid w:val="00BD6382"/>
    <w:rsid w:val="00BE6469"/>
    <w:rsid w:val="00BF7F76"/>
    <w:rsid w:val="00C0067C"/>
    <w:rsid w:val="00C07C04"/>
    <w:rsid w:val="00C10356"/>
    <w:rsid w:val="00C114C1"/>
    <w:rsid w:val="00C11605"/>
    <w:rsid w:val="00C12C4C"/>
    <w:rsid w:val="00C135D2"/>
    <w:rsid w:val="00C17EE2"/>
    <w:rsid w:val="00C21681"/>
    <w:rsid w:val="00C22272"/>
    <w:rsid w:val="00C270D5"/>
    <w:rsid w:val="00C27CCB"/>
    <w:rsid w:val="00C372EA"/>
    <w:rsid w:val="00C41E48"/>
    <w:rsid w:val="00C43BF4"/>
    <w:rsid w:val="00C4546E"/>
    <w:rsid w:val="00C47B22"/>
    <w:rsid w:val="00C55499"/>
    <w:rsid w:val="00C57296"/>
    <w:rsid w:val="00C63994"/>
    <w:rsid w:val="00C7498F"/>
    <w:rsid w:val="00C75029"/>
    <w:rsid w:val="00C75E09"/>
    <w:rsid w:val="00C767B9"/>
    <w:rsid w:val="00C85FBA"/>
    <w:rsid w:val="00C877BA"/>
    <w:rsid w:val="00C93D18"/>
    <w:rsid w:val="00CA2C6E"/>
    <w:rsid w:val="00CA32B7"/>
    <w:rsid w:val="00CA409C"/>
    <w:rsid w:val="00CA478D"/>
    <w:rsid w:val="00CB5D15"/>
    <w:rsid w:val="00CC1A28"/>
    <w:rsid w:val="00CC3258"/>
    <w:rsid w:val="00CC59C5"/>
    <w:rsid w:val="00CC6907"/>
    <w:rsid w:val="00CC6B38"/>
    <w:rsid w:val="00CD4F30"/>
    <w:rsid w:val="00CD7851"/>
    <w:rsid w:val="00CF0E3B"/>
    <w:rsid w:val="00CF424C"/>
    <w:rsid w:val="00CF65DB"/>
    <w:rsid w:val="00D113BD"/>
    <w:rsid w:val="00D14382"/>
    <w:rsid w:val="00D15FD7"/>
    <w:rsid w:val="00D163C2"/>
    <w:rsid w:val="00D30B81"/>
    <w:rsid w:val="00D341F4"/>
    <w:rsid w:val="00D37E8E"/>
    <w:rsid w:val="00D44CFE"/>
    <w:rsid w:val="00D60A41"/>
    <w:rsid w:val="00D61D89"/>
    <w:rsid w:val="00D65628"/>
    <w:rsid w:val="00D67EAF"/>
    <w:rsid w:val="00D77DFB"/>
    <w:rsid w:val="00D82182"/>
    <w:rsid w:val="00D82F9E"/>
    <w:rsid w:val="00D84613"/>
    <w:rsid w:val="00D84A49"/>
    <w:rsid w:val="00D8746D"/>
    <w:rsid w:val="00D90267"/>
    <w:rsid w:val="00D920A6"/>
    <w:rsid w:val="00DA0F6C"/>
    <w:rsid w:val="00DA268D"/>
    <w:rsid w:val="00DB1647"/>
    <w:rsid w:val="00DB1A75"/>
    <w:rsid w:val="00DB20F3"/>
    <w:rsid w:val="00DB2576"/>
    <w:rsid w:val="00DC03A1"/>
    <w:rsid w:val="00DC328B"/>
    <w:rsid w:val="00DD0053"/>
    <w:rsid w:val="00DE023C"/>
    <w:rsid w:val="00DE14C8"/>
    <w:rsid w:val="00DE19F3"/>
    <w:rsid w:val="00DF275A"/>
    <w:rsid w:val="00DF5A4D"/>
    <w:rsid w:val="00E03175"/>
    <w:rsid w:val="00E13B07"/>
    <w:rsid w:val="00E158AE"/>
    <w:rsid w:val="00E16EF5"/>
    <w:rsid w:val="00E20F2A"/>
    <w:rsid w:val="00E267B1"/>
    <w:rsid w:val="00E2704A"/>
    <w:rsid w:val="00E33AD6"/>
    <w:rsid w:val="00E429E7"/>
    <w:rsid w:val="00E4514F"/>
    <w:rsid w:val="00E471DD"/>
    <w:rsid w:val="00E5186B"/>
    <w:rsid w:val="00E61C67"/>
    <w:rsid w:val="00E67CA5"/>
    <w:rsid w:val="00E73270"/>
    <w:rsid w:val="00E73E10"/>
    <w:rsid w:val="00E74214"/>
    <w:rsid w:val="00E83767"/>
    <w:rsid w:val="00E84812"/>
    <w:rsid w:val="00E85855"/>
    <w:rsid w:val="00EA00E9"/>
    <w:rsid w:val="00EC53A8"/>
    <w:rsid w:val="00ED01F6"/>
    <w:rsid w:val="00ED3C66"/>
    <w:rsid w:val="00EF128A"/>
    <w:rsid w:val="00EF1AF2"/>
    <w:rsid w:val="00EF28F0"/>
    <w:rsid w:val="00F15CFF"/>
    <w:rsid w:val="00F1700E"/>
    <w:rsid w:val="00F1708D"/>
    <w:rsid w:val="00F25D54"/>
    <w:rsid w:val="00F273BE"/>
    <w:rsid w:val="00F275B2"/>
    <w:rsid w:val="00F36290"/>
    <w:rsid w:val="00F36516"/>
    <w:rsid w:val="00F37776"/>
    <w:rsid w:val="00F44279"/>
    <w:rsid w:val="00F46B28"/>
    <w:rsid w:val="00F51F3D"/>
    <w:rsid w:val="00F66179"/>
    <w:rsid w:val="00F74A35"/>
    <w:rsid w:val="00F815BB"/>
    <w:rsid w:val="00F8448A"/>
    <w:rsid w:val="00F94CB3"/>
    <w:rsid w:val="00FA25AF"/>
    <w:rsid w:val="00FC1CAF"/>
    <w:rsid w:val="00FD5C57"/>
    <w:rsid w:val="00FE0180"/>
    <w:rsid w:val="00FE27E8"/>
    <w:rsid w:val="00FE3761"/>
    <w:rsid w:val="00FE3FB9"/>
    <w:rsid w:val="00FE7E83"/>
    <w:rsid w:val="00FF03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872"/>
    <w:pPr>
      <w:framePr w:wrap="auto"/>
      <w:widowControl w:val="0"/>
      <w:autoSpaceDE/>
      <w:autoSpaceDN/>
      <w:adjustRightInd/>
      <w:spacing w:before="120" w:after="120"/>
      <w:ind w:left="0" w:right="0"/>
      <w:jc w:val="both"/>
      <w:textAlignment w:val="auto"/>
    </w:pPr>
    <w:rPr>
      <w:rFonts w:cs="Times New Roman"/>
      <w:spacing w:val="20"/>
      <w:sz w:val="22"/>
      <w:szCs w:val="22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widowControl/>
      <w:autoSpaceDE w:val="0"/>
      <w:autoSpaceDN w:val="0"/>
      <w:spacing w:before="0" w:after="0"/>
      <w:jc w:val="center"/>
      <w:outlineLvl w:val="0"/>
    </w:pPr>
    <w:rPr>
      <w:b/>
      <w:bCs/>
      <w:spacing w:val="0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widowControl/>
      <w:autoSpaceDE w:val="0"/>
      <w:autoSpaceDN w:val="0"/>
      <w:spacing w:after="0"/>
      <w:jc w:val="center"/>
      <w:outlineLvl w:val="1"/>
    </w:pPr>
    <w:rPr>
      <w:b/>
      <w:bCs/>
      <w:spacing w:val="0"/>
      <w:sz w:val="20"/>
      <w:szCs w:val="20"/>
      <w:lang w:eastAsia="sk-SK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widowControl/>
      <w:autoSpaceDE w:val="0"/>
      <w:autoSpaceDN w:val="0"/>
      <w:spacing w:before="0" w:after="0"/>
      <w:jc w:val="center"/>
      <w:outlineLvl w:val="3"/>
    </w:pPr>
    <w:rPr>
      <w:b/>
      <w:bCs/>
      <w:spacing w:val="0"/>
      <w:lang w:eastAsia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5757E9"/>
    <w:pPr>
      <w:widowControl/>
      <w:autoSpaceDE w:val="0"/>
      <w:autoSpaceDN w:val="0"/>
      <w:spacing w:before="240" w:after="60"/>
      <w:jc w:val="left"/>
      <w:outlineLvl w:val="4"/>
    </w:pPr>
    <w:rPr>
      <w:b/>
      <w:bCs/>
      <w:i/>
      <w:iCs/>
      <w:spacing w:val="0"/>
      <w:sz w:val="26"/>
      <w:szCs w:val="26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spacing w:val="20"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pPr>
      <w:widowControl/>
      <w:autoSpaceDE w:val="0"/>
      <w:autoSpaceDN w:val="0"/>
      <w:spacing w:before="0" w:after="0" w:line="240" w:lineRule="atLeast"/>
      <w:jc w:val="both"/>
    </w:pPr>
    <w:rPr>
      <w:spacing w:val="0"/>
      <w:sz w:val="24"/>
      <w:szCs w:val="24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pacing w:val="20"/>
      <w:sz w:val="16"/>
      <w:szCs w:val="1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pPr>
      <w:widowControl/>
      <w:tabs>
        <w:tab w:val="center" w:pos="4536"/>
        <w:tab w:val="right" w:pos="9072"/>
      </w:tabs>
      <w:autoSpaceDE w:val="0"/>
      <w:autoSpaceDN w:val="0"/>
      <w:spacing w:before="0" w:after="0"/>
      <w:jc w:val="left"/>
    </w:pPr>
    <w:rPr>
      <w:spacing w:val="0"/>
      <w:sz w:val="24"/>
      <w:szCs w:val="24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pacing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pPr>
      <w:widowControl/>
      <w:autoSpaceDE w:val="0"/>
      <w:autoSpaceDN w:val="0"/>
      <w:spacing w:before="0" w:after="0"/>
      <w:jc w:val="center"/>
    </w:pPr>
    <w:rPr>
      <w:spacing w:val="0"/>
      <w:sz w:val="20"/>
      <w:szCs w:val="20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pacing w:val="20"/>
      <w:rtl w:val="0"/>
      <w:cs w:val="0"/>
      <w:lang w:val="x-none" w:eastAsia="cs-CZ"/>
    </w:rPr>
  </w:style>
  <w:style w:type="paragraph" w:customStyle="1" w:styleId="Normlny">
    <w:name w:val="_Normálny"/>
    <w:basedOn w:val="Normal"/>
    <w:uiPriority w:val="99"/>
    <w:pPr>
      <w:widowControl/>
      <w:autoSpaceDE w:val="0"/>
      <w:autoSpaceDN w:val="0"/>
      <w:spacing w:before="0" w:after="0"/>
      <w:jc w:val="left"/>
    </w:pPr>
    <w:rPr>
      <w:spacing w:val="0"/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pPr>
      <w:widowControl/>
      <w:autoSpaceDE w:val="0"/>
      <w:autoSpaceDN w:val="0"/>
      <w:spacing w:before="0" w:after="0"/>
      <w:jc w:val="left"/>
    </w:pPr>
    <w:rPr>
      <w:spacing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pacing w:val="20"/>
      <w:sz w:val="20"/>
      <w:szCs w:val="20"/>
      <w:rtl w:val="0"/>
      <w:cs w:val="0"/>
      <w:lang w:val="x-none" w:eastAsia="cs-CZ"/>
    </w:rPr>
  </w:style>
  <w:style w:type="paragraph" w:customStyle="1" w:styleId="PARA">
    <w:name w:val="PARA"/>
    <w:basedOn w:val="Normal"/>
    <w:next w:val="Normal"/>
    <w:uiPriority w:val="99"/>
    <w:pPr>
      <w:keepNext/>
      <w:keepLines/>
      <w:widowControl/>
      <w:tabs>
        <w:tab w:val="left" w:pos="680"/>
      </w:tabs>
      <w:autoSpaceDE w:val="0"/>
      <w:autoSpaceDN w:val="0"/>
      <w:spacing w:before="240"/>
      <w:jc w:val="center"/>
    </w:pPr>
    <w:rPr>
      <w:spacing w:val="0"/>
      <w:sz w:val="24"/>
      <w:szCs w:val="24"/>
      <w:lang w:val="en-US" w:eastAsia="sk-SK"/>
    </w:rPr>
  </w:style>
  <w:style w:type="paragraph" w:customStyle="1" w:styleId="abc">
    <w:name w:val="abc"/>
    <w:basedOn w:val="Normal"/>
    <w:uiPriority w:val="99"/>
    <w:pPr>
      <w:tabs>
        <w:tab w:val="left" w:pos="360"/>
        <w:tab w:val="left" w:pos="680"/>
      </w:tabs>
      <w:autoSpaceDE w:val="0"/>
      <w:autoSpaceDN w:val="0"/>
      <w:spacing w:before="0" w:after="0"/>
      <w:jc w:val="both"/>
    </w:pPr>
    <w:rPr>
      <w:spacing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spacing w:before="0" w:after="0"/>
      <w:jc w:val="left"/>
    </w:pPr>
    <w:rPr>
      <w:spacing w:val="0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pacing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widowControl/>
      <w:spacing w:before="0" w:after="0"/>
      <w:ind w:left="290" w:hanging="290"/>
      <w:jc w:val="left"/>
    </w:pPr>
    <w:rPr>
      <w:spacing w:val="0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pacing w:val="20"/>
      <w:rtl w:val="0"/>
      <w:cs w:val="0"/>
      <w:lang w:val="x-none" w:eastAsia="cs-CZ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widowControl/>
      <w:spacing w:after="0" w:line="240" w:lineRule="atLeast"/>
      <w:jc w:val="both"/>
    </w:pPr>
    <w:rPr>
      <w:spacing w:val="0"/>
      <w:sz w:val="20"/>
      <w:szCs w:val="20"/>
      <w:lang w:eastAsia="sk-SK"/>
    </w:rPr>
  </w:style>
  <w:style w:type="paragraph" w:styleId="BodyText">
    <w:name w:val="Body Text"/>
    <w:basedOn w:val="Normal"/>
    <w:link w:val="ZkladntextChar"/>
    <w:uiPriority w:val="99"/>
    <w:rsid w:val="00CC6B38"/>
    <w:pPr>
      <w:widowControl/>
      <w:autoSpaceDE w:val="0"/>
      <w:autoSpaceDN w:val="0"/>
      <w:spacing w:before="0"/>
      <w:jc w:val="left"/>
    </w:pPr>
    <w:rPr>
      <w:spacing w:val="0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pacing w:val="20"/>
      <w:rtl w:val="0"/>
      <w:cs w:val="0"/>
      <w:lang w:val="x-none" w:eastAsia="cs-CZ"/>
    </w:rPr>
  </w:style>
  <w:style w:type="paragraph" w:customStyle="1" w:styleId="Dtumvpredpise">
    <w:name w:val="Dátum v predpise"/>
    <w:basedOn w:val="Normal"/>
    <w:uiPriority w:val="99"/>
    <w:rsid w:val="001C4427"/>
    <w:pPr>
      <w:jc w:val="center"/>
    </w:pPr>
    <w:rPr>
      <w:rFonts w:ascii="Arial" w:hAnsi="Arial"/>
      <w:sz w:val="28"/>
      <w:szCs w:val="20"/>
    </w:rPr>
  </w:style>
  <w:style w:type="paragraph" w:customStyle="1" w:styleId="Odstavecseseznamem">
    <w:name w:val="Odstavec se seznamem"/>
    <w:basedOn w:val="Normal"/>
    <w:uiPriority w:val="99"/>
    <w:rsid w:val="00971C79"/>
    <w:pPr>
      <w:widowControl/>
      <w:spacing w:before="0" w:after="0"/>
      <w:ind w:left="708"/>
      <w:jc w:val="left"/>
    </w:pPr>
    <w:rPr>
      <w:spacing w:val="0"/>
      <w:sz w:val="24"/>
      <w:szCs w:val="24"/>
      <w:lang w:eastAsia="sk-SK"/>
    </w:rPr>
  </w:style>
  <w:style w:type="paragraph" w:customStyle="1" w:styleId="Textparagrafu">
    <w:name w:val="Text paragrafu"/>
    <w:basedOn w:val="Normal"/>
    <w:uiPriority w:val="99"/>
    <w:rsid w:val="00DD0053"/>
    <w:pPr>
      <w:widowControl/>
      <w:spacing w:before="240" w:after="0"/>
      <w:ind w:firstLine="425"/>
      <w:jc w:val="both"/>
      <w:outlineLvl w:val="5"/>
    </w:pPr>
    <w:rPr>
      <w:spacing w:val="0"/>
      <w:sz w:val="24"/>
      <w:szCs w:val="20"/>
      <w:lang w:val="cs-CZ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B7EC7"/>
    <w:pPr>
      <w:widowControl/>
      <w:autoSpaceDE w:val="0"/>
      <w:autoSpaceDN w:val="0"/>
      <w:spacing w:before="0"/>
      <w:ind w:left="283"/>
      <w:jc w:val="left"/>
    </w:pPr>
    <w:rPr>
      <w:spacing w:val="0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pacing w:val="20"/>
      <w:sz w:val="16"/>
      <w:szCs w:val="16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08103A"/>
    <w:pPr>
      <w:widowControl/>
      <w:autoSpaceDE w:val="0"/>
      <w:autoSpaceDN w:val="0"/>
      <w:spacing w:before="0"/>
      <w:ind w:left="283"/>
      <w:jc w:val="left"/>
    </w:pPr>
    <w:rPr>
      <w:spacing w:val="0"/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pacing w:val="20"/>
      <w:rtl w:val="0"/>
      <w:cs w:val="0"/>
      <w:lang w:val="x-none" w:eastAsia="cs-CZ"/>
    </w:rPr>
  </w:style>
  <w:style w:type="paragraph" w:customStyle="1" w:styleId="DefinitionTerm">
    <w:name w:val="Definition Term"/>
    <w:basedOn w:val="Normal"/>
    <w:next w:val="Normal"/>
    <w:uiPriority w:val="99"/>
    <w:rsid w:val="0008103A"/>
    <w:pPr>
      <w:widowControl/>
      <w:spacing w:before="0" w:after="0"/>
      <w:jc w:val="left"/>
    </w:pPr>
    <w:rPr>
      <w:spacing w:val="0"/>
      <w:sz w:val="24"/>
      <w:szCs w:val="20"/>
      <w:lang w:val="cs-CZ" w:eastAsia="sk-SK"/>
    </w:rPr>
  </w:style>
  <w:style w:type="paragraph" w:customStyle="1" w:styleId="Normalny">
    <w:name w:val="Normalny"/>
    <w:basedOn w:val="Normal"/>
    <w:uiPriority w:val="99"/>
    <w:rsid w:val="00477872"/>
    <w:pPr>
      <w:jc w:val="both"/>
    </w:pPr>
  </w:style>
  <w:style w:type="paragraph" w:customStyle="1" w:styleId="Default">
    <w:name w:val="Default"/>
    <w:rsid w:val="003C7BB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903C02"/>
    <w:pPr>
      <w:widowControl/>
      <w:suppressAutoHyphens/>
      <w:autoSpaceDN w:val="0"/>
      <w:spacing w:before="0" w:after="200" w:line="276" w:lineRule="auto"/>
      <w:ind w:left="720"/>
      <w:jc w:val="left"/>
      <w:textAlignment w:val="baseline"/>
    </w:pPr>
    <w:rPr>
      <w:rFonts w:ascii="Calibri" w:hAnsi="Calibri" w:cs="Calibri"/>
      <w:spacing w:val="0"/>
      <w:kern w:val="3"/>
      <w:lang w:eastAsia="zh-CN"/>
    </w:rPr>
  </w:style>
  <w:style w:type="character" w:customStyle="1" w:styleId="TextpoznmkypodiarouChar1">
    <w:name w:val="Text poznámky pod čiarou Char1"/>
    <w:locked/>
    <w:rsid w:val="00E85855"/>
    <w:rPr>
      <w:rFonts w:ascii="Times New Roman" w:hAnsi="Times New Roman" w:cs="Times New Roman"/>
      <w:sz w:val="2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4</Pages>
  <Words>1144</Words>
  <Characters>6525</Characters>
  <Application>Microsoft Office Word</Application>
  <DocSecurity>0</DocSecurity>
  <Lines>0</Lines>
  <Paragraphs>0</Paragraphs>
  <ScaleCrop>false</ScaleCrop>
  <Company>ÚV SR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Smažáková Janette</cp:lastModifiedBy>
  <cp:revision>16</cp:revision>
  <cp:lastPrinted>2008-10-30T11:25:00Z</cp:lastPrinted>
  <dcterms:created xsi:type="dcterms:W3CDTF">2014-07-30T15:08:00Z</dcterms:created>
  <dcterms:modified xsi:type="dcterms:W3CDTF">2014-12-11T10:56:00Z</dcterms:modified>
</cp:coreProperties>
</file>