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899"/>
        <w:gridCol w:w="3421"/>
        <w:gridCol w:w="900"/>
        <w:gridCol w:w="1080"/>
        <w:gridCol w:w="720"/>
        <w:gridCol w:w="4500"/>
        <w:gridCol w:w="720"/>
        <w:gridCol w:w="3920"/>
        <w:gridCol w:w="40"/>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gridAfter w:val="1"/>
          <w:wAfter w:w="40" w:type="dxa"/>
          <w:trHeight w:val="512"/>
        </w:trPr>
        <w:tc>
          <w:tcPr>
            <w:tcW w:w="16160" w:type="dxa"/>
            <w:gridSpan w:val="8"/>
            <w:tcBorders>
              <w:top w:val="nil"/>
              <w:left w:val="nil"/>
              <w:bottom w:val="single" w:sz="12" w:space="0" w:color="auto"/>
              <w:right w:val="nil"/>
            </w:tcBorders>
            <w:textDirection w:val="lrTb"/>
            <w:vAlign w:val="center"/>
          </w:tcPr>
          <w:p w:rsidR="005441F3" w:rsidRPr="005441F3" w:rsidP="0015379D">
            <w:pPr>
              <w:pStyle w:val="BodyText"/>
              <w:bidi w:val="0"/>
              <w:jc w:val="center"/>
              <w:rPr>
                <w:rFonts w:ascii="Times New Roman" w:hAnsi="Times New Roman"/>
                <w:b/>
                <w:bCs/>
                <w:sz w:val="28"/>
                <w:szCs w:val="28"/>
              </w:rPr>
            </w:pPr>
            <w:r w:rsidRPr="005441F3">
              <w:rPr>
                <w:rFonts w:ascii="Times New Roman" w:hAnsi="Times New Roman"/>
                <w:b/>
                <w:bCs/>
                <w:sz w:val="28"/>
                <w:szCs w:val="28"/>
              </w:rPr>
              <w:t>TABUĽKA ZHODY</w:t>
            </w:r>
          </w:p>
          <w:p w:rsidR="005441F3" w:rsidRPr="005441F3" w:rsidP="005441F3">
            <w:pPr>
              <w:pStyle w:val="BodyText"/>
              <w:bidi w:val="0"/>
              <w:jc w:val="center"/>
              <w:rPr>
                <w:rFonts w:ascii="Times New Roman" w:hAnsi="Times New Roman"/>
                <w:b/>
                <w:bCs/>
              </w:rPr>
            </w:pPr>
            <w:r w:rsidRPr="005441F3">
              <w:rPr>
                <w:rFonts w:ascii="Times New Roman" w:hAnsi="Times New Roman"/>
                <w:b/>
                <w:bCs/>
              </w:rPr>
              <w:t>návrhu zákona s právom Európskej únie</w:t>
            </w:r>
          </w:p>
          <w:p w:rsidR="003C7525" w:rsidRPr="005441F3" w:rsidP="005441F3">
            <w:pPr>
              <w:pStyle w:val="Heading1"/>
              <w:bidi w:val="0"/>
              <w:jc w:val="left"/>
              <w:rPr>
                <w:rFonts w:ascii="Times New Roman" w:hAnsi="Times New Roman"/>
                <w:sz w:val="20"/>
                <w:szCs w:val="20"/>
              </w:rPr>
            </w:pPr>
          </w:p>
        </w:tc>
      </w:tr>
      <w:tr>
        <w:tblPrEx>
          <w:tblW w:w="16200" w:type="dxa"/>
          <w:tblInd w:w="-497" w:type="dxa"/>
          <w:tblLayout w:type="fixed"/>
          <w:tblCellMar>
            <w:left w:w="43" w:type="dxa"/>
            <w:right w:w="43" w:type="dxa"/>
          </w:tblCellMar>
        </w:tblPrEx>
        <w:trPr>
          <w:gridAfter w:val="1"/>
          <w:wAfter w:w="40" w:type="dxa"/>
          <w:trHeight w:val="567"/>
        </w:trPr>
        <w:tc>
          <w:tcPr>
            <w:tcW w:w="5220" w:type="dxa"/>
            <w:gridSpan w:val="3"/>
            <w:tcBorders>
              <w:top w:val="single" w:sz="12" w:space="0" w:color="auto"/>
              <w:left w:val="single" w:sz="12" w:space="0" w:color="auto"/>
              <w:bottom w:val="single" w:sz="4" w:space="0" w:color="auto"/>
              <w:right w:val="single" w:sz="12" w:space="0" w:color="auto"/>
            </w:tcBorders>
            <w:textDirection w:val="lrTb"/>
            <w:vAlign w:val="center"/>
          </w:tcPr>
          <w:p w:rsidR="003C7525" w:rsidRPr="005441F3" w:rsidP="00E201CA">
            <w:pPr>
              <w:bidi w:val="0"/>
              <w:jc w:val="both"/>
              <w:rPr>
                <w:rFonts w:ascii="Times New Roman" w:hAnsi="Times New Roman"/>
                <w:b/>
                <w:bCs/>
                <w:sz w:val="20"/>
                <w:szCs w:val="20"/>
              </w:rPr>
            </w:pPr>
            <w:r w:rsidRPr="00690A36" w:rsidR="00690A36">
              <w:rPr>
                <w:rFonts w:ascii="Times New Roman" w:hAnsi="Times New Roman"/>
                <w:b/>
                <w:color w:val="000000"/>
                <w:sz w:val="20"/>
                <w:szCs w:val="20"/>
              </w:rPr>
              <w:t>Smernica Európskeho parlamentu a Rady 2009/22/ES z 23. apríla 2009 o súdnych príkazoch na ochranu spotrebiteľských záujmov (kodifikované znenie) (Ú. v. EÚ L 110, 1.5.2009) v znení smernice Európskeho parlamentu a Rady 2013/11/EÚ z 21. mája 2013 (Ú. v. EÚ L 165, 18. 6. 2013).</w:t>
            </w:r>
          </w:p>
        </w:tc>
        <w:tc>
          <w:tcPr>
            <w:tcW w:w="10940" w:type="dxa"/>
            <w:gridSpan w:val="5"/>
            <w:tcBorders>
              <w:top w:val="single" w:sz="12" w:space="0" w:color="auto"/>
              <w:left w:val="nil"/>
              <w:bottom w:val="single" w:sz="4" w:space="0" w:color="auto"/>
              <w:right w:val="single" w:sz="12" w:space="0" w:color="auto"/>
            </w:tcBorders>
            <w:textDirection w:val="lrTb"/>
            <w:vAlign w:val="center"/>
          </w:tcPr>
          <w:p w:rsidR="00E201CA" w:rsidRPr="005441F3" w:rsidP="005441F3">
            <w:pPr>
              <w:bidi w:val="0"/>
              <w:jc w:val="center"/>
              <w:rPr>
                <w:rFonts w:ascii="Times New Roman" w:hAnsi="Times New Roman"/>
                <w:b/>
                <w:bCs/>
                <w:sz w:val="20"/>
                <w:szCs w:val="20"/>
              </w:rPr>
            </w:pPr>
            <w:r w:rsidRPr="005441F3" w:rsidR="005441F3">
              <w:rPr>
                <w:rFonts w:ascii="Times New Roman" w:hAnsi="Times New Roman"/>
                <w:b/>
                <w:bCs/>
                <w:sz w:val="20"/>
                <w:szCs w:val="20"/>
              </w:rPr>
              <w:t>Z</w:t>
            </w:r>
            <w:r w:rsidRPr="005441F3" w:rsidR="0060151B">
              <w:rPr>
                <w:rFonts w:ascii="Times New Roman" w:hAnsi="Times New Roman"/>
                <w:b/>
                <w:bCs/>
                <w:sz w:val="20"/>
                <w:szCs w:val="20"/>
              </w:rPr>
              <w:t>ákona č. ..... Civilný sporový poriadok</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201CA" w:rsidRPr="005441F3">
            <w:pPr>
              <w:bidi w:val="0"/>
              <w:jc w:val="center"/>
              <w:rPr>
                <w:rFonts w:ascii="Times New Roman" w:hAnsi="Times New Roman"/>
                <w:sz w:val="20"/>
                <w:szCs w:val="20"/>
              </w:rPr>
            </w:pPr>
            <w:r w:rsidRPr="005441F3">
              <w:rPr>
                <w:rFonts w:ascii="Times New Roman" w:hAnsi="Times New Roman"/>
                <w:sz w:val="20"/>
                <w:szCs w:val="20"/>
              </w:rPr>
              <w:t>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201CA" w:rsidRPr="005441F3">
            <w:pPr>
              <w:bidi w:val="0"/>
              <w:jc w:val="center"/>
              <w:rPr>
                <w:rFonts w:ascii="Times New Roman" w:hAnsi="Times New Roman"/>
                <w:sz w:val="20"/>
                <w:szCs w:val="20"/>
              </w:rPr>
            </w:pPr>
            <w:r w:rsidRPr="005441F3">
              <w:rPr>
                <w:rFonts w:ascii="Times New Roman" w:hAnsi="Times New Roman"/>
                <w:sz w:val="20"/>
                <w:szCs w:val="20"/>
              </w:rPr>
              <w:t>2</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201CA" w:rsidRPr="005441F3">
            <w:pPr>
              <w:bidi w:val="0"/>
              <w:jc w:val="center"/>
              <w:rPr>
                <w:rFonts w:ascii="Times New Roman" w:hAnsi="Times New Roman"/>
                <w:sz w:val="20"/>
                <w:szCs w:val="20"/>
              </w:rPr>
            </w:pPr>
            <w:r w:rsidRPr="005441F3">
              <w:rPr>
                <w:rFonts w:ascii="Times New Roman" w:hAnsi="Times New Roman"/>
                <w:sz w:val="20"/>
                <w:szCs w:val="20"/>
              </w:rPr>
              <w:t>3</w:t>
            </w:r>
          </w:p>
        </w:tc>
        <w:tc>
          <w:tcPr>
            <w:tcW w:w="1080" w:type="dxa"/>
            <w:tcBorders>
              <w:top w:val="single" w:sz="4" w:space="0" w:color="auto"/>
              <w:left w:val="nil"/>
              <w:bottom w:val="single" w:sz="4" w:space="0" w:color="auto"/>
              <w:right w:val="single" w:sz="4" w:space="0" w:color="auto"/>
            </w:tcBorders>
            <w:textDirection w:val="lrTb"/>
            <w:vAlign w:val="top"/>
          </w:tcPr>
          <w:p w:rsidR="00E201CA" w:rsidRPr="005441F3">
            <w:pPr>
              <w:bidi w:val="0"/>
              <w:jc w:val="center"/>
              <w:rPr>
                <w:rFonts w:ascii="Times New Roman" w:hAnsi="Times New Roman"/>
                <w:sz w:val="20"/>
                <w:szCs w:val="20"/>
              </w:rPr>
            </w:pPr>
            <w:r w:rsidRPr="005441F3">
              <w:rPr>
                <w:rFonts w:ascii="Times New Roman" w:hAnsi="Times New Roman"/>
                <w:sz w:val="20"/>
                <w:szCs w:val="20"/>
              </w:rPr>
              <w:t>4</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201CA" w:rsidRPr="005441F3">
            <w:pPr>
              <w:pStyle w:val="BodyTextIndent"/>
              <w:autoSpaceDE w:val="0"/>
              <w:autoSpaceDN w:val="0"/>
              <w:bidi w:val="0"/>
              <w:spacing w:after="0" w:line="240" w:lineRule="exact"/>
              <w:rPr>
                <w:rFonts w:ascii="Times New Roman" w:hAnsi="Times New Roman"/>
                <w:b w:val="0"/>
                <w:bCs w:val="0"/>
                <w:sz w:val="20"/>
                <w:szCs w:val="20"/>
              </w:rPr>
            </w:pPr>
            <w:r w:rsidRPr="005441F3">
              <w:rPr>
                <w:rFonts w:ascii="Times New Roman" w:hAnsi="Times New Roman"/>
                <w:b w:val="0"/>
                <w:bCs w:val="0"/>
                <w:sz w:val="20"/>
                <w:szCs w:val="20"/>
              </w:rPr>
              <w:t>5</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201CA" w:rsidRPr="005441F3">
            <w:pPr>
              <w:pStyle w:val="BodyTextIndent"/>
              <w:autoSpaceDE w:val="0"/>
              <w:autoSpaceDN w:val="0"/>
              <w:bidi w:val="0"/>
              <w:spacing w:after="0" w:line="240" w:lineRule="exact"/>
              <w:rPr>
                <w:rFonts w:ascii="Times New Roman" w:hAnsi="Times New Roman"/>
                <w:b w:val="0"/>
                <w:bCs w:val="0"/>
                <w:sz w:val="20"/>
                <w:szCs w:val="20"/>
              </w:rPr>
            </w:pPr>
            <w:r w:rsidRPr="005441F3">
              <w:rPr>
                <w:rFonts w:ascii="Times New Roman" w:hAnsi="Times New Roman"/>
                <w:b w:val="0"/>
                <w:bCs w:val="0"/>
                <w:sz w:val="20"/>
                <w:szCs w:val="20"/>
              </w:rPr>
              <w:t>6</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201CA" w:rsidRPr="005441F3">
            <w:pPr>
              <w:bidi w:val="0"/>
              <w:jc w:val="center"/>
              <w:rPr>
                <w:rFonts w:ascii="Times New Roman" w:hAnsi="Times New Roman"/>
                <w:sz w:val="20"/>
                <w:szCs w:val="20"/>
              </w:rPr>
            </w:pPr>
            <w:r w:rsidRPr="005441F3">
              <w:rPr>
                <w:rFonts w:ascii="Times New Roman" w:hAnsi="Times New Roman"/>
                <w:sz w:val="20"/>
                <w:szCs w:val="20"/>
              </w:rPr>
              <w:t>7</w:t>
            </w:r>
          </w:p>
        </w:tc>
        <w:tc>
          <w:tcPr>
            <w:tcW w:w="3960" w:type="dxa"/>
            <w:gridSpan w:val="2"/>
            <w:tcBorders>
              <w:top w:val="single" w:sz="4" w:space="0" w:color="auto"/>
              <w:left w:val="single" w:sz="4" w:space="0" w:color="auto"/>
              <w:bottom w:val="single" w:sz="4" w:space="0" w:color="auto"/>
              <w:right w:val="single" w:sz="4" w:space="0" w:color="auto"/>
            </w:tcBorders>
            <w:textDirection w:val="lrTb"/>
            <w:vAlign w:val="top"/>
          </w:tcPr>
          <w:p w:rsidR="00E201CA" w:rsidRPr="005441F3">
            <w:pPr>
              <w:bidi w:val="0"/>
              <w:jc w:val="center"/>
              <w:rPr>
                <w:rFonts w:ascii="Times New Roman" w:hAnsi="Times New Roman"/>
                <w:sz w:val="20"/>
                <w:szCs w:val="20"/>
              </w:rPr>
            </w:pPr>
            <w:r w:rsidRPr="005441F3">
              <w:rPr>
                <w:rFonts w:ascii="Times New Roman" w:hAnsi="Times New Roman"/>
                <w:sz w:val="20"/>
                <w:szCs w:val="20"/>
              </w:rPr>
              <w:t>8</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201CA" w:rsidRPr="005441F3">
            <w:pPr>
              <w:pStyle w:val="Normlny"/>
              <w:bidi w:val="0"/>
              <w:rPr>
                <w:rFonts w:ascii="Times New Roman" w:hAnsi="Times New Roman"/>
              </w:rPr>
            </w:pPr>
            <w:r w:rsidRPr="005441F3">
              <w:rPr>
                <w:rFonts w:ascii="Times New Roman" w:hAnsi="Times New Roman"/>
              </w:rPr>
              <w:t>Článok</w:t>
            </w:r>
          </w:p>
          <w:p w:rsidR="00E201CA" w:rsidRPr="005441F3">
            <w:pPr>
              <w:pStyle w:val="Normlny"/>
              <w:bidi w:val="0"/>
              <w:rPr>
                <w:rFonts w:ascii="Times New Roman" w:hAnsi="Times New Roman"/>
              </w:rPr>
            </w:pP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201CA" w:rsidRPr="005441F3">
            <w:pPr>
              <w:pStyle w:val="Normlny"/>
              <w:bidi w:val="0"/>
              <w:jc w:val="center"/>
              <w:rPr>
                <w:rFonts w:ascii="Times New Roman" w:hAnsi="Times New Roman"/>
              </w:rPr>
            </w:pPr>
            <w:r w:rsidRPr="005441F3">
              <w:rPr>
                <w:rFonts w:ascii="Times New Roman" w:hAnsi="Times New Roman"/>
              </w:rPr>
              <w:t>Text</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201CA" w:rsidRPr="005441F3" w:rsidP="005441F3">
            <w:pPr>
              <w:pStyle w:val="Normlny"/>
              <w:bidi w:val="0"/>
              <w:jc w:val="center"/>
              <w:rPr>
                <w:rFonts w:ascii="Times New Roman" w:hAnsi="Times New Roman"/>
              </w:rPr>
            </w:pPr>
            <w:r w:rsidRPr="005441F3">
              <w:rPr>
                <w:rFonts w:ascii="Times New Roman" w:hAnsi="Times New Roman"/>
              </w:rPr>
              <w:t>Spôsob transp.</w:t>
            </w:r>
          </w:p>
        </w:tc>
        <w:tc>
          <w:tcPr>
            <w:tcW w:w="1080" w:type="dxa"/>
            <w:tcBorders>
              <w:top w:val="single" w:sz="4" w:space="0" w:color="auto"/>
              <w:left w:val="nil"/>
              <w:bottom w:val="single" w:sz="4" w:space="0" w:color="auto"/>
              <w:right w:val="single" w:sz="4" w:space="0" w:color="auto"/>
            </w:tcBorders>
            <w:textDirection w:val="lrTb"/>
            <w:vAlign w:val="top"/>
          </w:tcPr>
          <w:p w:rsidR="00E201CA" w:rsidRPr="005441F3">
            <w:pPr>
              <w:pStyle w:val="Normlny"/>
              <w:bidi w:val="0"/>
              <w:jc w:val="center"/>
              <w:rPr>
                <w:rFonts w:ascii="Times New Roman" w:hAnsi="Times New Roman"/>
              </w:rPr>
            </w:pPr>
            <w:r w:rsidRPr="005441F3">
              <w:rPr>
                <w:rFonts w:ascii="Times New Roman" w:hAnsi="Times New Roman"/>
              </w:rPr>
              <w:t>Číslo</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201CA" w:rsidRPr="005441F3" w:rsidP="005441F3">
            <w:pPr>
              <w:pStyle w:val="Normlny"/>
              <w:bidi w:val="0"/>
              <w:jc w:val="center"/>
              <w:rPr>
                <w:rFonts w:ascii="Times New Roman" w:hAnsi="Times New Roman"/>
              </w:rPr>
            </w:pPr>
            <w:r w:rsidRPr="005441F3">
              <w:rPr>
                <w:rFonts w:ascii="Times New Roman" w:hAnsi="Times New Roman"/>
              </w:rPr>
              <w:t xml:space="preserve">Článok </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201CA" w:rsidRPr="005441F3">
            <w:pPr>
              <w:pStyle w:val="Normlny"/>
              <w:bidi w:val="0"/>
              <w:jc w:val="center"/>
              <w:rPr>
                <w:rFonts w:ascii="Times New Roman" w:hAnsi="Times New Roman"/>
              </w:rPr>
            </w:pPr>
            <w:r w:rsidRPr="005441F3">
              <w:rPr>
                <w:rFonts w:ascii="Times New Roman" w:hAnsi="Times New Roman"/>
              </w:rPr>
              <w:t>Text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201CA" w:rsidRPr="005441F3">
            <w:pPr>
              <w:pStyle w:val="Normlny"/>
              <w:bidi w:val="0"/>
              <w:jc w:val="center"/>
              <w:rPr>
                <w:rFonts w:ascii="Times New Roman" w:hAnsi="Times New Roman"/>
              </w:rPr>
            </w:pPr>
            <w:r w:rsidRPr="005441F3">
              <w:rPr>
                <w:rFonts w:ascii="Times New Roman" w:hAnsi="Times New Roman"/>
              </w:rPr>
              <w:t>Zhoda</w:t>
            </w:r>
          </w:p>
        </w:tc>
        <w:tc>
          <w:tcPr>
            <w:tcW w:w="3960" w:type="dxa"/>
            <w:gridSpan w:val="2"/>
            <w:tcBorders>
              <w:top w:val="single" w:sz="4" w:space="0" w:color="auto"/>
              <w:left w:val="single" w:sz="4" w:space="0" w:color="auto"/>
              <w:bottom w:val="single" w:sz="4" w:space="0" w:color="auto"/>
              <w:right w:val="single" w:sz="4" w:space="0" w:color="auto"/>
            </w:tcBorders>
            <w:textDirection w:val="lrTb"/>
            <w:vAlign w:val="top"/>
          </w:tcPr>
          <w:p w:rsidR="00E201CA" w:rsidRPr="005441F3">
            <w:pPr>
              <w:pStyle w:val="Normlny"/>
              <w:bidi w:val="0"/>
              <w:jc w:val="center"/>
              <w:rPr>
                <w:rFonts w:ascii="Times New Roman" w:hAnsi="Times New Roman"/>
              </w:rPr>
            </w:pPr>
            <w:r w:rsidRPr="005441F3">
              <w:rPr>
                <w:rFonts w:ascii="Times New Roman" w:hAnsi="Times New Roman"/>
              </w:rPr>
              <w:t>Poznámky</w:t>
            </w:r>
          </w:p>
          <w:p w:rsidR="00E201CA" w:rsidRPr="005441F3">
            <w:pPr>
              <w:pStyle w:val="Normlny"/>
              <w:bidi w:val="0"/>
              <w:rPr>
                <w:rFonts w:ascii="Times New Roman" w:hAnsi="Times New Roman"/>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201CA" w:rsidRPr="005441F3">
            <w:pPr>
              <w:bidi w:val="0"/>
              <w:jc w:val="center"/>
              <w:rPr>
                <w:rFonts w:ascii="Times New Roman" w:hAnsi="Times New Roman"/>
                <w:sz w:val="20"/>
                <w:szCs w:val="20"/>
              </w:rPr>
            </w:pPr>
            <w:r w:rsidRPr="005441F3">
              <w:rPr>
                <w:rFonts w:ascii="Times New Roman" w:hAnsi="Times New Roman"/>
                <w:sz w:val="20"/>
                <w:szCs w:val="20"/>
              </w:rPr>
              <w:t>Č:1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201CA" w:rsidRPr="005441F3">
            <w:pPr>
              <w:pStyle w:val="abc"/>
              <w:keepNext/>
              <w:widowControl/>
              <w:tabs>
                <w:tab w:val="clear" w:pos="360"/>
                <w:tab w:val="clear" w:pos="680"/>
              </w:tabs>
              <w:autoSpaceDE/>
              <w:autoSpaceDN/>
              <w:bidi w:val="0"/>
              <w:rPr>
                <w:rFonts w:ascii="Times New Roman" w:hAnsi="Times New Roman"/>
                <w:lang w:eastAsia="sk-SK"/>
              </w:rPr>
            </w:pPr>
            <w:r w:rsidRPr="005441F3">
              <w:rPr>
                <w:rFonts w:ascii="Times New Roman" w:hAnsi="Times New Roman"/>
                <w:lang w:eastAsia="sk-SK"/>
              </w:rPr>
              <w:t>1. Účelom tejto smernice je aproximácia právnych a správnych predpisov členských štátov v súvislosti so žalobami na vydanie súdneho príkazu uvedenými v článku 2, zameranými na ochranu kolektívnych spotrebiteľských záujmov zahrnutých v smerniciach uvedených v prílohe I, s cieľom zabezpečiť riadne fungovanie vnútorného trhu.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201CA" w:rsidRPr="005441F3">
            <w:pPr>
              <w:bidi w:val="0"/>
              <w:jc w:val="center"/>
              <w:rPr>
                <w:rFonts w:ascii="Times New Roman" w:hAnsi="Times New Roman"/>
                <w:sz w:val="20"/>
                <w:szCs w:val="20"/>
              </w:rPr>
            </w:pPr>
            <w:r w:rsidRPr="005441F3">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FD4301" w:rsidRPr="005441F3">
            <w:pPr>
              <w:bidi w:val="0"/>
              <w:jc w:val="center"/>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66B21" w:rsidRPr="00690A36" w:rsidP="00666B21">
            <w:pPr>
              <w:pStyle w:val="BodyTextIndent"/>
              <w:bidi w:val="0"/>
              <w:jc w:val="both"/>
              <w:rPr>
                <w:rFonts w:ascii="Times New Roman" w:hAnsi="Times New Roman"/>
                <w:b w:val="0"/>
                <w:sz w:val="20"/>
                <w:szCs w:val="20"/>
              </w:rPr>
            </w:pPr>
            <w:r w:rsidRPr="00690A36" w:rsidR="007C036E">
              <w:rPr>
                <w:rFonts w:ascii="Times New Roman" w:hAnsi="Times New Roman"/>
                <w:b w:val="0"/>
                <w:sz w:val="20"/>
                <w:szCs w:val="20"/>
              </w:rPr>
              <w:t>§:</w:t>
            </w:r>
            <w:r w:rsidRPr="00690A36">
              <w:rPr>
                <w:rFonts w:ascii="Times New Roman" w:hAnsi="Times New Roman"/>
                <w:b w:val="0"/>
                <w:sz w:val="20"/>
                <w:szCs w:val="20"/>
              </w:rPr>
              <w:t xml:space="preserve"> 29</w:t>
            </w:r>
            <w:r w:rsidRPr="00690A36" w:rsidR="00690A36">
              <w:rPr>
                <w:rFonts w:ascii="Times New Roman" w:hAnsi="Times New Roman"/>
                <w:b w:val="0"/>
                <w:sz w:val="20"/>
                <w:szCs w:val="20"/>
              </w:rPr>
              <w:t>4</w:t>
            </w:r>
          </w:p>
          <w:p w:rsidR="00FD4301" w:rsidRPr="00690A36" w:rsidP="0060151B">
            <w:pPr>
              <w:bidi w:val="0"/>
              <w:jc w:val="center"/>
              <w:rPr>
                <w:rFonts w:ascii="Times New Roman" w:hAnsi="Times New Roman"/>
                <w:sz w:val="20"/>
                <w:szCs w:val="20"/>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FD4301" w:rsidRPr="00690A36" w:rsidP="00666B21">
            <w:pPr>
              <w:pStyle w:val="BodyTextIndent"/>
              <w:bidi w:val="0"/>
              <w:jc w:val="both"/>
              <w:rPr>
                <w:rFonts w:ascii="Times New Roman" w:hAnsi="Times New Roman"/>
                <w:b w:val="0"/>
                <w:sz w:val="20"/>
                <w:szCs w:val="20"/>
              </w:rPr>
            </w:pPr>
            <w:r w:rsidRPr="00690A36" w:rsidR="00690A36">
              <w:rPr>
                <w:rFonts w:ascii="Times New Roman" w:hAnsi="Times New Roman"/>
                <w:b w:val="0"/>
                <w:sz w:val="20"/>
                <w:szCs w:val="20"/>
              </w:rPr>
              <w:t>Konanie o abstraktnej kontrole v spotrebiteľských veciach je konanie, v ktorom súd skúma neprijateľnosť podmienok v spotrebiteľskej zmluve alebo v iných zmluvných dokumentoch súvisiacich so spotrebiteľskou zmluvou a nekalé obchodné praktiky nezávisle od okolností konkrétneho prípadu.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201CA" w:rsidRPr="005441F3">
            <w:pPr>
              <w:bidi w:val="0"/>
              <w:jc w:val="center"/>
              <w:rPr>
                <w:rFonts w:ascii="Times New Roman" w:hAnsi="Times New Roman"/>
                <w:sz w:val="20"/>
                <w:szCs w:val="20"/>
              </w:rPr>
            </w:pPr>
            <w:r w:rsidRPr="005441F3">
              <w:rPr>
                <w:rFonts w:ascii="Times New Roman" w:hAnsi="Times New Roman"/>
                <w:sz w:val="20"/>
                <w:szCs w:val="20"/>
              </w:rPr>
              <w:t>Ú</w:t>
            </w:r>
          </w:p>
        </w:tc>
        <w:tc>
          <w:tcPr>
            <w:tcW w:w="3960" w:type="dxa"/>
            <w:gridSpan w:val="2"/>
            <w:tcBorders>
              <w:top w:val="single" w:sz="4" w:space="0" w:color="auto"/>
              <w:left w:val="single" w:sz="4" w:space="0" w:color="auto"/>
              <w:bottom w:val="single" w:sz="4" w:space="0" w:color="auto"/>
              <w:right w:val="single" w:sz="4" w:space="0" w:color="auto"/>
            </w:tcBorders>
            <w:textDirection w:val="lrTb"/>
            <w:vAlign w:val="top"/>
          </w:tcPr>
          <w:p w:rsidR="005C6472" w:rsidRPr="005441F3" w:rsidP="005C6472">
            <w:pPr>
              <w:bidi w:val="0"/>
              <w:rPr>
                <w:rFonts w:ascii="Times New Roman" w:hAnsi="Times New Roman"/>
                <w:sz w:val="20"/>
                <w:szCs w:val="20"/>
              </w:rPr>
            </w:pPr>
            <w:r w:rsidRPr="005441F3" w:rsidR="0060151B">
              <w:rPr>
                <w:rFonts w:ascii="Times New Roman" w:hAnsi="Times New Roman"/>
                <w:sz w:val="20"/>
                <w:szCs w:val="20"/>
              </w:rPr>
              <w:t>Ustanovenia smernice sú implementované aj v zákonoch:</w:t>
            </w:r>
          </w:p>
          <w:p w:rsidR="0060151B" w:rsidRPr="005441F3" w:rsidP="0060151B">
            <w:pPr>
              <w:bidi w:val="0"/>
              <w:rPr>
                <w:rFonts w:ascii="Times New Roman" w:hAnsi="Times New Roman"/>
                <w:bCs/>
                <w:sz w:val="20"/>
                <w:szCs w:val="20"/>
              </w:rPr>
            </w:pPr>
            <w:r w:rsidRPr="005441F3">
              <w:rPr>
                <w:rFonts w:ascii="Times New Roman" w:hAnsi="Times New Roman"/>
                <w:bCs/>
                <w:sz w:val="20"/>
                <w:szCs w:val="20"/>
              </w:rPr>
              <w:t>1. Zákon č. 250/2007 o ochrane spotrebiteľa a o zmene zákona Slovenskej národnej rady č. 372/1990 Zb. o priestupkoch v znení neskorších predpisov v znení neskorších predpisov</w:t>
            </w:r>
          </w:p>
          <w:p w:rsidR="0060151B" w:rsidRPr="005441F3" w:rsidP="0060151B">
            <w:pPr>
              <w:bidi w:val="0"/>
              <w:rPr>
                <w:rFonts w:ascii="Times New Roman" w:hAnsi="Times New Roman"/>
                <w:bCs/>
                <w:sz w:val="20"/>
                <w:szCs w:val="20"/>
              </w:rPr>
            </w:pPr>
            <w:r w:rsidRPr="005441F3">
              <w:rPr>
                <w:rFonts w:ascii="Times New Roman" w:hAnsi="Times New Roman"/>
                <w:bCs/>
                <w:sz w:val="20"/>
                <w:szCs w:val="20"/>
              </w:rPr>
              <w:t>2. Zákon č. 136/2010 Z. z. o službách na vnútornom trhu a o zmene a doplnení niektorých zákonov</w:t>
            </w:r>
          </w:p>
          <w:p w:rsidR="005C6472" w:rsidRPr="005441F3" w:rsidP="005C6472">
            <w:pPr>
              <w:bidi w:val="0"/>
              <w:rPr>
                <w:rFonts w:ascii="Times New Roman" w:hAnsi="Times New Roman"/>
              </w:rPr>
            </w:pPr>
            <w:r w:rsidRPr="005441F3" w:rsidR="0060151B">
              <w:rPr>
                <w:rFonts w:ascii="Times New Roman" w:hAnsi="Times New Roman"/>
                <w:bCs/>
                <w:sz w:val="20"/>
                <w:szCs w:val="20"/>
              </w:rPr>
              <w:t>3. Zákon č. 161/2011 Z. z. o ochrane spotrebiteľa pri poskytovaní niektorých služieb cestovného ruchu a o zmene a</w:t>
            </w:r>
            <w:r w:rsidRPr="005441F3" w:rsidR="00220197">
              <w:rPr>
                <w:rFonts w:ascii="Times New Roman" w:hAnsi="Times New Roman"/>
                <w:bCs/>
                <w:sz w:val="20"/>
                <w:szCs w:val="20"/>
              </w:rPr>
              <w:t> </w:t>
            </w:r>
            <w:r w:rsidRPr="005441F3" w:rsidR="0060151B">
              <w:rPr>
                <w:rFonts w:ascii="Times New Roman" w:hAnsi="Times New Roman"/>
                <w:bCs/>
                <w:sz w:val="20"/>
                <w:szCs w:val="20"/>
              </w:rPr>
              <w:t>doplnení</w:t>
            </w:r>
            <w:r w:rsidRPr="005441F3" w:rsidR="00220197">
              <w:rPr>
                <w:rFonts w:ascii="Times New Roman" w:hAnsi="Times New Roman"/>
                <w:bCs/>
                <w:sz w:val="20"/>
                <w:szCs w:val="20"/>
              </w:rPr>
              <w:t xml:space="preserve"> niektorých zákonov</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201CA" w:rsidRPr="005441F3">
            <w:pPr>
              <w:bidi w:val="0"/>
              <w:jc w:val="center"/>
              <w:rPr>
                <w:rFonts w:ascii="Times New Roman" w:hAnsi="Times New Roman"/>
                <w:sz w:val="20"/>
                <w:szCs w:val="20"/>
              </w:rPr>
            </w:pPr>
            <w:r w:rsidRPr="005441F3">
              <w:rPr>
                <w:rFonts w:ascii="Times New Roman" w:hAnsi="Times New Roman"/>
                <w:sz w:val="20"/>
                <w:szCs w:val="20"/>
              </w:rPr>
              <w:t>Č:1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201CA" w:rsidRPr="005441F3">
            <w:pPr>
              <w:pStyle w:val="abc"/>
              <w:keepNext/>
              <w:widowControl/>
              <w:tabs>
                <w:tab w:val="clear" w:pos="360"/>
                <w:tab w:val="clear" w:pos="680"/>
              </w:tabs>
              <w:autoSpaceDE/>
              <w:autoSpaceDN/>
              <w:bidi w:val="0"/>
              <w:rPr>
                <w:rFonts w:ascii="Times New Roman" w:hAnsi="Times New Roman"/>
                <w:lang w:eastAsia="sk-SK"/>
              </w:rPr>
            </w:pPr>
            <w:r w:rsidRPr="005441F3">
              <w:rPr>
                <w:rFonts w:ascii="Times New Roman" w:hAnsi="Times New Roman"/>
                <w:lang w:eastAsia="sk-SK"/>
              </w:rPr>
              <w:t>2. Na účely tejto smernice sa neoprávneným zásahom rozumie každý čin v rozpore so smernicami uvedenými v prílohe I, transponovanými do vnútorného právneho poriadku členských štátov, ktorý škodí kolektívnym záujmom uvedeným v odseku 1.</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201CA" w:rsidRPr="005441F3">
            <w:pPr>
              <w:bidi w:val="0"/>
              <w:jc w:val="center"/>
              <w:rPr>
                <w:rFonts w:ascii="Times New Roman" w:hAnsi="Times New Roman"/>
                <w:sz w:val="20"/>
                <w:szCs w:val="20"/>
              </w:rPr>
            </w:pPr>
            <w:r w:rsidRPr="005441F3">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E201CA" w:rsidRPr="005441F3">
            <w:pPr>
              <w:bidi w:val="0"/>
              <w:jc w:val="center"/>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66B21" w:rsidRPr="00690A36" w:rsidP="00666B21">
            <w:pPr>
              <w:tabs>
                <w:tab w:val="left" w:pos="993"/>
              </w:tabs>
              <w:bidi w:val="0"/>
              <w:jc w:val="center"/>
              <w:rPr>
                <w:rFonts w:ascii="Times New Roman" w:hAnsi="Times New Roman"/>
                <w:sz w:val="20"/>
                <w:szCs w:val="20"/>
                <w:lang w:eastAsia="en-US"/>
              </w:rPr>
            </w:pPr>
            <w:r w:rsidRPr="00690A36">
              <w:rPr>
                <w:rFonts w:ascii="Times New Roman" w:hAnsi="Times New Roman"/>
                <w:sz w:val="20"/>
                <w:szCs w:val="20"/>
                <w:lang w:eastAsia="en-US"/>
              </w:rPr>
              <w:t>§</w:t>
            </w:r>
            <w:r w:rsidRPr="00690A36" w:rsidR="007C036E">
              <w:rPr>
                <w:rFonts w:ascii="Times New Roman" w:hAnsi="Times New Roman"/>
                <w:sz w:val="20"/>
                <w:szCs w:val="20"/>
                <w:lang w:eastAsia="en-US"/>
              </w:rPr>
              <w:t>:</w:t>
            </w:r>
            <w:r w:rsidRPr="00690A36">
              <w:rPr>
                <w:rFonts w:ascii="Times New Roman" w:hAnsi="Times New Roman"/>
                <w:sz w:val="20"/>
                <w:szCs w:val="20"/>
                <w:lang w:eastAsia="en-US"/>
              </w:rPr>
              <w:t xml:space="preserve"> 29</w:t>
            </w:r>
            <w:r w:rsidRPr="00690A36" w:rsidR="00690A36">
              <w:rPr>
                <w:rFonts w:ascii="Times New Roman" w:hAnsi="Times New Roman"/>
                <w:sz w:val="20"/>
                <w:szCs w:val="20"/>
                <w:lang w:eastAsia="en-US"/>
              </w:rPr>
              <w:t>4</w:t>
            </w:r>
          </w:p>
          <w:p w:rsidR="00FD4301" w:rsidRPr="00690A36">
            <w:pPr>
              <w:bidi w:val="0"/>
              <w:jc w:val="center"/>
              <w:rPr>
                <w:rFonts w:ascii="Times New Roman" w:hAnsi="Times New Roman"/>
                <w:sz w:val="20"/>
                <w:szCs w:val="20"/>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201CA" w:rsidRPr="00690A36" w:rsidP="00666B21">
            <w:pPr>
              <w:pStyle w:val="BodyTextIndent"/>
              <w:autoSpaceDE w:val="0"/>
              <w:autoSpaceDN w:val="0"/>
              <w:bidi w:val="0"/>
              <w:spacing w:after="0"/>
              <w:jc w:val="both"/>
              <w:rPr>
                <w:rFonts w:ascii="Times New Roman" w:hAnsi="Times New Roman"/>
                <w:b w:val="0"/>
                <w:bCs w:val="0"/>
                <w:sz w:val="20"/>
                <w:szCs w:val="20"/>
              </w:rPr>
            </w:pPr>
            <w:r w:rsidRPr="00690A36" w:rsidR="00690A36">
              <w:rPr>
                <w:rFonts w:ascii="Times New Roman" w:hAnsi="Times New Roman"/>
                <w:b w:val="0"/>
                <w:sz w:val="20"/>
                <w:szCs w:val="20"/>
              </w:rPr>
              <w:t>Konanie o abstraktnej kontrole v spotrebiteľských veciach je konanie, v ktorom súd skúma neprijateľnosť podmienok v spotrebiteľskej zmluve alebo v iných zmluvných dokumentoch súvisiacich so spotrebiteľskou zmluvou a nekalé obchodné praktiky nezávisle od okolností konkrétneho prípadu.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201CA" w:rsidRPr="005441F3">
            <w:pPr>
              <w:bidi w:val="0"/>
              <w:jc w:val="center"/>
              <w:rPr>
                <w:rFonts w:ascii="Times New Roman" w:hAnsi="Times New Roman"/>
                <w:sz w:val="20"/>
                <w:szCs w:val="20"/>
              </w:rPr>
            </w:pPr>
            <w:r w:rsidRPr="005441F3" w:rsidR="00220197">
              <w:rPr>
                <w:rFonts w:ascii="Times New Roman" w:hAnsi="Times New Roman"/>
                <w:sz w:val="20"/>
                <w:szCs w:val="20"/>
              </w:rPr>
              <w:t>Ú</w:t>
            </w:r>
          </w:p>
        </w:tc>
        <w:tc>
          <w:tcPr>
            <w:tcW w:w="3960" w:type="dxa"/>
            <w:gridSpan w:val="2"/>
            <w:tcBorders>
              <w:top w:val="single" w:sz="4" w:space="0" w:color="auto"/>
              <w:left w:val="single" w:sz="4" w:space="0" w:color="auto"/>
              <w:bottom w:val="single" w:sz="4" w:space="0" w:color="auto"/>
              <w:right w:val="single" w:sz="4" w:space="0" w:color="auto"/>
            </w:tcBorders>
            <w:textDirection w:val="lrTb"/>
            <w:vAlign w:val="top"/>
          </w:tcPr>
          <w:p w:rsidR="00E201CA" w:rsidRPr="005441F3">
            <w:pPr>
              <w:pStyle w:val="Heading1"/>
              <w:bidi w:val="0"/>
              <w:jc w:val="both"/>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201CA" w:rsidRPr="005441F3">
            <w:pPr>
              <w:bidi w:val="0"/>
              <w:jc w:val="center"/>
              <w:rPr>
                <w:rFonts w:ascii="Times New Roman" w:hAnsi="Times New Roman"/>
                <w:sz w:val="20"/>
                <w:szCs w:val="20"/>
              </w:rPr>
            </w:pPr>
            <w:r w:rsidRPr="005441F3">
              <w:rPr>
                <w:rFonts w:ascii="Times New Roman" w:hAnsi="Times New Roman"/>
                <w:sz w:val="20"/>
                <w:szCs w:val="20"/>
              </w:rPr>
              <w:t>Č:2</w:t>
            </w:r>
          </w:p>
          <w:p w:rsidR="00CB0624" w:rsidRPr="005441F3">
            <w:pPr>
              <w:bidi w:val="0"/>
              <w:jc w:val="center"/>
              <w:rPr>
                <w:rFonts w:ascii="Times New Roman" w:hAnsi="Times New Roman"/>
                <w:sz w:val="20"/>
                <w:szCs w:val="20"/>
              </w:rPr>
            </w:pPr>
            <w:r w:rsidRPr="005441F3">
              <w:rPr>
                <w:rFonts w:ascii="Times New Roman" w:hAnsi="Times New Roman"/>
                <w:sz w:val="20"/>
                <w:szCs w:val="20"/>
              </w:rPr>
              <w:t>O:1</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201CA" w:rsidRPr="005441F3" w:rsidP="00E201CA">
            <w:pPr>
              <w:pStyle w:val="abc"/>
              <w:keepNext/>
              <w:widowControl/>
              <w:tabs>
                <w:tab w:val="clear" w:pos="360"/>
                <w:tab w:val="clear" w:pos="680"/>
              </w:tabs>
              <w:autoSpaceDE/>
              <w:autoSpaceDN/>
              <w:bidi w:val="0"/>
              <w:rPr>
                <w:rFonts w:ascii="Times New Roman" w:hAnsi="Times New Roman"/>
                <w:lang w:eastAsia="sk-SK"/>
              </w:rPr>
            </w:pPr>
            <w:r w:rsidRPr="005441F3">
              <w:rPr>
                <w:rFonts w:ascii="Times New Roman" w:hAnsi="Times New Roman"/>
                <w:lang w:eastAsia="sk-SK"/>
              </w:rPr>
              <w:t>1. Členské štáty určia súdy alebo správne orgány príslušné na konania vo veciach začatých oprávnenými subjektmi v zmysle článku 3, ktorých cieľom je:</w:t>
            </w:r>
          </w:p>
          <w:p w:rsidR="00E201CA" w:rsidRPr="005441F3" w:rsidP="00E201CA">
            <w:pPr>
              <w:pStyle w:val="abc"/>
              <w:keepNext/>
              <w:widowControl/>
              <w:tabs>
                <w:tab w:val="clear" w:pos="360"/>
                <w:tab w:val="clear" w:pos="680"/>
              </w:tabs>
              <w:autoSpaceDE/>
              <w:autoSpaceDN/>
              <w:bidi w:val="0"/>
              <w:rPr>
                <w:rFonts w:ascii="Times New Roman" w:hAnsi="Times New Roman"/>
                <w:lang w:eastAsia="sk-SK"/>
              </w:rPr>
            </w:pPr>
            <w:r w:rsidRPr="005441F3">
              <w:rPr>
                <w:rFonts w:ascii="Times New Roman" w:hAnsi="Times New Roman"/>
                <w:lang w:eastAsia="sk-SK"/>
              </w:rPr>
              <w:t>a) vydanie príkazu na zastavenie alebo zákaz každého protiprávneho konania so všetkými náležitými účelnými opatreniami, prípadne aj formou skráteného konania;</w:t>
            </w:r>
          </w:p>
          <w:p w:rsidR="00E201CA" w:rsidRPr="005441F3" w:rsidP="00E201CA">
            <w:pPr>
              <w:pStyle w:val="abc"/>
              <w:keepNext/>
              <w:widowControl/>
              <w:tabs>
                <w:tab w:val="clear" w:pos="360"/>
                <w:tab w:val="clear" w:pos="680"/>
              </w:tabs>
              <w:autoSpaceDE/>
              <w:autoSpaceDN/>
              <w:bidi w:val="0"/>
              <w:rPr>
                <w:rFonts w:ascii="Times New Roman" w:hAnsi="Times New Roman"/>
                <w:lang w:eastAsia="sk-SK"/>
              </w:rPr>
            </w:pPr>
            <w:r w:rsidRPr="005441F3">
              <w:rPr>
                <w:rFonts w:ascii="Times New Roman" w:hAnsi="Times New Roman"/>
                <w:lang w:eastAsia="sk-SK"/>
              </w:rPr>
              <w:t>b) prípadné vydanie opatrení, ako je uverejnenie celého rozhodnutia alebo jeho časti vhodnou formou a/alebo uverejnenie opravného vyhlásenia s cieľom vylúčenia pretrvávajúcich účinkov neoprávneného zásahu;</w:t>
            </w:r>
          </w:p>
          <w:p w:rsidR="00E201CA" w:rsidRPr="005441F3" w:rsidP="00E201CA">
            <w:pPr>
              <w:pStyle w:val="abc"/>
              <w:keepNext/>
              <w:widowControl/>
              <w:tabs>
                <w:tab w:val="clear" w:pos="360"/>
                <w:tab w:val="clear" w:pos="680"/>
              </w:tabs>
              <w:autoSpaceDE/>
              <w:autoSpaceDN/>
              <w:bidi w:val="0"/>
              <w:rPr>
                <w:rFonts w:ascii="Times New Roman" w:hAnsi="Times New Roman"/>
                <w:lang w:eastAsia="sk-SK"/>
              </w:rPr>
            </w:pPr>
            <w:r w:rsidRPr="005441F3">
              <w:rPr>
                <w:rFonts w:ascii="Times New Roman" w:hAnsi="Times New Roman"/>
                <w:lang w:eastAsia="sk-SK"/>
              </w:rPr>
              <w:t>c) ak to dovoľuje právny poriadok príslušného členského štátu, vydanie príkazu voči neúspešnému odporcovi zaplatiť do verejnej pokladnice alebo ľubovoľnému príjemcovi uvedenému vo vnútroštátnych právnych predpisoch v prípade neuposlúchnutia rozhodnutia v čase stanovenom súdmi alebo správnymi orgánmi pevnú čiastku za každý deň omeškania alebo ľubovoľnú inú čiastku stanovenú vnútroštátnymi právnymi predpismi s cieľom zabezpečiť výkon rozhodnutí.</w:t>
            </w:r>
          </w:p>
          <w:p w:rsidR="00E201CA" w:rsidRPr="005441F3" w:rsidP="00E201CA">
            <w:pPr>
              <w:pStyle w:val="abc"/>
              <w:keepNext/>
              <w:widowControl/>
              <w:tabs>
                <w:tab w:val="clear" w:pos="360"/>
                <w:tab w:val="clear" w:pos="680"/>
              </w:tabs>
              <w:autoSpaceDE/>
              <w:autoSpaceDN/>
              <w:bidi w:val="0"/>
              <w:rPr>
                <w:rFonts w:ascii="Times New Roman" w:hAnsi="Times New Roman"/>
                <w:lang w:eastAsia="sk-SK"/>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201CA" w:rsidRPr="005441F3">
            <w:pPr>
              <w:bidi w:val="0"/>
              <w:jc w:val="center"/>
              <w:rPr>
                <w:rFonts w:ascii="Times New Roman" w:hAnsi="Times New Roman"/>
                <w:sz w:val="20"/>
                <w:szCs w:val="20"/>
              </w:rPr>
            </w:pPr>
            <w:r w:rsidRPr="005441F3">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FD4301" w:rsidRPr="005441F3" w:rsidP="00FD4301">
            <w:pPr>
              <w:bidi w:val="0"/>
              <w:jc w:val="center"/>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66B21" w:rsidRPr="00690A36" w:rsidP="00666B21">
            <w:pPr>
              <w:pStyle w:val="odsek"/>
              <w:bidi w:val="0"/>
              <w:rPr>
                <w:rFonts w:ascii="Times New Roman" w:hAnsi="Times New Roman"/>
                <w:sz w:val="20"/>
                <w:szCs w:val="20"/>
              </w:rPr>
            </w:pPr>
            <w:r w:rsidRPr="00690A36">
              <w:rPr>
                <w:rFonts w:ascii="Times New Roman" w:hAnsi="Times New Roman"/>
                <w:sz w:val="20"/>
                <w:szCs w:val="20"/>
              </w:rPr>
              <w:t>§ §: 29</w:t>
            </w:r>
            <w:r w:rsidRPr="00690A36" w:rsidR="00690A36">
              <w:rPr>
                <w:rFonts w:ascii="Times New Roman" w:hAnsi="Times New Roman"/>
                <w:sz w:val="20"/>
                <w:szCs w:val="20"/>
              </w:rPr>
              <w:t>4</w:t>
            </w:r>
          </w:p>
          <w:p w:rsidR="00837C24" w:rsidRPr="00690A36">
            <w:pPr>
              <w:pStyle w:val="Normlny"/>
              <w:bidi w:val="0"/>
              <w:jc w:val="center"/>
              <w:rPr>
                <w:rFonts w:ascii="Times New Roman" w:hAnsi="Times New Roman"/>
              </w:rPr>
            </w:pPr>
          </w:p>
          <w:p w:rsidR="00666B21" w:rsidRPr="00690A36">
            <w:pPr>
              <w:pStyle w:val="Normlny"/>
              <w:bidi w:val="0"/>
              <w:jc w:val="center"/>
              <w:rPr>
                <w:rFonts w:ascii="Times New Roman" w:hAnsi="Times New Roman"/>
              </w:rPr>
            </w:pPr>
          </w:p>
          <w:p w:rsidR="00666B21" w:rsidRPr="00690A36">
            <w:pPr>
              <w:pStyle w:val="Normlny"/>
              <w:bidi w:val="0"/>
              <w:jc w:val="center"/>
              <w:rPr>
                <w:rFonts w:ascii="Times New Roman" w:hAnsi="Times New Roman"/>
              </w:rPr>
            </w:pPr>
          </w:p>
          <w:p w:rsidR="00690A36" w:rsidRPr="00690A36" w:rsidP="00666B21">
            <w:pPr>
              <w:pStyle w:val="odsek"/>
              <w:bidi w:val="0"/>
              <w:rPr>
                <w:rFonts w:ascii="Times New Roman" w:hAnsi="Times New Roman"/>
                <w:sz w:val="20"/>
                <w:szCs w:val="20"/>
              </w:rPr>
            </w:pPr>
          </w:p>
          <w:p w:rsidR="00690A36" w:rsidP="00666B21">
            <w:pPr>
              <w:pStyle w:val="odsek"/>
              <w:bidi w:val="0"/>
              <w:rPr>
                <w:rFonts w:ascii="Times New Roman" w:hAnsi="Times New Roman"/>
                <w:sz w:val="20"/>
                <w:szCs w:val="20"/>
              </w:rPr>
            </w:pPr>
          </w:p>
          <w:p w:rsidR="00666B21" w:rsidRPr="00690A36" w:rsidP="00666B21">
            <w:pPr>
              <w:pStyle w:val="odsek"/>
              <w:bidi w:val="0"/>
              <w:rPr>
                <w:rFonts w:ascii="Times New Roman" w:hAnsi="Times New Roman"/>
                <w:sz w:val="20"/>
                <w:szCs w:val="20"/>
              </w:rPr>
            </w:pPr>
            <w:r w:rsidRPr="00690A36">
              <w:rPr>
                <w:rFonts w:ascii="Times New Roman" w:hAnsi="Times New Roman"/>
                <w:sz w:val="20"/>
                <w:szCs w:val="20"/>
              </w:rPr>
              <w:t>§ §: 29</w:t>
            </w:r>
            <w:r w:rsidRPr="00690A36" w:rsidR="00690A36">
              <w:rPr>
                <w:rFonts w:ascii="Times New Roman" w:hAnsi="Times New Roman"/>
                <w:sz w:val="20"/>
                <w:szCs w:val="20"/>
              </w:rPr>
              <w:t>5</w:t>
            </w:r>
          </w:p>
          <w:p w:rsidR="00666B21" w:rsidRPr="00690A36">
            <w:pPr>
              <w:pStyle w:val="Normlny"/>
              <w:bidi w:val="0"/>
              <w:jc w:val="center"/>
              <w:rPr>
                <w:rFonts w:ascii="Times New Roman" w:hAnsi="Times New Roman"/>
              </w:rPr>
            </w:pPr>
          </w:p>
          <w:p w:rsidR="00CB0624" w:rsidRPr="00690A36">
            <w:pPr>
              <w:pStyle w:val="Normlny"/>
              <w:bidi w:val="0"/>
              <w:jc w:val="center"/>
              <w:rPr>
                <w:rFonts w:ascii="Times New Roman" w:hAnsi="Times New Roman"/>
              </w:rPr>
            </w:pPr>
          </w:p>
          <w:p w:rsidR="00690A36" w:rsidRPr="00690A36" w:rsidP="00630F42">
            <w:pPr>
              <w:pStyle w:val="odsek"/>
              <w:bidi w:val="0"/>
              <w:ind w:firstLine="0"/>
              <w:rPr>
                <w:rFonts w:ascii="Times New Roman" w:hAnsi="Times New Roman"/>
                <w:sz w:val="20"/>
                <w:szCs w:val="20"/>
              </w:rPr>
            </w:pPr>
            <w:r w:rsidRPr="00690A36" w:rsidR="00CB0624">
              <w:rPr>
                <w:rFonts w:ascii="Times New Roman" w:hAnsi="Times New Roman"/>
                <w:sz w:val="20"/>
                <w:szCs w:val="20"/>
              </w:rPr>
              <w:t xml:space="preserve"> </w:t>
            </w:r>
          </w:p>
          <w:p w:rsidR="00690A36" w:rsidRPr="00690A36" w:rsidP="00630F42">
            <w:pPr>
              <w:pStyle w:val="odsek"/>
              <w:bidi w:val="0"/>
              <w:ind w:firstLine="0"/>
              <w:rPr>
                <w:rFonts w:ascii="Times New Roman" w:hAnsi="Times New Roman"/>
                <w:sz w:val="20"/>
                <w:szCs w:val="20"/>
              </w:rPr>
            </w:pPr>
          </w:p>
          <w:p w:rsidR="00690A36" w:rsidRPr="00690A36" w:rsidP="00630F42">
            <w:pPr>
              <w:pStyle w:val="odsek"/>
              <w:bidi w:val="0"/>
              <w:ind w:firstLine="0"/>
              <w:rPr>
                <w:rFonts w:ascii="Times New Roman" w:hAnsi="Times New Roman"/>
                <w:sz w:val="20"/>
                <w:szCs w:val="20"/>
              </w:rPr>
            </w:pPr>
          </w:p>
          <w:p w:rsidR="00690A36" w:rsidRPr="00690A36" w:rsidP="00630F42">
            <w:pPr>
              <w:pStyle w:val="odsek"/>
              <w:bidi w:val="0"/>
              <w:ind w:firstLine="0"/>
              <w:rPr>
                <w:rFonts w:ascii="Times New Roman" w:hAnsi="Times New Roman"/>
                <w:sz w:val="20"/>
                <w:szCs w:val="20"/>
              </w:rPr>
            </w:pPr>
          </w:p>
          <w:p w:rsidR="00690A36" w:rsidRPr="00690A36" w:rsidP="00630F42">
            <w:pPr>
              <w:pStyle w:val="odsek"/>
              <w:bidi w:val="0"/>
              <w:ind w:firstLine="0"/>
              <w:rPr>
                <w:rFonts w:ascii="Times New Roman" w:hAnsi="Times New Roman"/>
                <w:sz w:val="20"/>
                <w:szCs w:val="20"/>
              </w:rPr>
            </w:pPr>
          </w:p>
          <w:p w:rsidR="00690A36" w:rsidRPr="00690A36" w:rsidP="00630F42">
            <w:pPr>
              <w:pStyle w:val="odsek"/>
              <w:bidi w:val="0"/>
              <w:ind w:firstLine="0"/>
              <w:rPr>
                <w:rFonts w:ascii="Times New Roman" w:hAnsi="Times New Roman"/>
                <w:sz w:val="20"/>
                <w:szCs w:val="20"/>
              </w:rPr>
            </w:pPr>
          </w:p>
          <w:p w:rsidR="00690A36" w:rsidRPr="00690A36" w:rsidP="00630F42">
            <w:pPr>
              <w:pStyle w:val="odsek"/>
              <w:bidi w:val="0"/>
              <w:ind w:firstLine="0"/>
              <w:rPr>
                <w:rFonts w:ascii="Times New Roman" w:hAnsi="Times New Roman"/>
                <w:sz w:val="20"/>
                <w:szCs w:val="20"/>
              </w:rPr>
            </w:pPr>
          </w:p>
          <w:p w:rsidR="00690A36" w:rsidRPr="00690A36" w:rsidP="00630F42">
            <w:pPr>
              <w:pStyle w:val="odsek"/>
              <w:bidi w:val="0"/>
              <w:ind w:firstLine="0"/>
              <w:rPr>
                <w:rFonts w:ascii="Times New Roman" w:hAnsi="Times New Roman"/>
                <w:sz w:val="20"/>
                <w:szCs w:val="20"/>
              </w:rPr>
            </w:pPr>
          </w:p>
          <w:p w:rsidR="00690A36" w:rsidRPr="00690A36" w:rsidP="00630F42">
            <w:pPr>
              <w:pStyle w:val="odsek"/>
              <w:bidi w:val="0"/>
              <w:ind w:firstLine="0"/>
              <w:rPr>
                <w:rFonts w:ascii="Times New Roman" w:hAnsi="Times New Roman"/>
                <w:sz w:val="20"/>
                <w:szCs w:val="20"/>
              </w:rPr>
            </w:pPr>
          </w:p>
          <w:p w:rsidR="00690A36" w:rsidRPr="00690A36" w:rsidP="00630F42">
            <w:pPr>
              <w:pStyle w:val="odsek"/>
              <w:bidi w:val="0"/>
              <w:ind w:firstLine="0"/>
              <w:rPr>
                <w:rFonts w:ascii="Times New Roman" w:hAnsi="Times New Roman"/>
                <w:sz w:val="20"/>
                <w:szCs w:val="20"/>
              </w:rPr>
            </w:pPr>
          </w:p>
          <w:p w:rsidR="00690A36" w:rsidRPr="00690A36" w:rsidP="00630F42">
            <w:pPr>
              <w:pStyle w:val="odsek"/>
              <w:bidi w:val="0"/>
              <w:ind w:firstLine="0"/>
              <w:rPr>
                <w:rFonts w:ascii="Times New Roman" w:hAnsi="Times New Roman"/>
                <w:sz w:val="20"/>
                <w:szCs w:val="20"/>
              </w:rPr>
            </w:pPr>
          </w:p>
          <w:p w:rsidR="00690A36" w:rsidP="00630F42">
            <w:pPr>
              <w:pStyle w:val="odsek"/>
              <w:bidi w:val="0"/>
              <w:ind w:firstLine="0"/>
              <w:rPr>
                <w:rFonts w:ascii="Times New Roman" w:hAnsi="Times New Roman"/>
                <w:sz w:val="20"/>
                <w:szCs w:val="20"/>
              </w:rPr>
            </w:pPr>
          </w:p>
          <w:p w:rsidR="00690A36" w:rsidP="00630F42">
            <w:pPr>
              <w:pStyle w:val="odsek"/>
              <w:bidi w:val="0"/>
              <w:ind w:firstLine="0"/>
              <w:rPr>
                <w:rFonts w:ascii="Times New Roman" w:hAnsi="Times New Roman"/>
                <w:sz w:val="20"/>
                <w:szCs w:val="20"/>
              </w:rPr>
            </w:pPr>
          </w:p>
          <w:p w:rsidR="00690A36" w:rsidRPr="00690A36" w:rsidP="00630F42">
            <w:pPr>
              <w:pStyle w:val="odsek"/>
              <w:bidi w:val="0"/>
              <w:ind w:firstLine="0"/>
              <w:rPr>
                <w:rFonts w:ascii="Times New Roman" w:hAnsi="Times New Roman"/>
                <w:sz w:val="20"/>
                <w:szCs w:val="20"/>
              </w:rPr>
            </w:pPr>
          </w:p>
          <w:p w:rsidR="00690A36" w:rsidRPr="00690A36" w:rsidP="00630F42">
            <w:pPr>
              <w:pStyle w:val="odsek"/>
              <w:bidi w:val="0"/>
              <w:ind w:firstLine="0"/>
              <w:rPr>
                <w:rFonts w:ascii="Times New Roman" w:hAnsi="Times New Roman"/>
                <w:sz w:val="20"/>
                <w:szCs w:val="20"/>
              </w:rPr>
            </w:pPr>
          </w:p>
          <w:p w:rsidR="00CB0624" w:rsidRPr="00690A36" w:rsidP="00630F42">
            <w:pPr>
              <w:pStyle w:val="odsek"/>
              <w:bidi w:val="0"/>
              <w:ind w:firstLine="0"/>
              <w:rPr>
                <w:rFonts w:ascii="Times New Roman" w:hAnsi="Times New Roman"/>
                <w:sz w:val="20"/>
                <w:szCs w:val="20"/>
              </w:rPr>
            </w:pPr>
            <w:r w:rsidRPr="00690A36">
              <w:rPr>
                <w:rFonts w:ascii="Times New Roman" w:hAnsi="Times New Roman"/>
                <w:sz w:val="20"/>
                <w:szCs w:val="20"/>
              </w:rPr>
              <w:t>§:</w:t>
            </w:r>
            <w:r w:rsidRPr="00690A36" w:rsidR="00630F42">
              <w:rPr>
                <w:rFonts w:ascii="Times New Roman" w:hAnsi="Times New Roman"/>
                <w:sz w:val="20"/>
                <w:szCs w:val="20"/>
              </w:rPr>
              <w:t>29</w:t>
            </w:r>
            <w:r w:rsidRPr="00690A36" w:rsidR="00690A36">
              <w:rPr>
                <w:rFonts w:ascii="Times New Roman" w:hAnsi="Times New Roman"/>
                <w:sz w:val="20"/>
                <w:szCs w:val="20"/>
              </w:rPr>
              <w:t>6</w:t>
            </w:r>
            <w:r w:rsidRPr="00690A36">
              <w:rPr>
                <w:rFonts w:ascii="Times New Roman" w:hAnsi="Times New Roman"/>
                <w:sz w:val="20"/>
                <w:szCs w:val="20"/>
              </w:rPr>
              <w:t xml:space="preserve"> O: 1-3</w:t>
            </w:r>
          </w:p>
          <w:p w:rsidR="00CB0624" w:rsidRPr="00690A36" w:rsidP="00CB0624">
            <w:pPr>
              <w:pStyle w:val="odsek"/>
              <w:bidi w:val="0"/>
              <w:rPr>
                <w:rFonts w:ascii="Times New Roman" w:hAnsi="Times New Roman"/>
                <w:sz w:val="20"/>
                <w:szCs w:val="20"/>
              </w:rPr>
            </w:pPr>
          </w:p>
          <w:p w:rsidR="00CB0624" w:rsidRPr="00690A36" w:rsidP="00CB0624">
            <w:pPr>
              <w:pStyle w:val="odsek"/>
              <w:bidi w:val="0"/>
              <w:rPr>
                <w:rFonts w:ascii="Times New Roman" w:hAnsi="Times New Roman"/>
                <w:sz w:val="20"/>
                <w:szCs w:val="20"/>
              </w:rPr>
            </w:pPr>
          </w:p>
          <w:p w:rsidR="00CB0624" w:rsidRPr="00690A36" w:rsidP="00CB0624">
            <w:pPr>
              <w:pStyle w:val="odsek"/>
              <w:bidi w:val="0"/>
              <w:rPr>
                <w:rFonts w:ascii="Times New Roman" w:hAnsi="Times New Roman"/>
                <w:sz w:val="20"/>
                <w:szCs w:val="20"/>
              </w:rPr>
            </w:pPr>
          </w:p>
          <w:p w:rsidR="00CB0624" w:rsidRPr="00690A36" w:rsidP="00CB0624">
            <w:pPr>
              <w:pStyle w:val="odsek"/>
              <w:bidi w:val="0"/>
              <w:ind w:firstLine="0"/>
              <w:rPr>
                <w:rFonts w:ascii="Times New Roman" w:hAnsi="Times New Roman"/>
                <w:sz w:val="20"/>
                <w:szCs w:val="20"/>
              </w:rPr>
            </w:pPr>
          </w:p>
          <w:p w:rsidR="00690A36" w:rsidRPr="00690A36" w:rsidP="00CB0624">
            <w:pPr>
              <w:pStyle w:val="odsek"/>
              <w:bidi w:val="0"/>
              <w:ind w:firstLine="0"/>
              <w:rPr>
                <w:rFonts w:ascii="Times New Roman" w:hAnsi="Times New Roman"/>
                <w:sz w:val="20"/>
                <w:szCs w:val="20"/>
              </w:rPr>
            </w:pPr>
          </w:p>
          <w:p w:rsidR="00690A36" w:rsidRPr="00690A36" w:rsidP="00CB0624">
            <w:pPr>
              <w:pStyle w:val="odsek"/>
              <w:bidi w:val="0"/>
              <w:ind w:firstLine="0"/>
              <w:rPr>
                <w:rFonts w:ascii="Times New Roman" w:hAnsi="Times New Roman"/>
                <w:sz w:val="20"/>
                <w:szCs w:val="20"/>
              </w:rPr>
            </w:pPr>
          </w:p>
          <w:p w:rsidR="00690A36" w:rsidRPr="00690A36" w:rsidP="00CB0624">
            <w:pPr>
              <w:pStyle w:val="odsek"/>
              <w:bidi w:val="0"/>
              <w:ind w:firstLine="0"/>
              <w:rPr>
                <w:rFonts w:ascii="Times New Roman" w:hAnsi="Times New Roman"/>
                <w:sz w:val="20"/>
                <w:szCs w:val="20"/>
              </w:rPr>
            </w:pPr>
          </w:p>
          <w:p w:rsidR="00690A36" w:rsidRPr="00690A36" w:rsidP="00CB0624">
            <w:pPr>
              <w:pStyle w:val="odsek"/>
              <w:bidi w:val="0"/>
              <w:ind w:firstLine="0"/>
              <w:rPr>
                <w:rFonts w:ascii="Times New Roman" w:hAnsi="Times New Roman"/>
                <w:sz w:val="20"/>
                <w:szCs w:val="20"/>
              </w:rPr>
            </w:pPr>
          </w:p>
          <w:p w:rsidR="00690A36" w:rsidRPr="00690A36" w:rsidP="00CB0624">
            <w:pPr>
              <w:pStyle w:val="odsek"/>
              <w:bidi w:val="0"/>
              <w:ind w:firstLine="0"/>
              <w:rPr>
                <w:rFonts w:ascii="Times New Roman" w:hAnsi="Times New Roman"/>
                <w:sz w:val="20"/>
                <w:szCs w:val="20"/>
              </w:rPr>
            </w:pPr>
          </w:p>
          <w:p w:rsidR="00630F42" w:rsidRPr="00690A36" w:rsidP="00CB0624">
            <w:pPr>
              <w:pStyle w:val="odsek"/>
              <w:bidi w:val="0"/>
              <w:rPr>
                <w:rFonts w:ascii="Times New Roman" w:hAnsi="Times New Roman"/>
                <w:sz w:val="20"/>
                <w:szCs w:val="20"/>
              </w:rPr>
            </w:pPr>
          </w:p>
          <w:p w:rsidR="00630F42" w:rsidRPr="00690A36" w:rsidP="00690A36">
            <w:pPr>
              <w:pStyle w:val="odsek"/>
              <w:bidi w:val="0"/>
              <w:ind w:firstLine="0"/>
              <w:rPr>
                <w:rFonts w:ascii="Times New Roman" w:hAnsi="Times New Roman"/>
                <w:sz w:val="20"/>
                <w:szCs w:val="20"/>
              </w:rPr>
            </w:pPr>
          </w:p>
          <w:p w:rsidR="00CB0624" w:rsidRPr="00690A36" w:rsidP="00630F42">
            <w:pPr>
              <w:pStyle w:val="odsek"/>
              <w:bidi w:val="0"/>
              <w:ind w:firstLine="0"/>
              <w:rPr>
                <w:rFonts w:ascii="Times New Roman" w:hAnsi="Times New Roman"/>
                <w:sz w:val="20"/>
                <w:szCs w:val="20"/>
              </w:rPr>
            </w:pPr>
            <w:r w:rsidRPr="00690A36">
              <w:rPr>
                <w:rFonts w:ascii="Times New Roman" w:hAnsi="Times New Roman"/>
                <w:sz w:val="20"/>
                <w:szCs w:val="20"/>
              </w:rPr>
              <w:t xml:space="preserve">§: </w:t>
            </w:r>
            <w:r w:rsidRPr="00690A36" w:rsidR="00630F42">
              <w:rPr>
                <w:rFonts w:ascii="Times New Roman" w:hAnsi="Times New Roman"/>
                <w:sz w:val="20"/>
                <w:szCs w:val="20"/>
              </w:rPr>
              <w:t>29</w:t>
            </w:r>
            <w:r w:rsidRPr="00690A36" w:rsidR="00690A36">
              <w:rPr>
                <w:rFonts w:ascii="Times New Roman" w:hAnsi="Times New Roman"/>
                <w:sz w:val="20"/>
                <w:szCs w:val="20"/>
              </w:rPr>
              <w:t>7</w:t>
            </w:r>
          </w:p>
          <w:p w:rsidR="00CB0624" w:rsidRPr="00690A36" w:rsidP="00CB0624">
            <w:pPr>
              <w:pStyle w:val="odsek"/>
              <w:bidi w:val="0"/>
              <w:ind w:firstLine="0"/>
              <w:rPr>
                <w:rFonts w:ascii="Times New Roman" w:hAnsi="Times New Roman"/>
                <w:sz w:val="20"/>
                <w:szCs w:val="20"/>
              </w:rPr>
            </w:pPr>
          </w:p>
          <w:p w:rsidR="00CB0624" w:rsidRPr="00690A36" w:rsidP="00690A36">
            <w:pPr>
              <w:pStyle w:val="odsek"/>
              <w:bidi w:val="0"/>
              <w:ind w:firstLine="0"/>
              <w:rPr>
                <w:rFonts w:ascii="Times New Roman" w:hAnsi="Times New Roman"/>
                <w:sz w:val="20"/>
                <w:szCs w:val="20"/>
              </w:rPr>
            </w:pPr>
            <w:r w:rsidRPr="00690A36" w:rsidR="00630F42">
              <w:rPr>
                <w:rFonts w:ascii="Times New Roman" w:hAnsi="Times New Roman"/>
                <w:sz w:val="20"/>
                <w:szCs w:val="20"/>
              </w:rPr>
              <w:t xml:space="preserve"> </w:t>
            </w:r>
            <w:r w:rsidRPr="00690A36">
              <w:rPr>
                <w:rFonts w:ascii="Times New Roman" w:hAnsi="Times New Roman"/>
                <w:sz w:val="20"/>
                <w:szCs w:val="20"/>
              </w:rPr>
              <w:t xml:space="preserve">§: </w:t>
            </w:r>
            <w:r w:rsidRPr="00690A36" w:rsidR="00630F42">
              <w:rPr>
                <w:rFonts w:ascii="Times New Roman" w:hAnsi="Times New Roman"/>
                <w:sz w:val="20"/>
                <w:szCs w:val="20"/>
              </w:rPr>
              <w:t>29</w:t>
            </w:r>
            <w:r w:rsidRPr="00690A36" w:rsidR="00690A36">
              <w:rPr>
                <w:rFonts w:ascii="Times New Roman" w:hAnsi="Times New Roman"/>
                <w:sz w:val="20"/>
                <w:szCs w:val="20"/>
              </w:rPr>
              <w:t>8</w:t>
            </w:r>
          </w:p>
          <w:p w:rsidR="00CB0624" w:rsidRPr="00690A36" w:rsidP="00CB0624">
            <w:pPr>
              <w:pStyle w:val="odsek"/>
              <w:bidi w:val="0"/>
              <w:ind w:firstLine="0"/>
              <w:jc w:val="center"/>
              <w:rPr>
                <w:rFonts w:ascii="Times New Roman" w:hAnsi="Times New Roman"/>
                <w:sz w:val="20"/>
                <w:szCs w:val="20"/>
              </w:rPr>
            </w:pPr>
            <w:r w:rsidRPr="00690A36">
              <w:rPr>
                <w:rFonts w:ascii="Times New Roman" w:hAnsi="Times New Roman"/>
                <w:sz w:val="20"/>
                <w:szCs w:val="20"/>
              </w:rPr>
              <w:t>O:1-3</w:t>
            </w:r>
          </w:p>
          <w:p w:rsidR="00CB0624" w:rsidRPr="00690A36" w:rsidP="00CB0624">
            <w:pPr>
              <w:pStyle w:val="odsek"/>
              <w:bidi w:val="0"/>
              <w:ind w:firstLine="0"/>
              <w:rPr>
                <w:rFonts w:ascii="Times New Roman" w:hAnsi="Times New Roman"/>
                <w:sz w:val="20"/>
                <w:szCs w:val="20"/>
              </w:rPr>
            </w:pPr>
          </w:p>
          <w:p w:rsidR="00CB0624" w:rsidRPr="00690A36" w:rsidP="00CB0624">
            <w:pPr>
              <w:pStyle w:val="odsek"/>
              <w:bidi w:val="0"/>
              <w:rPr>
                <w:rFonts w:ascii="Times New Roman" w:hAnsi="Times New Roman"/>
                <w:sz w:val="20"/>
                <w:szCs w:val="20"/>
              </w:rPr>
            </w:pPr>
          </w:p>
          <w:p w:rsidR="00CB0624" w:rsidRPr="00690A36" w:rsidP="00CB0624">
            <w:pPr>
              <w:pStyle w:val="odsek"/>
              <w:bidi w:val="0"/>
              <w:rPr>
                <w:rFonts w:ascii="Times New Roman" w:hAnsi="Times New Roman"/>
                <w:sz w:val="20"/>
                <w:szCs w:val="20"/>
              </w:rPr>
            </w:pPr>
          </w:p>
          <w:p w:rsidR="00690A36" w:rsidRPr="00690A36" w:rsidP="00CB0624">
            <w:pPr>
              <w:pStyle w:val="odsek"/>
              <w:bidi w:val="0"/>
              <w:rPr>
                <w:rFonts w:ascii="Times New Roman" w:hAnsi="Times New Roman"/>
                <w:sz w:val="20"/>
                <w:szCs w:val="20"/>
              </w:rPr>
            </w:pPr>
          </w:p>
          <w:p w:rsidR="00690A36" w:rsidRPr="00690A36" w:rsidP="00CB0624">
            <w:pPr>
              <w:pStyle w:val="odsek"/>
              <w:bidi w:val="0"/>
              <w:rPr>
                <w:rFonts w:ascii="Times New Roman" w:hAnsi="Times New Roman"/>
                <w:sz w:val="20"/>
                <w:szCs w:val="20"/>
              </w:rPr>
            </w:pPr>
          </w:p>
          <w:p w:rsidR="00690A36" w:rsidRPr="00690A36" w:rsidP="00CB0624">
            <w:pPr>
              <w:pStyle w:val="odsek"/>
              <w:bidi w:val="0"/>
              <w:rPr>
                <w:rFonts w:ascii="Times New Roman" w:hAnsi="Times New Roman"/>
                <w:sz w:val="20"/>
                <w:szCs w:val="20"/>
              </w:rPr>
            </w:pPr>
          </w:p>
          <w:p w:rsidR="00690A36" w:rsidRPr="00690A36" w:rsidP="00CB0624">
            <w:pPr>
              <w:pStyle w:val="odsek"/>
              <w:bidi w:val="0"/>
              <w:rPr>
                <w:rFonts w:ascii="Times New Roman" w:hAnsi="Times New Roman"/>
                <w:sz w:val="20"/>
                <w:szCs w:val="20"/>
              </w:rPr>
            </w:pPr>
          </w:p>
          <w:p w:rsidR="00CB0624" w:rsidRPr="00690A36" w:rsidP="00CB0624">
            <w:pPr>
              <w:pStyle w:val="odsek"/>
              <w:bidi w:val="0"/>
              <w:rPr>
                <w:rFonts w:ascii="Times New Roman" w:hAnsi="Times New Roman"/>
                <w:sz w:val="20"/>
                <w:szCs w:val="20"/>
              </w:rPr>
            </w:pPr>
            <w:r w:rsidRPr="00690A36">
              <w:rPr>
                <w:rFonts w:ascii="Times New Roman" w:hAnsi="Times New Roman"/>
                <w:sz w:val="20"/>
                <w:szCs w:val="20"/>
              </w:rPr>
              <w:t>P</w:t>
            </w:r>
          </w:p>
          <w:p w:rsidR="00CB0624" w:rsidRPr="00690A36" w:rsidP="00CB0624">
            <w:pPr>
              <w:pStyle w:val="odsek"/>
              <w:bidi w:val="0"/>
              <w:rPr>
                <w:rFonts w:ascii="Times New Roman" w:hAnsi="Times New Roman"/>
                <w:sz w:val="20"/>
                <w:szCs w:val="20"/>
              </w:rPr>
            </w:pPr>
          </w:p>
          <w:p w:rsidR="00CB0624" w:rsidRPr="00690A36" w:rsidP="00CB0624">
            <w:pPr>
              <w:pStyle w:val="odsek"/>
              <w:bidi w:val="0"/>
              <w:rPr>
                <w:rFonts w:ascii="Times New Roman" w:hAnsi="Times New Roman"/>
                <w:sz w:val="20"/>
                <w:szCs w:val="20"/>
              </w:rPr>
            </w:pPr>
          </w:p>
          <w:p w:rsidR="00CB0624" w:rsidRPr="00690A36" w:rsidP="00CB0624">
            <w:pPr>
              <w:pStyle w:val="odsek"/>
              <w:bidi w:val="0"/>
              <w:rPr>
                <w:rFonts w:ascii="Times New Roman" w:hAnsi="Times New Roman"/>
                <w:sz w:val="20"/>
                <w:szCs w:val="20"/>
              </w:rPr>
            </w:pPr>
          </w:p>
          <w:p w:rsidR="00CB0624" w:rsidRPr="00690A36" w:rsidP="00CB0624">
            <w:pPr>
              <w:pStyle w:val="odsek"/>
              <w:bidi w:val="0"/>
              <w:rPr>
                <w:rFonts w:ascii="Times New Roman" w:hAnsi="Times New Roman"/>
                <w:sz w:val="20"/>
                <w:szCs w:val="20"/>
              </w:rPr>
            </w:pPr>
          </w:p>
          <w:p w:rsidR="00630F42" w:rsidRPr="00690A36" w:rsidP="00630F42">
            <w:pPr>
              <w:pStyle w:val="Normlny"/>
              <w:bidi w:val="0"/>
              <w:jc w:val="center"/>
              <w:rPr>
                <w:rFonts w:ascii="Times New Roman" w:hAnsi="Times New Roman"/>
              </w:rPr>
            </w:pPr>
          </w:p>
          <w:p w:rsidR="00630F42" w:rsidP="00690A36">
            <w:pPr>
              <w:pStyle w:val="Normlny"/>
              <w:bidi w:val="0"/>
              <w:rPr>
                <w:rFonts w:ascii="Times New Roman" w:hAnsi="Times New Roman"/>
              </w:rPr>
            </w:pPr>
          </w:p>
          <w:p w:rsidR="00690A36" w:rsidRPr="00690A36" w:rsidP="00690A36">
            <w:pPr>
              <w:pStyle w:val="Normlny"/>
              <w:bidi w:val="0"/>
              <w:rPr>
                <w:rFonts w:ascii="Times New Roman" w:hAnsi="Times New Roman"/>
              </w:rPr>
            </w:pPr>
          </w:p>
          <w:p w:rsidR="00690A36" w:rsidRPr="00690A36" w:rsidP="00690A36">
            <w:pPr>
              <w:pStyle w:val="Normlny"/>
              <w:bidi w:val="0"/>
              <w:rPr>
                <w:rFonts w:ascii="Times New Roman" w:hAnsi="Times New Roman"/>
              </w:rPr>
            </w:pPr>
          </w:p>
          <w:p w:rsidR="00CB0624" w:rsidRPr="00690A36" w:rsidP="00690A36">
            <w:pPr>
              <w:pStyle w:val="Normlny"/>
              <w:bidi w:val="0"/>
              <w:jc w:val="center"/>
              <w:rPr>
                <w:rFonts w:ascii="Times New Roman" w:hAnsi="Times New Roman"/>
              </w:rPr>
            </w:pPr>
            <w:r w:rsidRPr="00690A36">
              <w:rPr>
                <w:rFonts w:ascii="Times New Roman" w:hAnsi="Times New Roman"/>
              </w:rPr>
              <w:t>§</w:t>
            </w:r>
            <w:r w:rsidRPr="00690A36" w:rsidR="007C036E">
              <w:rPr>
                <w:rFonts w:ascii="Times New Roman" w:hAnsi="Times New Roman"/>
              </w:rPr>
              <w:t>:</w:t>
            </w:r>
            <w:r w:rsidRPr="00690A36">
              <w:rPr>
                <w:rFonts w:ascii="Times New Roman" w:hAnsi="Times New Roman"/>
              </w:rPr>
              <w:t xml:space="preserve"> </w:t>
            </w:r>
            <w:r w:rsidRPr="00690A36" w:rsidR="00630F42">
              <w:rPr>
                <w:rFonts w:ascii="Times New Roman" w:hAnsi="Times New Roman"/>
              </w:rPr>
              <w:t>29</w:t>
            </w:r>
            <w:r w:rsidRPr="00690A36" w:rsidR="00690A36">
              <w:rPr>
                <w:rFonts w:ascii="Times New Roman" w:hAnsi="Times New Roman"/>
              </w:rPr>
              <w:t>9</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666B21" w:rsidRPr="00690A36" w:rsidP="00666B21">
            <w:pPr>
              <w:pStyle w:val="odsek"/>
              <w:bidi w:val="0"/>
              <w:rPr>
                <w:rFonts w:ascii="Times New Roman" w:hAnsi="Times New Roman"/>
                <w:sz w:val="20"/>
                <w:szCs w:val="20"/>
              </w:rPr>
            </w:pPr>
            <w:r w:rsidRPr="00690A36" w:rsidR="00690A36">
              <w:rPr>
                <w:rFonts w:ascii="Times New Roman" w:hAnsi="Times New Roman"/>
                <w:sz w:val="20"/>
                <w:szCs w:val="20"/>
              </w:rPr>
              <w:t>Konanie o abstraktnej kontrole v spotrebiteľských veciach je konanie, v ktorom súd skúma neprijateľnosť podmienok v spotrebiteľskej zmluve alebo v iných zmluvných dokumentoch súvisiacich so spotrebiteľskou zmluvou a nekalé obchodné praktiky nezávisle od okolností konkrétneho prípadu.</w:t>
            </w:r>
          </w:p>
          <w:p w:rsidR="00690A36" w:rsidRPr="00690A36" w:rsidP="00666B21">
            <w:pPr>
              <w:pStyle w:val="odsek"/>
              <w:bidi w:val="0"/>
              <w:rPr>
                <w:rFonts w:ascii="Times New Roman" w:hAnsi="Times New Roman"/>
                <w:sz w:val="20"/>
                <w:szCs w:val="20"/>
              </w:rPr>
            </w:pPr>
          </w:p>
          <w:p w:rsidR="00690A36" w:rsidRPr="00690A36" w:rsidP="00690A36">
            <w:pPr>
              <w:pStyle w:val="odsek"/>
              <w:bidi w:val="0"/>
              <w:ind w:firstLine="0"/>
              <w:rPr>
                <w:rFonts w:ascii="Times New Roman" w:hAnsi="Times New Roman"/>
                <w:sz w:val="20"/>
                <w:szCs w:val="20"/>
              </w:rPr>
            </w:pPr>
            <w:r w:rsidRPr="00690A36">
              <w:rPr>
                <w:rFonts w:ascii="Times New Roman" w:hAnsi="Times New Roman"/>
                <w:sz w:val="20"/>
                <w:szCs w:val="20"/>
              </w:rPr>
              <w:t>§ 295</w:t>
            </w:r>
          </w:p>
          <w:p w:rsidR="00690A36" w:rsidRPr="00690A36" w:rsidP="00690A36">
            <w:pPr>
              <w:pStyle w:val="odsek"/>
              <w:bidi w:val="0"/>
              <w:rPr>
                <w:rFonts w:ascii="Times New Roman" w:hAnsi="Times New Roman"/>
                <w:sz w:val="20"/>
                <w:szCs w:val="20"/>
              </w:rPr>
            </w:pPr>
          </w:p>
          <w:p w:rsidR="00630F42" w:rsidRPr="00690A36" w:rsidP="00690A36">
            <w:pPr>
              <w:pStyle w:val="odsek"/>
              <w:bidi w:val="0"/>
              <w:ind w:firstLine="0"/>
              <w:rPr>
                <w:rFonts w:ascii="Times New Roman" w:hAnsi="Times New Roman"/>
                <w:sz w:val="20"/>
                <w:szCs w:val="20"/>
              </w:rPr>
            </w:pPr>
            <w:r w:rsidRPr="00690A36" w:rsidR="00690A36">
              <w:rPr>
                <w:rFonts w:ascii="Times New Roman" w:hAnsi="Times New Roman"/>
                <w:sz w:val="20"/>
                <w:szCs w:val="20"/>
              </w:rPr>
              <w:t>Žalobu podľa § 294 môže podať iba právnická osoba založená alebo zriadená na ochranu spotrebiteľa voči dodávateľovi a orgán dohľadu podľa osobitných predpisov.24 )</w:t>
            </w:r>
          </w:p>
          <w:p w:rsidR="00690A36" w:rsidRPr="00690A36" w:rsidP="00690A36">
            <w:pPr>
              <w:pStyle w:val="odsek"/>
              <w:bidi w:val="0"/>
              <w:ind w:firstLine="0"/>
              <w:rPr>
                <w:rFonts w:ascii="Times New Roman" w:hAnsi="Times New Roman"/>
                <w:sz w:val="20"/>
                <w:szCs w:val="20"/>
              </w:rPr>
            </w:pPr>
          </w:p>
          <w:p w:rsidR="00690A36" w:rsidRPr="00690A36" w:rsidP="00690A36">
            <w:pPr>
              <w:pStyle w:val="odsek"/>
              <w:bidi w:val="0"/>
              <w:ind w:firstLine="0"/>
              <w:rPr>
                <w:rFonts w:ascii="Times New Roman" w:hAnsi="Times New Roman"/>
                <w:sz w:val="20"/>
                <w:szCs w:val="20"/>
              </w:rPr>
            </w:pPr>
            <w:r w:rsidRPr="00690A36">
              <w:rPr>
                <w:rFonts w:ascii="Times New Roman" w:hAnsi="Times New Roman"/>
                <w:sz w:val="20"/>
                <w:szCs w:val="20"/>
              </w:rPr>
              <w:t>Poznámka pod čiarou 24 znie: Napríklad zákon Národnej rady Slovenskej republiky č. 566/1992 Zb. o Národnej banke Slovenska v znení neskorších predpisov, zákon č. 128/2002 Z. z. o štátnej kontrole vnútorného trhu vo veciach ochrany spotrebiteľa a o zmene a doplnení niektorých zákonov v znení neskorších predpisov, zákon č. 747/2004 Z. z. o dohľade nad finančným trhom a o zmene a doplnení niektorých zákonov v znení neskorších predpisov, zákon č. 250/2012 Z. z. o regulácii v sieťových odvetviach v znení zákona č. 435/2013 Z. z., zákon č. 402/2013 Z. z. o Úrade pre reguláciu elektronických komunikácií a poštových služieb a Dopravnom úrade a o zmene a doplnení niektorých zákonov.</w:t>
            </w:r>
          </w:p>
          <w:p w:rsidR="00690A36" w:rsidRPr="00690A36" w:rsidP="00690A36">
            <w:pPr>
              <w:pStyle w:val="odsek"/>
              <w:bidi w:val="0"/>
              <w:ind w:firstLine="0"/>
              <w:rPr>
                <w:rFonts w:ascii="Times New Roman" w:hAnsi="Times New Roman"/>
                <w:sz w:val="20"/>
                <w:szCs w:val="20"/>
              </w:rPr>
            </w:pPr>
          </w:p>
          <w:p w:rsidR="00690A36" w:rsidRPr="00690A36" w:rsidP="00690A36">
            <w:pPr>
              <w:pStyle w:val="odsek"/>
              <w:bidi w:val="0"/>
              <w:ind w:firstLine="0"/>
              <w:rPr>
                <w:rFonts w:ascii="Times New Roman" w:hAnsi="Times New Roman"/>
                <w:sz w:val="20"/>
                <w:szCs w:val="20"/>
              </w:rPr>
            </w:pPr>
            <w:r w:rsidRPr="00690A36">
              <w:rPr>
                <w:rFonts w:ascii="Times New Roman" w:hAnsi="Times New Roman"/>
                <w:sz w:val="20"/>
                <w:szCs w:val="20"/>
              </w:rPr>
              <w:t>§ 296</w:t>
            </w:r>
          </w:p>
          <w:p w:rsidR="00690A36" w:rsidRPr="00690A36" w:rsidP="00690A36">
            <w:pPr>
              <w:pStyle w:val="odsek"/>
              <w:bidi w:val="0"/>
              <w:rPr>
                <w:rFonts w:ascii="Times New Roman" w:hAnsi="Times New Roman"/>
                <w:sz w:val="20"/>
                <w:szCs w:val="20"/>
              </w:rPr>
            </w:pPr>
          </w:p>
          <w:p w:rsidR="00690A36" w:rsidRPr="00690A36" w:rsidP="00690A36">
            <w:pPr>
              <w:pStyle w:val="odsek"/>
              <w:bidi w:val="0"/>
              <w:ind w:firstLine="0"/>
              <w:rPr>
                <w:rFonts w:ascii="Times New Roman" w:hAnsi="Times New Roman"/>
                <w:sz w:val="20"/>
                <w:szCs w:val="20"/>
              </w:rPr>
            </w:pPr>
            <w:r w:rsidRPr="00690A36">
              <w:rPr>
                <w:rFonts w:ascii="Times New Roman" w:hAnsi="Times New Roman"/>
                <w:sz w:val="20"/>
                <w:szCs w:val="20"/>
              </w:rPr>
              <w:t>(1)</w:t>
              <w:tab/>
              <w:t xml:space="preserve">Na konanie sa primerane použijú všeobecné ustanovenia o konaní, ak ďalej nie je uvedené inak. </w:t>
            </w:r>
          </w:p>
          <w:p w:rsidR="00690A36" w:rsidRPr="00690A36" w:rsidP="00690A36">
            <w:pPr>
              <w:pStyle w:val="odsek"/>
              <w:bidi w:val="0"/>
              <w:rPr>
                <w:rFonts w:ascii="Times New Roman" w:hAnsi="Times New Roman"/>
                <w:sz w:val="20"/>
                <w:szCs w:val="20"/>
              </w:rPr>
            </w:pPr>
          </w:p>
          <w:p w:rsidR="00690A36" w:rsidRPr="00690A36" w:rsidP="00690A36">
            <w:pPr>
              <w:pStyle w:val="odsek"/>
              <w:bidi w:val="0"/>
              <w:ind w:firstLine="0"/>
              <w:rPr>
                <w:rFonts w:ascii="Times New Roman" w:hAnsi="Times New Roman"/>
                <w:sz w:val="20"/>
                <w:szCs w:val="20"/>
              </w:rPr>
            </w:pPr>
            <w:r w:rsidRPr="00690A36">
              <w:rPr>
                <w:rFonts w:ascii="Times New Roman" w:hAnsi="Times New Roman"/>
                <w:sz w:val="20"/>
                <w:szCs w:val="20"/>
              </w:rPr>
              <w:t>(2)</w:t>
              <w:tab/>
              <w:t>Súd môže vykonať aj tie dôkazy, ktoré neboli navrhnuté, ak je to nevyhnutné na rozhodnutie vo veci. Súd aj bez návrhu obstará alebo zabezpečí takýto dôkaz.</w:t>
            </w:r>
          </w:p>
          <w:p w:rsidR="00690A36" w:rsidRPr="00690A36" w:rsidP="00690A36">
            <w:pPr>
              <w:pStyle w:val="odsek"/>
              <w:bidi w:val="0"/>
              <w:rPr>
                <w:rFonts w:ascii="Times New Roman" w:hAnsi="Times New Roman"/>
                <w:sz w:val="20"/>
                <w:szCs w:val="20"/>
              </w:rPr>
            </w:pPr>
          </w:p>
          <w:p w:rsidR="00630F42" w:rsidRPr="00690A36" w:rsidP="00690A36">
            <w:pPr>
              <w:pStyle w:val="odsek"/>
              <w:bidi w:val="0"/>
              <w:ind w:firstLine="0"/>
              <w:rPr>
                <w:rFonts w:ascii="Times New Roman" w:hAnsi="Times New Roman"/>
                <w:sz w:val="20"/>
                <w:szCs w:val="20"/>
              </w:rPr>
            </w:pPr>
            <w:r w:rsidRPr="00690A36" w:rsidR="00690A36">
              <w:rPr>
                <w:rFonts w:ascii="Times New Roman" w:hAnsi="Times New Roman"/>
                <w:sz w:val="20"/>
                <w:szCs w:val="20"/>
              </w:rPr>
              <w:t>(3)</w:t>
              <w:tab/>
              <w:t>Ustanovenia o sudcovskej koncentrácii konania sa nepoužijú.</w:t>
            </w:r>
          </w:p>
          <w:p w:rsidR="00690A36" w:rsidRPr="00690A36" w:rsidP="00690A36">
            <w:pPr>
              <w:pStyle w:val="odsek"/>
              <w:bidi w:val="0"/>
              <w:ind w:firstLine="0"/>
              <w:rPr>
                <w:rFonts w:ascii="Times New Roman" w:hAnsi="Times New Roman"/>
                <w:sz w:val="20"/>
                <w:szCs w:val="20"/>
              </w:rPr>
            </w:pPr>
          </w:p>
          <w:p w:rsidR="00690A36" w:rsidRPr="00690A36" w:rsidP="00690A36">
            <w:pPr>
              <w:pStyle w:val="odsek"/>
              <w:bidi w:val="0"/>
              <w:ind w:firstLine="0"/>
              <w:rPr>
                <w:rFonts w:ascii="Times New Roman" w:hAnsi="Times New Roman"/>
                <w:sz w:val="20"/>
                <w:szCs w:val="20"/>
              </w:rPr>
            </w:pPr>
          </w:p>
          <w:p w:rsidR="00666B21" w:rsidRPr="00690A36" w:rsidP="00CB0624">
            <w:pPr>
              <w:pStyle w:val="odsek"/>
              <w:bidi w:val="0"/>
              <w:ind w:firstLine="0"/>
              <w:rPr>
                <w:rFonts w:ascii="Times New Roman" w:hAnsi="Times New Roman"/>
                <w:sz w:val="20"/>
                <w:szCs w:val="20"/>
              </w:rPr>
            </w:pPr>
            <w:r w:rsidRPr="00690A36">
              <w:rPr>
                <w:rFonts w:ascii="Times New Roman" w:hAnsi="Times New Roman"/>
                <w:sz w:val="20"/>
                <w:szCs w:val="20"/>
              </w:rPr>
              <w:t>Pojednávanie nie je potrebné nariaďovať.</w:t>
            </w:r>
          </w:p>
          <w:p w:rsidR="00666B21" w:rsidRPr="00690A36" w:rsidP="00CB0624">
            <w:pPr>
              <w:pStyle w:val="odsek"/>
              <w:bidi w:val="0"/>
              <w:rPr>
                <w:rFonts w:ascii="Times New Roman" w:hAnsi="Times New Roman"/>
                <w:sz w:val="20"/>
                <w:szCs w:val="20"/>
              </w:rPr>
            </w:pPr>
            <w:r w:rsidRPr="00690A36">
              <w:rPr>
                <w:rFonts w:ascii="Times New Roman" w:hAnsi="Times New Roman"/>
                <w:sz w:val="20"/>
                <w:szCs w:val="20"/>
              </w:rPr>
              <w:t xml:space="preserve"> </w:t>
            </w:r>
          </w:p>
          <w:p w:rsidR="00690A36" w:rsidRPr="00690A36" w:rsidP="00690A36">
            <w:pPr>
              <w:pStyle w:val="odsek"/>
              <w:bidi w:val="0"/>
              <w:ind w:firstLine="0"/>
              <w:rPr>
                <w:rFonts w:ascii="Times New Roman" w:hAnsi="Times New Roman"/>
                <w:sz w:val="20"/>
                <w:szCs w:val="20"/>
              </w:rPr>
            </w:pPr>
            <w:r w:rsidRPr="00690A36">
              <w:rPr>
                <w:rFonts w:ascii="Times New Roman" w:hAnsi="Times New Roman"/>
                <w:sz w:val="20"/>
                <w:szCs w:val="20"/>
              </w:rPr>
              <w:t>(1) Súd vo veci samej rozhoduje rozsudkom. Ak žalobe vyhovie, vo výroku určí neprijateľnosť zmluvnej podmienky a znenie tejto zmluvnej podmienky výslovne uvedie alebo vo výroku určí, ž</w:t>
            </w:r>
            <w:r w:rsidR="0093354D">
              <w:rPr>
                <w:rFonts w:ascii="Times New Roman" w:hAnsi="Times New Roman"/>
                <w:sz w:val="20"/>
                <w:szCs w:val="20"/>
              </w:rPr>
              <w:t>e obchodná praktika je nekalá, i</w:t>
            </w:r>
            <w:r w:rsidRPr="00690A36">
              <w:rPr>
                <w:rFonts w:ascii="Times New Roman" w:hAnsi="Times New Roman"/>
                <w:sz w:val="20"/>
                <w:szCs w:val="20"/>
              </w:rPr>
              <w:t xml:space="preserve">nak žalobu zamietne. </w:t>
            </w:r>
          </w:p>
          <w:p w:rsidR="00690A36" w:rsidRPr="00690A36" w:rsidP="00690A36">
            <w:pPr>
              <w:pStyle w:val="odsek"/>
              <w:bidi w:val="0"/>
              <w:rPr>
                <w:rFonts w:ascii="Times New Roman" w:hAnsi="Times New Roman"/>
                <w:sz w:val="20"/>
                <w:szCs w:val="20"/>
              </w:rPr>
            </w:pPr>
          </w:p>
          <w:p w:rsidR="00690A36" w:rsidRPr="00690A36" w:rsidP="00690A36">
            <w:pPr>
              <w:pStyle w:val="odsek"/>
              <w:bidi w:val="0"/>
              <w:ind w:firstLine="0"/>
              <w:rPr>
                <w:rFonts w:ascii="Times New Roman" w:hAnsi="Times New Roman"/>
                <w:sz w:val="20"/>
                <w:szCs w:val="20"/>
              </w:rPr>
            </w:pPr>
            <w:r w:rsidRPr="00690A36">
              <w:rPr>
                <w:rFonts w:ascii="Times New Roman" w:hAnsi="Times New Roman"/>
                <w:sz w:val="20"/>
                <w:szCs w:val="20"/>
              </w:rPr>
              <w:t>(2) Ak súd právoplatne určí neprijateľnosť zmluvnej podmienky alebo určí, že obchodná praktika je nekalá, žalobca je oprávnený vhodnou formou zabezpečiť zverejnenie tohto rozsudku.</w:t>
            </w:r>
          </w:p>
          <w:p w:rsidR="00690A36" w:rsidRPr="00690A36" w:rsidP="00690A36">
            <w:pPr>
              <w:pStyle w:val="odsek"/>
              <w:bidi w:val="0"/>
              <w:rPr>
                <w:rFonts w:ascii="Times New Roman" w:hAnsi="Times New Roman"/>
                <w:sz w:val="20"/>
                <w:szCs w:val="20"/>
              </w:rPr>
            </w:pPr>
          </w:p>
          <w:p w:rsidR="00630F42" w:rsidRPr="00690A36" w:rsidP="00690A36">
            <w:pPr>
              <w:pStyle w:val="odsek"/>
              <w:bidi w:val="0"/>
              <w:spacing w:before="0" w:after="0"/>
              <w:ind w:firstLine="0"/>
              <w:rPr>
                <w:rFonts w:ascii="Times New Roman" w:hAnsi="Times New Roman"/>
                <w:sz w:val="20"/>
                <w:szCs w:val="20"/>
              </w:rPr>
            </w:pPr>
            <w:r w:rsidRPr="00690A36" w:rsidR="00690A36">
              <w:rPr>
                <w:rFonts w:ascii="Times New Roman" w:hAnsi="Times New Roman"/>
                <w:sz w:val="20"/>
                <w:szCs w:val="20"/>
              </w:rPr>
              <w:t xml:space="preserve">(3) Ak súd určí neprijateľnosť zmluvnej podmienky alebo určí, že obchodná praktika je nekalá, zakáže žalovanému používať túto podmienku alebo podmienku s rovnakým významom vo všetkých zmluvách alebo v iných zmluvných dokumentoch súvisiacich so spotrebiteľskou zmluvou alebo žalovanému zakáže používať nekalú obchodnú praktiku. </w:t>
            </w:r>
          </w:p>
          <w:p w:rsidR="00690A36" w:rsidP="00630F42">
            <w:pPr>
              <w:pStyle w:val="odsek"/>
              <w:bidi w:val="0"/>
              <w:spacing w:before="0" w:after="0"/>
              <w:ind w:firstLine="0"/>
              <w:rPr>
                <w:rFonts w:ascii="Times New Roman" w:hAnsi="Times New Roman"/>
                <w:sz w:val="20"/>
                <w:szCs w:val="20"/>
              </w:rPr>
            </w:pPr>
          </w:p>
          <w:p w:rsidR="00630F42" w:rsidRPr="00690A36" w:rsidP="00630F42">
            <w:pPr>
              <w:pStyle w:val="odsek"/>
              <w:bidi w:val="0"/>
              <w:spacing w:before="0" w:after="0"/>
              <w:ind w:firstLine="0"/>
              <w:rPr>
                <w:rFonts w:ascii="Times New Roman" w:hAnsi="Times New Roman"/>
                <w:sz w:val="20"/>
                <w:szCs w:val="20"/>
              </w:rPr>
            </w:pPr>
            <w:r w:rsidRPr="00690A36">
              <w:rPr>
                <w:rFonts w:ascii="Times New Roman" w:hAnsi="Times New Roman"/>
                <w:sz w:val="20"/>
                <w:szCs w:val="20"/>
              </w:rPr>
              <w:t>Účinky rozsudku</w:t>
            </w:r>
          </w:p>
          <w:p w:rsidR="00630F42" w:rsidRPr="00690A36" w:rsidP="00630F42">
            <w:pPr>
              <w:pStyle w:val="odsek"/>
              <w:bidi w:val="0"/>
              <w:spacing w:before="0" w:after="0"/>
              <w:rPr>
                <w:rFonts w:ascii="Times New Roman" w:hAnsi="Times New Roman"/>
                <w:sz w:val="20"/>
                <w:szCs w:val="20"/>
              </w:rPr>
            </w:pPr>
          </w:p>
          <w:p w:rsidR="00837C24" w:rsidRPr="00690A36" w:rsidP="00630F42">
            <w:pPr>
              <w:pStyle w:val="odsek"/>
              <w:bidi w:val="0"/>
              <w:spacing w:before="0" w:after="0"/>
              <w:ind w:firstLine="0"/>
              <w:rPr>
                <w:rFonts w:ascii="Times New Roman" w:hAnsi="Times New Roman"/>
                <w:sz w:val="20"/>
                <w:szCs w:val="20"/>
              </w:rPr>
            </w:pPr>
            <w:r w:rsidRPr="00690A36" w:rsidR="00690A36">
              <w:rPr>
                <w:rFonts w:ascii="Times New Roman" w:hAnsi="Times New Roman"/>
                <w:sz w:val="20"/>
                <w:szCs w:val="20"/>
              </w:rPr>
              <w:t>Výrok právoplatného rozsudku podľa § 298 je záväzný pre každého.</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201CA" w:rsidRPr="005441F3">
            <w:pPr>
              <w:bidi w:val="0"/>
              <w:jc w:val="center"/>
              <w:rPr>
                <w:rFonts w:ascii="Times New Roman" w:hAnsi="Times New Roman"/>
                <w:sz w:val="20"/>
                <w:szCs w:val="20"/>
              </w:rPr>
            </w:pPr>
            <w:r w:rsidRPr="005441F3">
              <w:rPr>
                <w:rFonts w:ascii="Times New Roman" w:hAnsi="Times New Roman"/>
                <w:sz w:val="20"/>
                <w:szCs w:val="20"/>
              </w:rPr>
              <w:t>Ú</w:t>
            </w:r>
          </w:p>
        </w:tc>
        <w:tc>
          <w:tcPr>
            <w:tcW w:w="3960" w:type="dxa"/>
            <w:gridSpan w:val="2"/>
            <w:tcBorders>
              <w:top w:val="single" w:sz="4" w:space="0" w:color="auto"/>
              <w:left w:val="single" w:sz="4" w:space="0" w:color="auto"/>
              <w:bottom w:val="single" w:sz="4" w:space="0" w:color="auto"/>
              <w:right w:val="single" w:sz="4" w:space="0" w:color="auto"/>
            </w:tcBorders>
            <w:textDirection w:val="lrTb"/>
            <w:vAlign w:val="top"/>
          </w:tcPr>
          <w:p w:rsidR="00E201CA" w:rsidRPr="005441F3">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201CA" w:rsidRPr="005441F3">
            <w:pPr>
              <w:bidi w:val="0"/>
              <w:jc w:val="center"/>
              <w:rPr>
                <w:rFonts w:ascii="Times New Roman" w:hAnsi="Times New Roman"/>
                <w:sz w:val="20"/>
                <w:szCs w:val="20"/>
              </w:rPr>
            </w:pPr>
            <w:r w:rsidRPr="005441F3">
              <w:rPr>
                <w:rFonts w:ascii="Times New Roman" w:hAnsi="Times New Roman"/>
                <w:sz w:val="20"/>
                <w:szCs w:val="20"/>
              </w:rPr>
              <w:t>Č:3</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201CA" w:rsidRPr="005441F3" w:rsidP="0084591F">
            <w:pPr>
              <w:pStyle w:val="NormalWeb"/>
              <w:bidi w:val="0"/>
              <w:spacing w:before="75" w:beforeAutospacing="0" w:after="75" w:afterAutospacing="0"/>
              <w:rPr>
                <w:rFonts w:ascii="Times New Roman" w:hAnsi="Times New Roman"/>
                <w:color w:val="000000"/>
                <w:sz w:val="20"/>
                <w:szCs w:val="20"/>
              </w:rPr>
            </w:pPr>
            <w:r w:rsidRPr="005441F3">
              <w:rPr>
                <w:rFonts w:ascii="Times New Roman" w:hAnsi="Times New Roman"/>
                <w:color w:val="000000"/>
                <w:sz w:val="20"/>
                <w:szCs w:val="20"/>
              </w:rPr>
              <w:t xml:space="preserve">Na účely tejto smernice sa "oprávneným subjektom" rozumie každý orgán alebo organizácia riadne zriadená podľa práva niektorého členského štátu, ktorá má legitímny záujem zabezpečovať plnenie ustanovení uvedených v článku </w:t>
            </w:r>
            <w:smartTag w:uri="urn:schemas-microsoft-com:office:smarttags" w:element="metricconverter">
              <w:smartTagPr>
                <w:attr w:name="ProductID" w:val="1, a"/>
              </w:smartTagPr>
              <w:r w:rsidRPr="005441F3">
                <w:rPr>
                  <w:rFonts w:ascii="Times New Roman" w:hAnsi="Times New Roman"/>
                  <w:color w:val="000000"/>
                  <w:sz w:val="20"/>
                  <w:szCs w:val="20"/>
                </w:rPr>
                <w:t>1, a</w:t>
              </w:r>
            </w:smartTag>
            <w:r w:rsidRPr="005441F3">
              <w:rPr>
                <w:rFonts w:ascii="Times New Roman" w:hAnsi="Times New Roman"/>
                <w:color w:val="000000"/>
                <w:sz w:val="20"/>
                <w:szCs w:val="20"/>
              </w:rPr>
              <w:t xml:space="preserve"> najmä:</w:t>
            </w:r>
          </w:p>
          <w:p w:rsidR="00E201CA" w:rsidRPr="005441F3" w:rsidP="0084591F">
            <w:pPr>
              <w:pStyle w:val="NormalWeb"/>
              <w:bidi w:val="0"/>
              <w:spacing w:before="75" w:beforeAutospacing="0" w:after="75" w:afterAutospacing="0"/>
              <w:rPr>
                <w:rFonts w:ascii="Times New Roman" w:hAnsi="Times New Roman"/>
                <w:color w:val="000000"/>
                <w:sz w:val="20"/>
                <w:szCs w:val="20"/>
              </w:rPr>
            </w:pPr>
            <w:r w:rsidRPr="005441F3">
              <w:rPr>
                <w:rFonts w:ascii="Times New Roman" w:hAnsi="Times New Roman"/>
                <w:color w:val="000000"/>
                <w:sz w:val="20"/>
                <w:szCs w:val="20"/>
              </w:rPr>
              <w:t>a) nezávislý orgán alebo niekoľko nezávislých orgánov špecificky zodpovedných za ochranu záujmov uvedených v článku 1 v členských štátoch, v ktorých tieto orgány existujú, a/alebo</w:t>
            </w:r>
          </w:p>
          <w:p w:rsidR="00E201CA" w:rsidRPr="005441F3" w:rsidP="0084591F">
            <w:pPr>
              <w:pStyle w:val="NormalWeb"/>
              <w:bidi w:val="0"/>
              <w:spacing w:before="75" w:beforeAutospacing="0" w:after="75" w:afterAutospacing="0"/>
              <w:rPr>
                <w:rFonts w:ascii="Times New Roman" w:hAnsi="Times New Roman"/>
                <w:color w:val="000000"/>
                <w:sz w:val="20"/>
                <w:szCs w:val="20"/>
              </w:rPr>
            </w:pPr>
            <w:r w:rsidRPr="005441F3">
              <w:rPr>
                <w:rFonts w:ascii="Times New Roman" w:hAnsi="Times New Roman"/>
                <w:sz w:val="20"/>
                <w:szCs w:val="20"/>
              </w:rPr>
              <w:t>b) organizácie, ktorých účelom je ochrana záujmov uvedených v článku 1 v súlade s kritériami stanovenými ich vnútroštátnym právom.</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201CA" w:rsidRPr="005441F3">
            <w:pPr>
              <w:bidi w:val="0"/>
              <w:jc w:val="center"/>
              <w:rPr>
                <w:rFonts w:ascii="Times New Roman" w:hAnsi="Times New Roman"/>
                <w:sz w:val="20"/>
                <w:szCs w:val="20"/>
              </w:rPr>
            </w:pPr>
            <w:r w:rsidRPr="005441F3">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E201CA" w:rsidRPr="005441F3">
            <w:pPr>
              <w:bidi w:val="0"/>
              <w:jc w:val="center"/>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201CA" w:rsidRPr="00690A36" w:rsidP="00630F42">
            <w:pPr>
              <w:pStyle w:val="Normlny"/>
              <w:bidi w:val="0"/>
              <w:jc w:val="center"/>
              <w:rPr>
                <w:rFonts w:ascii="Times New Roman" w:hAnsi="Times New Roman"/>
              </w:rPr>
            </w:pPr>
            <w:r w:rsidRPr="00690A36" w:rsidR="00CB0624">
              <w:rPr>
                <w:rFonts w:ascii="Times New Roman" w:hAnsi="Times New Roman"/>
              </w:rPr>
              <w:t>§: 29</w:t>
            </w:r>
            <w:r w:rsidR="00690A36">
              <w:rPr>
                <w:rFonts w:ascii="Times New Roman" w:hAnsi="Times New Roman"/>
              </w:rPr>
              <w:t>5</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690A36" w:rsidRPr="00690A36" w:rsidP="00690A36">
            <w:pPr>
              <w:pStyle w:val="odsek"/>
              <w:bidi w:val="0"/>
              <w:ind w:firstLine="0"/>
              <w:rPr>
                <w:rFonts w:ascii="Times New Roman" w:hAnsi="Times New Roman"/>
                <w:sz w:val="20"/>
                <w:szCs w:val="20"/>
              </w:rPr>
            </w:pPr>
            <w:r w:rsidRPr="00690A36">
              <w:rPr>
                <w:rFonts w:ascii="Times New Roman" w:hAnsi="Times New Roman"/>
                <w:sz w:val="20"/>
                <w:szCs w:val="20"/>
              </w:rPr>
              <w:t>§ 295</w:t>
            </w:r>
          </w:p>
          <w:p w:rsidR="00690A36" w:rsidRPr="00690A36" w:rsidP="00690A36">
            <w:pPr>
              <w:pStyle w:val="odsek"/>
              <w:bidi w:val="0"/>
              <w:rPr>
                <w:rFonts w:ascii="Times New Roman" w:hAnsi="Times New Roman"/>
                <w:sz w:val="20"/>
                <w:szCs w:val="20"/>
              </w:rPr>
            </w:pPr>
          </w:p>
          <w:p w:rsidR="00690A36" w:rsidRPr="00690A36" w:rsidP="00690A36">
            <w:pPr>
              <w:pStyle w:val="odsek"/>
              <w:bidi w:val="0"/>
              <w:ind w:firstLine="0"/>
              <w:rPr>
                <w:rFonts w:ascii="Times New Roman" w:hAnsi="Times New Roman"/>
                <w:sz w:val="20"/>
                <w:szCs w:val="20"/>
              </w:rPr>
            </w:pPr>
            <w:r w:rsidRPr="00690A36">
              <w:rPr>
                <w:rFonts w:ascii="Times New Roman" w:hAnsi="Times New Roman"/>
                <w:sz w:val="20"/>
                <w:szCs w:val="20"/>
              </w:rPr>
              <w:t>Žalobu podľa § 294 môže podať iba právnická osoba založená alebo zriadená na ochranu spotrebiteľa voči dodávateľovi a orgán dohľadu podľa osobitných predpisov.24 )</w:t>
            </w:r>
          </w:p>
          <w:p w:rsidR="00690A36" w:rsidRPr="00690A36" w:rsidP="00690A36">
            <w:pPr>
              <w:pStyle w:val="odsek"/>
              <w:bidi w:val="0"/>
              <w:ind w:firstLine="0"/>
              <w:rPr>
                <w:rFonts w:ascii="Times New Roman" w:hAnsi="Times New Roman"/>
                <w:sz w:val="20"/>
                <w:szCs w:val="20"/>
              </w:rPr>
            </w:pPr>
          </w:p>
          <w:p w:rsidR="00690A36" w:rsidRPr="00690A36" w:rsidP="00690A36">
            <w:pPr>
              <w:pStyle w:val="odsek"/>
              <w:bidi w:val="0"/>
              <w:ind w:firstLine="0"/>
              <w:rPr>
                <w:rFonts w:ascii="Times New Roman" w:hAnsi="Times New Roman"/>
                <w:sz w:val="20"/>
                <w:szCs w:val="20"/>
              </w:rPr>
            </w:pPr>
            <w:r w:rsidRPr="00690A36">
              <w:rPr>
                <w:rFonts w:ascii="Times New Roman" w:hAnsi="Times New Roman"/>
                <w:sz w:val="20"/>
                <w:szCs w:val="20"/>
              </w:rPr>
              <w:t>Poznámka pod čiarou 24 znie: Napríklad zákon Národnej rady Slovenskej republiky č. 566/1992 Zb. o Národnej banke Slovenska v znení neskorších predpisov, zákon č. 128/2002 Z. z. o štátnej kontrole vnútorného trhu vo veciach ochrany spotrebiteľa a o zmene a doplnení niektorých zákonov v znení neskorších predpisov, zákon č. 747/2004 Z. z. o dohľade nad finančným trhom a o zmene a doplnení niektorých zákonov v znení neskorších predpisov, zákon č. 250/2012 Z. z. o regulácii v sieťových odvetviach v znení zákona č. 435/2013 Z. z., zákon č. 402/2013 Z. z. o Úrade pre reguláciu elektronických komunikácií a poštových služieb a Dopravnom úrade a o zmene a doplnení niektorých zákonov.</w:t>
            </w:r>
          </w:p>
          <w:p w:rsidR="00E201CA" w:rsidRPr="00690A36" w:rsidP="00CB0624">
            <w:pPr>
              <w:pStyle w:val="odsek"/>
              <w:tabs>
                <w:tab w:val="left" w:pos="317"/>
              </w:tabs>
              <w:bidi w:val="0"/>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201CA" w:rsidRPr="005441F3">
            <w:pPr>
              <w:bidi w:val="0"/>
              <w:jc w:val="center"/>
              <w:rPr>
                <w:rFonts w:ascii="Times New Roman" w:hAnsi="Times New Roman"/>
                <w:sz w:val="20"/>
                <w:szCs w:val="20"/>
              </w:rPr>
            </w:pPr>
            <w:r w:rsidRPr="005441F3">
              <w:rPr>
                <w:rFonts w:ascii="Times New Roman" w:hAnsi="Times New Roman"/>
                <w:sz w:val="20"/>
                <w:szCs w:val="20"/>
              </w:rPr>
              <w:t>Ú</w:t>
            </w:r>
          </w:p>
        </w:tc>
        <w:tc>
          <w:tcPr>
            <w:tcW w:w="3960" w:type="dxa"/>
            <w:gridSpan w:val="2"/>
            <w:tcBorders>
              <w:top w:val="single" w:sz="4" w:space="0" w:color="auto"/>
              <w:left w:val="single" w:sz="4" w:space="0" w:color="auto"/>
              <w:bottom w:val="single" w:sz="4" w:space="0" w:color="auto"/>
              <w:right w:val="single" w:sz="4" w:space="0" w:color="auto"/>
            </w:tcBorders>
            <w:textDirection w:val="lrTb"/>
            <w:vAlign w:val="top"/>
          </w:tcPr>
          <w:p w:rsidR="00E201CA" w:rsidRPr="005441F3">
            <w:pPr>
              <w:pStyle w:val="Heading1"/>
              <w:bidi w:val="0"/>
              <w:rPr>
                <w:rFonts w:ascii="Times New Roman" w:hAnsi="Times New Roman"/>
                <w:b w:val="0"/>
                <w:bCs w:val="0"/>
                <w:sz w:val="20"/>
                <w:szCs w:val="20"/>
              </w:rPr>
            </w:pPr>
          </w:p>
        </w:tc>
      </w:tr>
      <w:tr>
        <w:tblPrEx>
          <w:tblW w:w="16200" w:type="dxa"/>
          <w:tblInd w:w="-497" w:type="dxa"/>
          <w:tblLayout w:type="fixed"/>
          <w:tblCellMar>
            <w:left w:w="43" w:type="dxa"/>
            <w:right w:w="43" w:type="dxa"/>
          </w:tblCellMar>
        </w:tblPrEx>
        <w:trPr>
          <w:trHeight w:val="1800"/>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E201CA" w:rsidRPr="005441F3">
            <w:pPr>
              <w:bidi w:val="0"/>
              <w:jc w:val="center"/>
              <w:rPr>
                <w:rFonts w:ascii="Times New Roman" w:hAnsi="Times New Roman"/>
                <w:sz w:val="20"/>
                <w:szCs w:val="20"/>
              </w:rPr>
            </w:pPr>
            <w:r w:rsidRPr="005441F3">
              <w:rPr>
                <w:rFonts w:ascii="Times New Roman" w:hAnsi="Times New Roman"/>
                <w:sz w:val="20"/>
                <w:szCs w:val="20"/>
              </w:rPr>
              <w:t>Č:4</w:t>
            </w:r>
          </w:p>
        </w:tc>
        <w:tc>
          <w:tcPr>
            <w:tcW w:w="3421" w:type="dxa"/>
            <w:tcBorders>
              <w:top w:val="single" w:sz="4" w:space="0" w:color="auto"/>
              <w:left w:val="single" w:sz="4" w:space="0" w:color="auto"/>
              <w:bottom w:val="single" w:sz="4" w:space="0" w:color="auto"/>
              <w:right w:val="single" w:sz="4" w:space="0" w:color="auto"/>
            </w:tcBorders>
            <w:textDirection w:val="lrTb"/>
            <w:vAlign w:val="top"/>
          </w:tcPr>
          <w:p w:rsidR="00E201CA" w:rsidRPr="005441F3" w:rsidP="007C036E">
            <w:pPr>
              <w:pStyle w:val="NormalWeb"/>
              <w:bidi w:val="0"/>
              <w:spacing w:before="75" w:beforeAutospacing="0" w:after="75" w:afterAutospacing="0"/>
              <w:rPr>
                <w:rFonts w:ascii="Times New Roman" w:hAnsi="Times New Roman"/>
                <w:color w:val="000000"/>
                <w:sz w:val="20"/>
                <w:szCs w:val="20"/>
              </w:rPr>
            </w:pPr>
            <w:r w:rsidRPr="005441F3">
              <w:rPr>
                <w:rFonts w:ascii="Times New Roman" w:hAnsi="Times New Roman"/>
                <w:color w:val="000000"/>
                <w:sz w:val="20"/>
                <w:szCs w:val="20"/>
              </w:rPr>
              <w:t>2. Na účely boja proti neoprávneným zásahom vnútri Spoločenstva a bez ohľadu na práva zaručené ostatným subjektom podľa vnútroštátnych právnych predpisov členské štáty na požiadanie svojich oprávnených subjektov oznámia Komisii, že tieto subjekty sú oprávnené podať návrh na začatie konania podľa článku 2. Členské štáty informujú Komisiu o názve a účele týchto oprávnených subjektov.</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201CA" w:rsidRPr="005441F3">
            <w:pPr>
              <w:bidi w:val="0"/>
              <w:jc w:val="center"/>
              <w:rPr>
                <w:rFonts w:ascii="Times New Roman" w:hAnsi="Times New Roman"/>
                <w:sz w:val="20"/>
                <w:szCs w:val="20"/>
              </w:rPr>
            </w:pPr>
            <w:r w:rsidRPr="005441F3">
              <w:rPr>
                <w:rFonts w:ascii="Times New Roman" w:hAnsi="Times New Roman"/>
                <w:sz w:val="20"/>
                <w:szCs w:val="20"/>
              </w:rPr>
              <w:t>N</w:t>
            </w:r>
          </w:p>
        </w:tc>
        <w:tc>
          <w:tcPr>
            <w:tcW w:w="1080" w:type="dxa"/>
            <w:tcBorders>
              <w:top w:val="single" w:sz="4" w:space="0" w:color="auto"/>
              <w:left w:val="nil"/>
              <w:bottom w:val="single" w:sz="4" w:space="0" w:color="auto"/>
              <w:right w:val="single" w:sz="4" w:space="0" w:color="auto"/>
            </w:tcBorders>
            <w:textDirection w:val="lrTb"/>
            <w:vAlign w:val="top"/>
          </w:tcPr>
          <w:p w:rsidR="00FD4301" w:rsidRPr="005441F3">
            <w:pPr>
              <w:bidi w:val="0"/>
              <w:jc w:val="center"/>
              <w:rPr>
                <w:rFonts w:ascii="Times New Roman" w:hAnsi="Times New Roman"/>
                <w:sz w:val="20"/>
                <w:szCs w:val="20"/>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837C24" w:rsidRPr="00690A36">
            <w:pPr>
              <w:pStyle w:val="Normlny"/>
              <w:bidi w:val="0"/>
              <w:jc w:val="center"/>
              <w:rPr>
                <w:rFonts w:ascii="Times New Roman" w:hAnsi="Times New Roman"/>
              </w:rPr>
            </w:pPr>
            <w:r w:rsidRPr="00690A36" w:rsidR="007C036E">
              <w:rPr>
                <w:rFonts w:ascii="Times New Roman" w:hAnsi="Times New Roman"/>
              </w:rPr>
              <w:t>§: 2</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E201CA" w:rsidRPr="00690A36" w:rsidP="007C036E">
            <w:pPr>
              <w:pStyle w:val="BodyText"/>
              <w:bidi w:val="0"/>
              <w:rPr>
                <w:rFonts w:ascii="Times New Roman" w:hAnsi="Times New Roman"/>
              </w:rPr>
            </w:pPr>
            <w:r w:rsidRPr="00690A36" w:rsidR="00690A36">
              <w:rPr>
                <w:rFonts w:ascii="Times New Roman" w:hAnsi="Times New Roman"/>
                <w:lang w:eastAsia="en-US"/>
              </w:rPr>
              <w:t>Podľa tohto zákona sa postupuje, ak je daná právomoc súdu, pokiaľ Civilný mimosporový poriadok, Správny súdny poriadok, alebo iný zákon neustanovuje inak.</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201CA" w:rsidRPr="005441F3">
            <w:pPr>
              <w:bidi w:val="0"/>
              <w:jc w:val="center"/>
              <w:rPr>
                <w:rFonts w:ascii="Times New Roman" w:hAnsi="Times New Roman"/>
                <w:sz w:val="20"/>
                <w:szCs w:val="20"/>
              </w:rPr>
            </w:pPr>
            <w:r w:rsidRPr="005441F3">
              <w:rPr>
                <w:rFonts w:ascii="Times New Roman" w:hAnsi="Times New Roman"/>
                <w:sz w:val="20"/>
                <w:szCs w:val="20"/>
              </w:rPr>
              <w:t>Ú</w:t>
            </w:r>
          </w:p>
        </w:tc>
        <w:tc>
          <w:tcPr>
            <w:tcW w:w="3960" w:type="dxa"/>
            <w:gridSpan w:val="2"/>
            <w:tcBorders>
              <w:top w:val="single" w:sz="4" w:space="0" w:color="auto"/>
              <w:left w:val="single" w:sz="4" w:space="0" w:color="auto"/>
              <w:bottom w:val="single" w:sz="4" w:space="0" w:color="auto"/>
              <w:right w:val="single" w:sz="4" w:space="0" w:color="auto"/>
            </w:tcBorders>
            <w:textDirection w:val="lrTb"/>
            <w:vAlign w:val="top"/>
          </w:tcPr>
          <w:p w:rsidR="00E201CA" w:rsidRPr="005441F3">
            <w:pPr>
              <w:pStyle w:val="Heading1"/>
              <w:bidi w:val="0"/>
              <w:rPr>
                <w:rFonts w:ascii="Times New Roman" w:hAnsi="Times New Roman"/>
                <w:b w:val="0"/>
                <w:bCs w:val="0"/>
                <w:sz w:val="20"/>
                <w:szCs w:val="20"/>
              </w:rPr>
            </w:pPr>
          </w:p>
        </w:tc>
      </w:tr>
    </w:tbl>
    <w:p w:rsidR="003C7525" w:rsidRPr="005441F3">
      <w:pPr>
        <w:autoSpaceDE/>
        <w:autoSpaceDN/>
        <w:bidi w:val="0"/>
        <w:rPr>
          <w:rFonts w:ascii="Times New Roman" w:hAnsi="Times New Roman"/>
        </w:rPr>
      </w:pPr>
    </w:p>
    <w:sectPr>
      <w:headerReference w:type="default" r:id="rId4"/>
      <w:footerReference w:type="default" r:id="rId5"/>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EUAlbertina-Regular-Identity-H">
    <w:altName w:val="MS Mincho"/>
    <w:panose1 w:val="00000000000000000000"/>
    <w:charset w:val="80"/>
    <w:family w:val="auto"/>
    <w:pitch w:val="default"/>
    <w:sig w:usb0="00000000" w:usb1="00000000" w:usb2="00000000" w:usb3="00000000" w:csb0="00020000" w:csb1="00000000"/>
  </w:font>
  <w:font w:name="@EUAlbertina-Regular-Identity-H">
    <w:panose1 w:val="00000000000000000000"/>
    <w:charset w:val="80"/>
    <w:family w:val="auto"/>
    <w:pitch w:val="default"/>
    <w:sig w:usb0="00000000" w:usb1="00000000" w:usb2="00000000" w:usb3="00000000" w:csb0="00020000"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401">
    <w:pPr>
      <w:pStyle w:val="Footer"/>
      <w:framePr w:vAnchor="text" w:hAnchor="margin" w:xAlign="center"/>
      <w:bidi w:val="0"/>
      <w:rPr>
        <w:rStyle w:val="PageNumber"/>
        <w:rFonts w:ascii="Times New Roman" w:hAnsi="Times New Roman"/>
        <w:sz w:val="20"/>
      </w:rPr>
    </w:pPr>
    <w:r>
      <w:rPr>
        <w:rStyle w:val="PageNumber"/>
        <w:rFonts w:ascii="Times New Roman" w:hAnsi="Times New Roman"/>
        <w:sz w:val="20"/>
      </w:rPr>
      <w:fldChar w:fldCharType="begin"/>
    </w:r>
    <w:r>
      <w:rPr>
        <w:rStyle w:val="PageNumber"/>
        <w:rFonts w:ascii="Times New Roman" w:hAnsi="Times New Roman"/>
        <w:sz w:val="20"/>
      </w:rPr>
      <w:instrText xml:space="preserve">PAGE  </w:instrText>
    </w:r>
    <w:r>
      <w:rPr>
        <w:rStyle w:val="PageNumber"/>
        <w:rFonts w:ascii="Times New Roman" w:hAnsi="Times New Roman"/>
        <w:sz w:val="20"/>
      </w:rPr>
      <w:fldChar w:fldCharType="separate"/>
    </w:r>
    <w:r w:rsidR="0093354D">
      <w:rPr>
        <w:rStyle w:val="PageNumber"/>
        <w:rFonts w:ascii="Times New Roman" w:hAnsi="Times New Roman"/>
        <w:noProof/>
        <w:sz w:val="20"/>
      </w:rPr>
      <w:t>1</w:t>
    </w:r>
    <w:r>
      <w:rPr>
        <w:rStyle w:val="PageNumber"/>
        <w:rFonts w:ascii="Times New Roman" w:hAnsi="Times New Roman"/>
        <w:sz w:val="20"/>
      </w:rPr>
      <w:fldChar w:fldCharType="end"/>
    </w:r>
  </w:p>
  <w:p w:rsidR="00B87401">
    <w:pPr>
      <w:pStyle w:val="Footer"/>
      <w:bidi w:val="0"/>
      <w:ind w:right="36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401">
    <w:pPr>
      <w:pStyle w:val="Header"/>
      <w:bidi w:val="0"/>
      <w:jc w:val="center"/>
      <w:rPr>
        <w:rFonts w:ascii="Times New Roman" w:hAnsi="Times New Roman"/>
        <w:b/>
        <w:b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0761E"/>
    <w:multiLevelType w:val="hybridMultilevel"/>
    <w:tmpl w:val="1130E102"/>
    <w:lvl w:ilvl="0">
      <w:start w:val="4"/>
      <w:numFmt w:val="decimal"/>
      <w:lvlText w:val="(%1)"/>
      <w:lvlJc w:val="left"/>
      <w:pPr>
        <w:tabs>
          <w:tab w:val="num" w:pos="720"/>
        </w:tabs>
        <w:ind w:left="720" w:hanging="360"/>
      </w:pPr>
      <w:rPr>
        <w:rFonts w:eastAsia="EUAlbertina-Regular-Identity-H"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E3E00AF"/>
    <w:multiLevelType w:val="hybridMultilevel"/>
    <w:tmpl w:val="D61EDC9A"/>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E6A1F05"/>
    <w:multiLevelType w:val="hybridMultilevel"/>
    <w:tmpl w:val="6B9CC96E"/>
    <w:lvl w:ilvl="0">
      <w:start w:val="1"/>
      <w:numFmt w:val="lowerLetter"/>
      <w:lvlText w:val="%1)"/>
      <w:lvlJc w:val="left"/>
      <w:pPr>
        <w:tabs>
          <w:tab w:val="num" w:pos="2340"/>
        </w:tabs>
        <w:ind w:left="2340" w:hanging="360"/>
      </w:pPr>
      <w:rPr>
        <w:rFonts w:ascii="Times New Roman" w:hAnsi="Times New Roman" w:cs="Times New Roman" w:hint="default"/>
        <w:b w:val="0"/>
        <w:i w:val="0"/>
        <w:caps w:val="0"/>
        <w:strike w:val="0"/>
        <w:dstrike w:val="0"/>
        <w:outline w:val="0"/>
        <w:shadow w:val="0"/>
        <w:emboss w:val="0"/>
        <w:imprint w:val="0"/>
        <w:vanish w:val="0"/>
        <w:sz w:val="24"/>
        <w:szCs w:val="24"/>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10E43D89"/>
    <w:multiLevelType w:val="hybridMultilevel"/>
    <w:tmpl w:val="E4401AF2"/>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1773E29"/>
    <w:multiLevelType w:val="singleLevel"/>
    <w:tmpl w:val="B75E3EB6"/>
    <w:lvl w:ilvl="0">
      <w:start w:val="3"/>
      <w:numFmt w:val="decimal"/>
      <w:lvlText w:val="%1."/>
      <w:lvlJc w:val="left"/>
      <w:pPr>
        <w:tabs>
          <w:tab w:val="num" w:pos="420"/>
        </w:tabs>
        <w:ind w:left="420" w:hanging="420"/>
      </w:pPr>
      <w:rPr>
        <w:rFonts w:cs="Times New Roman"/>
        <w:rtl w:val="0"/>
        <w:cs w:val="0"/>
      </w:rPr>
    </w:lvl>
  </w:abstractNum>
  <w:abstractNum w:abstractNumId="6">
    <w:nsid w:val="1B9B4CD7"/>
    <w:multiLevelType w:val="singleLevel"/>
    <w:tmpl w:val="5728EEB0"/>
    <w:lvl w:ilvl="0">
      <w:start w:val="1"/>
      <w:numFmt w:val="lowerLetter"/>
      <w:lvlText w:val="%1)"/>
      <w:lvlJc w:val="left"/>
      <w:pPr>
        <w:tabs>
          <w:tab w:val="num" w:pos="360"/>
        </w:tabs>
        <w:ind w:left="360" w:hanging="360"/>
      </w:pPr>
      <w:rPr>
        <w:rFonts w:cs="Times New Roman"/>
        <w:rtl w:val="0"/>
        <w:cs w:val="0"/>
      </w:rPr>
    </w:lvl>
  </w:abstractNum>
  <w:abstractNum w:abstractNumId="7">
    <w:nsid w:val="2CB90090"/>
    <w:multiLevelType w:val="hybridMultilevel"/>
    <w:tmpl w:val="9194623E"/>
    <w:lvl w:ilvl="0">
      <w:start w:val="1"/>
      <w:numFmt w:val="decimal"/>
      <w:lvlText w:val="(%1)"/>
      <w:lvlJc w:val="left"/>
      <w:pPr>
        <w:tabs>
          <w:tab w:val="num" w:pos="2149"/>
        </w:tabs>
        <w:ind w:left="1080" w:firstLine="709"/>
      </w:pPr>
      <w:rPr>
        <w:rFonts w:ascii="Times New Roman" w:hAnsi="Times New Roman" w:cs="Times New Roman" w:hint="default"/>
        <w:b w:val="0"/>
        <w:i w:val="0"/>
        <w:caps w:val="0"/>
        <w:strike w:val="0"/>
        <w:dstrike w:val="0"/>
        <w:outline w:val="0"/>
        <w:shadow w:val="0"/>
        <w:emboss w:val="0"/>
        <w:imprint w:val="0"/>
        <w:vanish w:val="0"/>
        <w:sz w:val="20"/>
        <w:vertAlign w:val="baseline"/>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0"/>
        </w:tabs>
        <w:ind w:hanging="180"/>
      </w:pPr>
      <w:rPr>
        <w:rFonts w:cs="Times New Roman"/>
        <w:rtl w:val="0"/>
        <w:cs w:val="0"/>
      </w:rPr>
    </w:lvl>
    <w:lvl w:ilvl="3">
      <w:start w:val="1"/>
      <w:numFmt w:val="decimal"/>
      <w:lvlText w:val="%4."/>
      <w:lvlJc w:val="left"/>
      <w:pPr>
        <w:tabs>
          <w:tab w:val="num" w:pos="720"/>
        </w:tabs>
        <w:ind w:left="720" w:hanging="360"/>
      </w:pPr>
      <w:rPr>
        <w:rFonts w:cs="Times New Roman"/>
        <w:rtl w:val="0"/>
        <w:cs w:val="0"/>
      </w:rPr>
    </w:lvl>
    <w:lvl w:ilvl="4">
      <w:start w:val="1"/>
      <w:numFmt w:val="lowerLetter"/>
      <w:lvlText w:val="%5."/>
      <w:lvlJc w:val="left"/>
      <w:pPr>
        <w:tabs>
          <w:tab w:val="num" w:pos="1440"/>
        </w:tabs>
        <w:ind w:left="1440" w:hanging="360"/>
      </w:pPr>
      <w:rPr>
        <w:rFonts w:cs="Times New Roman"/>
        <w:rtl w:val="0"/>
        <w:cs w:val="0"/>
      </w:rPr>
    </w:lvl>
    <w:lvl w:ilvl="5">
      <w:start w:val="1"/>
      <w:numFmt w:val="lowerRoman"/>
      <w:lvlText w:val="%6."/>
      <w:lvlJc w:val="right"/>
      <w:pPr>
        <w:tabs>
          <w:tab w:val="num" w:pos="2160"/>
        </w:tabs>
        <w:ind w:left="2160" w:hanging="180"/>
      </w:pPr>
      <w:rPr>
        <w:rFonts w:cs="Times New Roman"/>
        <w:rtl w:val="0"/>
        <w:cs w:val="0"/>
      </w:rPr>
    </w:lvl>
    <w:lvl w:ilvl="6">
      <w:start w:val="1"/>
      <w:numFmt w:val="decimal"/>
      <w:lvlText w:val="%7."/>
      <w:lvlJc w:val="left"/>
      <w:pPr>
        <w:tabs>
          <w:tab w:val="num" w:pos="2880"/>
        </w:tabs>
        <w:ind w:left="2880" w:hanging="360"/>
      </w:pPr>
      <w:rPr>
        <w:rFonts w:cs="Times New Roman"/>
        <w:rtl w:val="0"/>
        <w:cs w:val="0"/>
      </w:rPr>
    </w:lvl>
    <w:lvl w:ilvl="7">
      <w:start w:val="1"/>
      <w:numFmt w:val="lowerLetter"/>
      <w:lvlText w:val="%8."/>
      <w:lvlJc w:val="left"/>
      <w:pPr>
        <w:tabs>
          <w:tab w:val="num" w:pos="3600"/>
        </w:tabs>
        <w:ind w:left="3600" w:hanging="360"/>
      </w:pPr>
      <w:rPr>
        <w:rFonts w:cs="Times New Roman"/>
        <w:rtl w:val="0"/>
        <w:cs w:val="0"/>
      </w:rPr>
    </w:lvl>
    <w:lvl w:ilvl="8">
      <w:start w:val="1"/>
      <w:numFmt w:val="lowerRoman"/>
      <w:lvlText w:val="%9."/>
      <w:lvlJc w:val="right"/>
      <w:pPr>
        <w:tabs>
          <w:tab w:val="num" w:pos="4320"/>
        </w:tabs>
        <w:ind w:left="4320" w:hanging="180"/>
      </w:pPr>
      <w:rPr>
        <w:rFonts w:cs="Times New Roman"/>
        <w:rtl w:val="0"/>
        <w:cs w:val="0"/>
      </w:rPr>
    </w:lvl>
  </w:abstractNum>
  <w:abstractNum w:abstractNumId="8">
    <w:nsid w:val="314D11C7"/>
    <w:multiLevelType w:val="hybridMultilevel"/>
    <w:tmpl w:val="528AD0C8"/>
    <w:lvl w:ilvl="0">
      <w:start w:val="1"/>
      <w:numFmt w:val="decimal"/>
      <w:lvlText w:val="(%1)"/>
      <w:lvlJc w:val="left"/>
      <w:pPr>
        <w:tabs>
          <w:tab w:val="num" w:pos="2149"/>
        </w:tabs>
        <w:ind w:left="1080" w:firstLine="709"/>
      </w:pPr>
      <w:rPr>
        <w:rFonts w:ascii="Times New Roman" w:hAnsi="Times New Roman" w:cs="Times New Roman" w:hint="default"/>
        <w:b w:val="0"/>
        <w:i w:val="0"/>
        <w:caps w:val="0"/>
        <w:strike w:val="0"/>
        <w:dstrike w:val="0"/>
        <w:outline w:val="0"/>
        <w:shadow w:val="0"/>
        <w:emboss w:val="0"/>
        <w:imprint w:val="0"/>
        <w:vanish w:val="0"/>
        <w:sz w:val="20"/>
        <w:vertAlign w:val="baseline"/>
        <w:rtl w:val="0"/>
        <w:cs w:val="0"/>
      </w:rPr>
    </w:lvl>
    <w:lvl w:ilvl="1">
      <w:start w:val="1"/>
      <w:numFmt w:val="lowerLetter"/>
      <w:lvlText w:val="%2."/>
      <w:lvlJc w:val="left"/>
      <w:pPr>
        <w:tabs>
          <w:tab w:val="num" w:pos="2149"/>
        </w:tabs>
        <w:ind w:left="2149" w:hanging="360"/>
      </w:pPr>
      <w:rPr>
        <w:rFonts w:cs="Times New Roman"/>
        <w:rtl w:val="0"/>
        <w:cs w:val="0"/>
      </w:rPr>
    </w:lvl>
    <w:lvl w:ilvl="2">
      <w:start w:val="1"/>
      <w:numFmt w:val="lowerRoman"/>
      <w:lvlText w:val="%3."/>
      <w:lvlJc w:val="right"/>
      <w:pPr>
        <w:tabs>
          <w:tab w:val="num" w:pos="2869"/>
        </w:tabs>
        <w:ind w:left="2869" w:hanging="180"/>
      </w:pPr>
      <w:rPr>
        <w:rFonts w:cs="Times New Roman"/>
        <w:rtl w:val="0"/>
        <w:cs w:val="0"/>
      </w:rPr>
    </w:lvl>
    <w:lvl w:ilvl="3">
      <w:start w:val="1"/>
      <w:numFmt w:val="decimal"/>
      <w:lvlText w:val="%4."/>
      <w:lvlJc w:val="left"/>
      <w:pPr>
        <w:tabs>
          <w:tab w:val="num" w:pos="3589"/>
        </w:tabs>
        <w:ind w:left="3589" w:hanging="360"/>
      </w:pPr>
      <w:rPr>
        <w:rFonts w:cs="Times New Roman"/>
        <w:rtl w:val="0"/>
        <w:cs w:val="0"/>
      </w:rPr>
    </w:lvl>
    <w:lvl w:ilvl="4">
      <w:start w:val="1"/>
      <w:numFmt w:val="decimal"/>
      <w:lvlText w:val="(%5)"/>
      <w:lvlJc w:val="left"/>
      <w:pPr>
        <w:tabs>
          <w:tab w:val="num" w:pos="4309"/>
        </w:tabs>
        <w:ind w:left="3240" w:firstLine="709"/>
      </w:pPr>
      <w:rPr>
        <w:rFonts w:ascii="Times New Roman" w:hAnsi="Times New Roman" w:cs="Times New Roman" w:hint="default"/>
        <w:b w:val="0"/>
        <w:i w:val="0"/>
        <w:caps w:val="0"/>
        <w:strike w:val="0"/>
        <w:dstrike w:val="0"/>
        <w:outline w:val="0"/>
        <w:shadow w:val="0"/>
        <w:emboss w:val="0"/>
        <w:imprint w:val="0"/>
        <w:vanish w:val="0"/>
        <w:sz w:val="20"/>
        <w:vertAlign w:val="baseline"/>
        <w:rtl w:val="0"/>
        <w:cs w:val="0"/>
      </w:rPr>
    </w:lvl>
    <w:lvl w:ilvl="5">
      <w:start w:val="1"/>
      <w:numFmt w:val="lowerRoman"/>
      <w:lvlText w:val="%6."/>
      <w:lvlJc w:val="right"/>
      <w:pPr>
        <w:tabs>
          <w:tab w:val="num" w:pos="5029"/>
        </w:tabs>
        <w:ind w:left="5029" w:hanging="180"/>
      </w:pPr>
      <w:rPr>
        <w:rFonts w:cs="Times New Roman"/>
        <w:rtl w:val="0"/>
        <w:cs w:val="0"/>
      </w:rPr>
    </w:lvl>
    <w:lvl w:ilvl="6">
      <w:start w:val="1"/>
      <w:numFmt w:val="decimal"/>
      <w:lvlText w:val="%7."/>
      <w:lvlJc w:val="left"/>
      <w:pPr>
        <w:tabs>
          <w:tab w:val="num" w:pos="5749"/>
        </w:tabs>
        <w:ind w:left="5749" w:hanging="360"/>
      </w:pPr>
      <w:rPr>
        <w:rFonts w:cs="Times New Roman"/>
        <w:rtl w:val="0"/>
        <w:cs w:val="0"/>
      </w:rPr>
    </w:lvl>
    <w:lvl w:ilvl="7">
      <w:start w:val="1"/>
      <w:numFmt w:val="lowerLetter"/>
      <w:lvlText w:val="%8."/>
      <w:lvlJc w:val="left"/>
      <w:pPr>
        <w:tabs>
          <w:tab w:val="num" w:pos="6469"/>
        </w:tabs>
        <w:ind w:left="6469" w:hanging="360"/>
      </w:pPr>
      <w:rPr>
        <w:rFonts w:cs="Times New Roman"/>
        <w:rtl w:val="0"/>
        <w:cs w:val="0"/>
      </w:rPr>
    </w:lvl>
    <w:lvl w:ilvl="8">
      <w:start w:val="1"/>
      <w:numFmt w:val="lowerRoman"/>
      <w:lvlText w:val="%9."/>
      <w:lvlJc w:val="right"/>
      <w:pPr>
        <w:tabs>
          <w:tab w:val="num" w:pos="7189"/>
        </w:tabs>
        <w:ind w:left="7189" w:hanging="180"/>
      </w:pPr>
      <w:rPr>
        <w:rFonts w:cs="Times New Roman"/>
        <w:rtl w:val="0"/>
        <w:cs w:val="0"/>
      </w:rPr>
    </w:lvl>
  </w:abstractNum>
  <w:abstractNum w:abstractNumId="9">
    <w:nsid w:val="347100A1"/>
    <w:multiLevelType w:val="hybridMultilevel"/>
    <w:tmpl w:val="926EF3CE"/>
    <w:lvl w:ilvl="0">
      <w:start w:val="1"/>
      <w:numFmt w:val="lowerLetter"/>
      <w:lvlText w:val="%1)"/>
      <w:lvlJc w:val="left"/>
      <w:pPr>
        <w:tabs>
          <w:tab w:val="num" w:pos="2340"/>
        </w:tabs>
        <w:ind w:left="2340" w:hanging="360"/>
      </w:pPr>
      <w:rPr>
        <w:rFonts w:ascii="Times New Roman" w:hAnsi="Times New Roman" w:cs="Times New Roman" w:hint="default"/>
        <w:b w:val="0"/>
        <w:i w:val="0"/>
        <w:caps w:val="0"/>
        <w:strike w:val="0"/>
        <w:dstrike w:val="0"/>
        <w:outline w:val="0"/>
        <w:shadow w:val="0"/>
        <w:emboss w:val="0"/>
        <w:imprint w:val="0"/>
        <w:vanish w:val="0"/>
        <w:sz w:val="24"/>
        <w:szCs w:val="24"/>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36E77358"/>
    <w:multiLevelType w:val="hybridMultilevel"/>
    <w:tmpl w:val="19C03F34"/>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4AD64CE"/>
    <w:multiLevelType w:val="singleLevel"/>
    <w:tmpl w:val="E5D834B2"/>
    <w:lvl w:ilvl="0">
      <w:start w:val="2"/>
      <w:numFmt w:val="decimal"/>
      <w:lvlText w:val="%1."/>
      <w:lvlJc w:val="left"/>
      <w:pPr>
        <w:tabs>
          <w:tab w:val="num" w:pos="317"/>
        </w:tabs>
        <w:ind w:left="317" w:hanging="360"/>
      </w:pPr>
      <w:rPr>
        <w:rFonts w:cs="Times New Roman"/>
        <w:rtl w:val="0"/>
        <w:cs w:val="0"/>
      </w:rPr>
    </w:lvl>
  </w:abstractNum>
  <w:abstractNum w:abstractNumId="12">
    <w:nsid w:val="45B6138B"/>
    <w:multiLevelType w:val="hybridMultilevel"/>
    <w:tmpl w:val="8110D8F6"/>
    <w:lvl w:ilvl="0">
      <w:start w:val="2"/>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487A4548"/>
    <w:multiLevelType w:val="multilevel"/>
    <w:tmpl w:val="3F9A5BEA"/>
    <w:lvl w:ilvl="0">
      <w:start w:val="1"/>
      <w:numFmt w:val="lowerLetter"/>
      <w:lvlText w:val="%1)"/>
      <w:lvlJc w:val="left"/>
      <w:pPr>
        <w:tabs>
          <w:tab w:val="num" w:pos="360"/>
        </w:tabs>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49323DDB"/>
    <w:multiLevelType w:val="hybridMultilevel"/>
    <w:tmpl w:val="346C77E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4D016FA1"/>
    <w:multiLevelType w:val="hybridMultilevel"/>
    <w:tmpl w:val="421EEA76"/>
    <w:lvl w:ilvl="0">
      <w:start w:val="1"/>
      <w:numFmt w:val="lowerLetter"/>
      <w:pStyle w:val="adda"/>
      <w:lvlText w:val="%1)"/>
      <w:lvlJc w:val="left"/>
      <w:pPr>
        <w:tabs>
          <w:tab w:val="num" w:pos="360"/>
        </w:tabs>
        <w:ind w:left="357" w:hanging="357"/>
      </w:pPr>
      <w:rPr>
        <w:rFonts w:ascii="Times New Roman" w:hAnsi="Times New Roman" w:cs="Times New Roman" w:hint="default"/>
        <w:b w:val="0"/>
        <w:i w:val="0"/>
        <w:sz w:val="24"/>
        <w:szCs w:val="24"/>
        <w:rtl w:val="0"/>
        <w:cs w:val="0"/>
      </w:rPr>
    </w:lvl>
    <w:lvl w:ilvl="1">
      <w:start w:val="1"/>
      <w:numFmt w:val="lowerLetter"/>
      <w:pStyle w:val="adda"/>
      <w:lvlText w:val="%2)"/>
      <w:lvlJc w:val="left"/>
      <w:pPr>
        <w:tabs>
          <w:tab w:val="num" w:pos="1440"/>
        </w:tabs>
        <w:ind w:left="1440" w:hanging="360"/>
      </w:pPr>
      <w:rPr>
        <w:rFonts w:cs="Times New Roman" w:hint="default"/>
        <w:b w:val="0"/>
        <w:i w:val="0"/>
        <w:sz w:val="24"/>
        <w:szCs w:val="24"/>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4D80696D"/>
    <w:multiLevelType w:val="hybridMultilevel"/>
    <w:tmpl w:val="7F204AD4"/>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F912408"/>
    <w:multiLevelType w:val="hybridMultilevel"/>
    <w:tmpl w:val="E2B0FB44"/>
    <w:lvl w:ilvl="0">
      <w:start w:val="2"/>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54993507"/>
    <w:multiLevelType w:val="hybridMultilevel"/>
    <w:tmpl w:val="26C24600"/>
    <w:lvl w:ilvl="0">
      <w:start w:val="1"/>
      <w:numFmt w:val="decimal"/>
      <w:pStyle w:val="a"/>
      <w:lvlText w:val="§ %1"/>
      <w:lvlJc w:val="center"/>
      <w:pPr>
        <w:tabs>
          <w:tab w:val="num" w:pos="360"/>
        </w:tabs>
      </w:pPr>
      <w:rPr>
        <w:rFonts w:ascii="Times New Roman" w:hAnsi="Times New Roman" w:cs="Times New Roman" w:hint="default"/>
        <w:b/>
        <w:i w:val="0"/>
        <w:caps w:val="0"/>
        <w:strike w:val="0"/>
        <w:dstrike w:val="0"/>
        <w:outline w:val="0"/>
        <w:shadow w:val="0"/>
        <w:emboss w:val="0"/>
        <w:imprint w:val="0"/>
        <w:vanish w:val="0"/>
        <w:sz w:val="24"/>
        <w:szCs w:val="24"/>
        <w:vertAlign w:val="baseline"/>
        <w:rtl w:val="0"/>
        <w:cs w:val="0"/>
      </w:rPr>
    </w:lvl>
    <w:lvl w:ilvl="1">
      <w:start w:val="1"/>
      <w:numFmt w:val="decimal"/>
      <w:lvlText w:val="(%2)"/>
      <w:lvlJc w:val="left"/>
      <w:pPr>
        <w:tabs>
          <w:tab w:val="num" w:pos="1440"/>
        </w:tabs>
        <w:ind w:left="371" w:firstLine="709"/>
      </w:pPr>
      <w:rPr>
        <w:rFonts w:ascii="Times New Roman" w:eastAsia="Times New Roman" w:hAnsi="Times New Roman" w:cs="Times New Roman"/>
        <w:b w:val="0"/>
        <w:i w:val="0"/>
        <w:caps w:val="0"/>
        <w:strike w:val="0"/>
        <w:dstrike w:val="0"/>
        <w:outline w:val="0"/>
        <w:shadow w:val="0"/>
        <w:emboss w:val="0"/>
        <w:imprint w:val="0"/>
        <w:vanish w:val="0"/>
        <w:sz w:val="20"/>
        <w:szCs w:val="20"/>
        <w:vertAlign w:val="baseline"/>
        <w:rtl w:val="0"/>
        <w:cs w:val="0"/>
      </w:rPr>
    </w:lvl>
    <w:lvl w:ilvl="2">
      <w:start w:val="1"/>
      <w:numFmt w:val="lowerLetter"/>
      <w:lvlText w:val="%3)"/>
      <w:lvlJc w:val="left"/>
      <w:pPr>
        <w:tabs>
          <w:tab w:val="num" w:pos="2340"/>
        </w:tabs>
        <w:ind w:left="2340" w:hanging="360"/>
      </w:pPr>
      <w:rPr>
        <w:rFonts w:ascii="Times New Roman" w:hAnsi="Times New Roman" w:cs="Times New Roman" w:hint="default"/>
        <w:b w:val="0"/>
        <w:i w:val="0"/>
        <w:caps w:val="0"/>
        <w:strike w:val="0"/>
        <w:dstrike w:val="0"/>
        <w:outline w:val="0"/>
        <w:shadow w:val="0"/>
        <w:emboss w:val="0"/>
        <w:imprint w:val="0"/>
        <w:vanish w:val="0"/>
        <w:sz w:val="24"/>
        <w:szCs w:val="24"/>
        <w:vertAlign w:val="baseline"/>
        <w:rtl w:val="0"/>
        <w:cs w:val="0"/>
      </w:rPr>
    </w:lvl>
    <w:lvl w:ilvl="3">
      <w:start w:val="1"/>
      <w:numFmt w:val="decimal"/>
      <w:lvlText w:val="(%4)"/>
      <w:lvlJc w:val="left"/>
      <w:pPr>
        <w:tabs>
          <w:tab w:val="num" w:pos="2880"/>
        </w:tabs>
        <w:ind w:left="1811" w:firstLine="709"/>
      </w:pPr>
      <w:rPr>
        <w:rFonts w:cs="Times New Roman" w:hint="default"/>
        <w:rtl w:val="0"/>
        <w:cs w:val="0"/>
      </w:rPr>
    </w:lvl>
    <w:lvl w:ilvl="4">
      <w:start w:val="1"/>
      <w:numFmt w:val="decimal"/>
      <w:lvlText w:val="%5."/>
      <w:lvlJc w:val="left"/>
      <w:pPr>
        <w:tabs>
          <w:tab w:val="num" w:pos="3630"/>
        </w:tabs>
        <w:ind w:left="3630" w:hanging="390"/>
      </w:pPr>
      <w:rPr>
        <w:rFonts w:cs="Times New Roman" w:hint="default"/>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583D6023"/>
    <w:multiLevelType w:val="hybridMultilevel"/>
    <w:tmpl w:val="E2380148"/>
    <w:lvl w:ilvl="0">
      <w:start w:val="2"/>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59A85ABE"/>
    <w:multiLevelType w:val="hybridMultilevel"/>
    <w:tmpl w:val="0406BCC8"/>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625701FE"/>
    <w:multiLevelType w:val="hybridMultilevel"/>
    <w:tmpl w:val="13B2F6CA"/>
    <w:lvl w:ilvl="0">
      <w:start w:val="1"/>
      <w:numFmt w:val="lowerLetter"/>
      <w:lvlText w:val="%1)"/>
      <w:lvlJc w:val="left"/>
      <w:pPr>
        <w:tabs>
          <w:tab w:val="num" w:pos="2340"/>
        </w:tabs>
        <w:ind w:left="2340" w:hanging="360"/>
      </w:pPr>
      <w:rPr>
        <w:rFonts w:ascii="Times New Roman" w:hAnsi="Times New Roman" w:cs="Times New Roman" w:hint="default"/>
        <w:b w:val="0"/>
        <w:i w:val="0"/>
        <w:caps w:val="0"/>
        <w:strike w:val="0"/>
        <w:dstrike w:val="0"/>
        <w:outline w:val="0"/>
        <w:shadow w:val="0"/>
        <w:emboss w:val="0"/>
        <w:imprint w:val="0"/>
        <w:vanish w:val="0"/>
        <w:sz w:val="24"/>
        <w:szCs w:val="24"/>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62E11A4A"/>
    <w:multiLevelType w:val="hybridMultilevel"/>
    <w:tmpl w:val="F8CA0184"/>
    <w:lvl w:ilvl="0">
      <w:start w:val="6"/>
      <w:numFmt w:val="decimal"/>
      <w:lvlText w:val="(%1)"/>
      <w:lvlJc w:val="left"/>
      <w:pPr>
        <w:tabs>
          <w:tab w:val="num" w:pos="720"/>
        </w:tabs>
        <w:ind w:left="720" w:hanging="360"/>
      </w:pPr>
      <w:rPr>
        <w:rFonts w:eastAsia="EUAlbertina-Regular-Identity-H"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6FA019BF"/>
    <w:multiLevelType w:val="hybridMultilevel"/>
    <w:tmpl w:val="D8D020F2"/>
    <w:lvl w:ilvl="0">
      <w:start w:val="1"/>
      <w:numFmt w:val="decimal"/>
      <w:lvlText w:val="(%1)"/>
      <w:lvlJc w:val="left"/>
      <w:pPr>
        <w:tabs>
          <w:tab w:val="num" w:pos="1440"/>
        </w:tabs>
        <w:ind w:left="371" w:firstLine="709"/>
      </w:pPr>
      <w:rPr>
        <w:rFonts w:ascii="Times New Roman" w:hAnsi="Times New Roman" w:cs="Times New Roman" w:hint="default"/>
        <w:b w:val="0"/>
        <w:i w:val="0"/>
        <w:caps w:val="0"/>
        <w:strike w:val="0"/>
        <w:dstrike w:val="0"/>
        <w:outline w:val="0"/>
        <w:shadow w:val="0"/>
        <w:emboss w:val="0"/>
        <w:imprint w:val="0"/>
        <w:vanish w:val="0"/>
        <w:sz w:val="20"/>
        <w:szCs w:val="20"/>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7DAD2B36"/>
    <w:multiLevelType w:val="hybridMultilevel"/>
    <w:tmpl w:val="F8349932"/>
    <w:lvl w:ilvl="0">
      <w:start w:val="1"/>
      <w:numFmt w:val="decimal"/>
      <w:lvlText w:val="(%1)"/>
      <w:lvlJc w:val="left"/>
      <w:pPr>
        <w:tabs>
          <w:tab w:val="num" w:pos="1440"/>
        </w:tabs>
        <w:ind w:left="371" w:firstLine="709"/>
      </w:pPr>
      <w:rPr>
        <w:rFonts w:ascii="Times New Roman" w:hAnsi="Times New Roman" w:cs="Times New Roman" w:hint="default"/>
        <w:b w:val="0"/>
        <w:i w:val="0"/>
        <w:caps w:val="0"/>
        <w:strike w:val="0"/>
        <w:dstrike w:val="0"/>
        <w:outline w:val="0"/>
        <w:shadow w:val="0"/>
        <w:emboss w:val="0"/>
        <w:imprint w:val="0"/>
        <w:vanish w:val="0"/>
        <w:sz w:val="20"/>
        <w:szCs w:val="20"/>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5"/>
  </w:num>
  <w:num w:numId="2">
    <w:abstractNumId w:val="5"/>
    <w:lvlOverride w:ilvl="0">
      <w:startOverride w:val="3"/>
    </w:lvlOverride>
  </w:num>
  <w:num w:numId="3">
    <w:abstractNumId w:val="11"/>
  </w:num>
  <w:num w:numId="4">
    <w:abstractNumId w:val="11"/>
    <w:lvlOverride w:ilvl="0">
      <w:startOverride w:val="2"/>
    </w:lvlOverride>
  </w:num>
  <w:num w:numId="5">
    <w:abstractNumId w:val="6"/>
  </w:num>
  <w:num w:numId="6">
    <w:abstractNumId w:val="6"/>
    <w:lvlOverride w:ilvl="0">
      <w:startOverride w:val="1"/>
    </w:lvlOverride>
  </w:num>
  <w:num w:numId="7">
    <w:abstractNumId w:val="1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20"/>
  </w:num>
  <w:num w:numId="12">
    <w:abstractNumId w:val="4"/>
  </w:num>
  <w:num w:numId="13">
    <w:abstractNumId w:val="16"/>
  </w:num>
  <w:num w:numId="14">
    <w:abstractNumId w:val="2"/>
  </w:num>
  <w:num w:numId="15">
    <w:abstractNumId w:val="18"/>
  </w:num>
  <w:num w:numId="16">
    <w:abstractNumId w:val="15"/>
  </w:num>
  <w:num w:numId="17">
    <w:abstractNumId w:val="24"/>
  </w:num>
  <w:num w:numId="18">
    <w:abstractNumId w:val="8"/>
  </w:num>
  <w:num w:numId="19">
    <w:abstractNumId w:val="22"/>
  </w:num>
  <w:num w:numId="20">
    <w:abstractNumId w:val="14"/>
  </w:num>
  <w:num w:numId="21">
    <w:abstractNumId w:val="0"/>
  </w:num>
  <w:num w:numId="22">
    <w:abstractNumId w:val="12"/>
  </w:num>
  <w:num w:numId="23">
    <w:abstractNumId w:val="15"/>
    <w:lvlOverride w:ilvl="0">
      <w:startOverride w:val="4"/>
    </w:lvlOverride>
  </w:num>
  <w:num w:numId="24">
    <w:abstractNumId w:val="7"/>
  </w:num>
  <w:num w:numId="25">
    <w:abstractNumId w:val="15"/>
    <w:lvlOverride w:ilvl="0">
      <w:startOverride w:val="1"/>
    </w:lvlOverride>
  </w:num>
  <w:num w:numId="26">
    <w:abstractNumId w:val="19"/>
  </w:num>
  <w:num w:numId="27">
    <w:abstractNumId w:val="23"/>
  </w:num>
  <w:num w:numId="28">
    <w:abstractNumId w:val="9"/>
  </w:num>
  <w:num w:numId="29">
    <w:abstractNumId w:val="3"/>
  </w:num>
  <w:num w:numId="30">
    <w:abstractNumId w:val="21"/>
  </w:num>
  <w:num w:numId="3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oNotTrackMoves/>
  <w:defaultTabStop w:val="708"/>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E201CA"/>
    <w:rsid w:val="000A41B5"/>
    <w:rsid w:val="0015379D"/>
    <w:rsid w:val="001660D6"/>
    <w:rsid w:val="001852D4"/>
    <w:rsid w:val="001E3811"/>
    <w:rsid w:val="00220197"/>
    <w:rsid w:val="00237857"/>
    <w:rsid w:val="00266152"/>
    <w:rsid w:val="00287179"/>
    <w:rsid w:val="0032264E"/>
    <w:rsid w:val="0032735D"/>
    <w:rsid w:val="00392E9E"/>
    <w:rsid w:val="003C7525"/>
    <w:rsid w:val="003D0B7E"/>
    <w:rsid w:val="003E429C"/>
    <w:rsid w:val="0045362F"/>
    <w:rsid w:val="004808CD"/>
    <w:rsid w:val="004B0271"/>
    <w:rsid w:val="005441F3"/>
    <w:rsid w:val="005915A7"/>
    <w:rsid w:val="00597302"/>
    <w:rsid w:val="005A39CF"/>
    <w:rsid w:val="005A5F34"/>
    <w:rsid w:val="005C6472"/>
    <w:rsid w:val="005F08FC"/>
    <w:rsid w:val="005F37CE"/>
    <w:rsid w:val="0060151B"/>
    <w:rsid w:val="00630F42"/>
    <w:rsid w:val="00666B21"/>
    <w:rsid w:val="00667714"/>
    <w:rsid w:val="00681221"/>
    <w:rsid w:val="00685738"/>
    <w:rsid w:val="00690A36"/>
    <w:rsid w:val="006E0A58"/>
    <w:rsid w:val="006F4EA1"/>
    <w:rsid w:val="007205F7"/>
    <w:rsid w:val="007433BE"/>
    <w:rsid w:val="007C036E"/>
    <w:rsid w:val="007D023D"/>
    <w:rsid w:val="007D7094"/>
    <w:rsid w:val="00837C24"/>
    <w:rsid w:val="0084591F"/>
    <w:rsid w:val="008A3B8B"/>
    <w:rsid w:val="0093354D"/>
    <w:rsid w:val="009531D7"/>
    <w:rsid w:val="00957FDC"/>
    <w:rsid w:val="009A371C"/>
    <w:rsid w:val="009B0A57"/>
    <w:rsid w:val="00A41398"/>
    <w:rsid w:val="00AF6952"/>
    <w:rsid w:val="00B87401"/>
    <w:rsid w:val="00BB3423"/>
    <w:rsid w:val="00C05F3E"/>
    <w:rsid w:val="00C24896"/>
    <w:rsid w:val="00CB0624"/>
    <w:rsid w:val="00DD217F"/>
    <w:rsid w:val="00E201CA"/>
    <w:rsid w:val="00E726A4"/>
    <w:rsid w:val="00E75C5F"/>
    <w:rsid w:val="00F27811"/>
    <w:rsid w:val="00F60D17"/>
    <w:rsid w:val="00F821DB"/>
    <w:rsid w:val="00F97EC0"/>
    <w:rsid w:val="00FA21F2"/>
    <w:rsid w:val="00FD4301"/>
    <w:rsid w:val="00FF01A9"/>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pPr>
      <w:keepNext/>
      <w:jc w:val="center"/>
      <w:outlineLvl w:val="0"/>
    </w:pPr>
    <w:rPr>
      <w:b/>
      <w:bCs/>
    </w:rPr>
  </w:style>
  <w:style w:type="paragraph" w:styleId="Heading2">
    <w:name w:val="heading 2"/>
    <w:basedOn w:val="Normal"/>
    <w:next w:val="Normal"/>
    <w:link w:val="Nadpis2Char"/>
    <w:uiPriority w:val="9"/>
    <w:qFormat/>
    <w:pPr>
      <w:keepNext/>
      <w:spacing w:before="120"/>
      <w:jc w:val="center"/>
      <w:outlineLvl w:val="1"/>
    </w:pPr>
    <w:rPr>
      <w:b/>
      <w:bCs/>
      <w:sz w:val="20"/>
      <w:szCs w:val="20"/>
    </w:rPr>
  </w:style>
  <w:style w:type="paragraph" w:styleId="Heading4">
    <w:name w:val="heading 4"/>
    <w:basedOn w:val="Normal"/>
    <w:next w:val="Normal"/>
    <w:link w:val="Nadpis4Char"/>
    <w:uiPriority w:val="9"/>
    <w:qFormat/>
    <w:pPr>
      <w:keepNext/>
      <w:jc w:val="center"/>
      <w:outlineLvl w:val="3"/>
    </w:pPr>
    <w:rPr>
      <w:b/>
      <w:bCs/>
      <w:sz w:val="22"/>
      <w:szCs w:val="22"/>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paragraph" w:styleId="BodyText3">
    <w:name w:val="Body Text 3"/>
    <w:basedOn w:val="Normal"/>
    <w:link w:val="Zkladntext3Char"/>
    <w:uiPriority w:val="99"/>
    <w:pPr>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Indent">
    <w:name w:val="Body Text Indent"/>
    <w:basedOn w:val="Normal"/>
    <w:link w:val="ZarkazkladnhotextuChar"/>
    <w:uiPriority w:val="99"/>
    <w:pPr>
      <w:autoSpaceDE/>
      <w:autoSpaceDN/>
      <w:spacing w:after="240"/>
      <w:jc w:val="center"/>
    </w:pPr>
    <w:rPr>
      <w:b/>
      <w:bCs/>
      <w:sz w:val="28"/>
      <w:szCs w:val="28"/>
    </w:rPr>
  </w:style>
  <w:style w:type="character" w:customStyle="1" w:styleId="ZarkazkladnhotextuChar">
    <w:name w:val="Zarážka základného textu Char"/>
    <w:basedOn w:val="DefaultParagraphFont"/>
    <w:link w:val="BodyTextIndent"/>
    <w:uiPriority w:val="99"/>
    <w:semiHidden/>
    <w:locked/>
    <w:rPr>
      <w:rFonts w:cs="Times New Roman"/>
      <w:sz w:val="24"/>
      <w:szCs w:val="24"/>
      <w:rtl w:val="0"/>
      <w:cs w:val="0"/>
    </w:rPr>
  </w:style>
  <w:style w:type="paragraph" w:customStyle="1" w:styleId="Normlny">
    <w:name w:val="_Normálny"/>
    <w:basedOn w:val="Normal"/>
    <w:pPr>
      <w:jc w:val="left"/>
    </w:pPr>
    <w:rPr>
      <w:sz w:val="20"/>
      <w:szCs w:val="20"/>
      <w:lang w:eastAsia="en-US"/>
    </w:rPr>
  </w:style>
  <w:style w:type="paragraph" w:styleId="FootnoteText">
    <w:name w:val="footnote text"/>
    <w:basedOn w:val="Normal"/>
    <w:link w:val="TextpoznmkypodiarouChar"/>
    <w:uiPriority w:val="99"/>
    <w:semiHidden/>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rtl w:val="0"/>
      <w:cs w:val="0"/>
    </w:rPr>
  </w:style>
  <w:style w:type="paragraph" w:customStyle="1" w:styleId="PARA">
    <w:name w:val="PARA"/>
    <w:basedOn w:val="Normal"/>
    <w:next w:val="Normal"/>
    <w:pPr>
      <w:keepNext/>
      <w:keepLines/>
      <w:tabs>
        <w:tab w:val="left" w:pos="680"/>
      </w:tabs>
      <w:spacing w:before="240" w:after="120"/>
      <w:jc w:val="center"/>
    </w:pPr>
    <w:rPr>
      <w:lang w:val="en-US"/>
    </w:rPr>
  </w:style>
  <w:style w:type="paragraph" w:customStyle="1" w:styleId="abc">
    <w:name w:val="abc"/>
    <w:basedOn w:val="Normal"/>
    <w:pPr>
      <w:widowControl w:val="0"/>
      <w:tabs>
        <w:tab w:val="left" w:pos="360"/>
        <w:tab w:val="left" w:pos="680"/>
      </w:tabs>
      <w:jc w:val="both"/>
    </w:pPr>
    <w:rPr>
      <w:sz w:val="20"/>
      <w:szCs w:val="20"/>
      <w:lang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pPr>
      <w:tabs>
        <w:tab w:val="center" w:pos="4536"/>
        <w:tab w:val="right" w:pos="9072"/>
      </w:tabs>
      <w:autoSpaceDE/>
      <w:autoSpaceDN/>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BodyText">
    <w:name w:val="Body Text"/>
    <w:basedOn w:val="Normal"/>
    <w:link w:val="ZkladntextChar"/>
    <w:uiPriority w:val="99"/>
    <w:pPr>
      <w:adjustRightInd w:val="0"/>
      <w:jc w:val="left"/>
    </w:pPr>
    <w:rPr>
      <w:color w:val="231F20"/>
      <w:sz w:val="20"/>
      <w:szCs w:val="20"/>
    </w:r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customStyle="1" w:styleId="a">
    <w:name w:val="§"/>
    <w:basedOn w:val="Normal"/>
    <w:next w:val="Heading2"/>
    <w:pPr>
      <w:keepNext/>
      <w:numPr>
        <w:numId w:val="15"/>
      </w:numPr>
      <w:tabs>
        <w:tab w:val="num" w:pos="360"/>
      </w:tabs>
      <w:autoSpaceDE/>
      <w:autoSpaceDN/>
      <w:spacing w:before="360" w:after="120"/>
      <w:jc w:val="center"/>
    </w:pPr>
    <w:rPr>
      <w:b/>
      <w:bCs/>
      <w:color w:val="000000"/>
      <w:lang w:eastAsia="cs-CZ"/>
    </w:rPr>
  </w:style>
  <w:style w:type="paragraph" w:customStyle="1" w:styleId="odsek">
    <w:name w:val="odsek"/>
    <w:basedOn w:val="Normal"/>
    <w:pPr>
      <w:keepNext/>
      <w:autoSpaceDE/>
      <w:autoSpaceDN/>
      <w:spacing w:before="60" w:after="60"/>
      <w:ind w:firstLine="709"/>
      <w:jc w:val="both"/>
    </w:pPr>
  </w:style>
  <w:style w:type="paragraph" w:customStyle="1" w:styleId="adda">
    <w:name w:val="adda"/>
    <w:basedOn w:val="Normal"/>
    <w:pPr>
      <w:keepNext/>
      <w:numPr>
        <w:ilvl w:val="1"/>
        <w:numId w:val="16"/>
      </w:numPr>
      <w:tabs>
        <w:tab w:val="num" w:pos="1440"/>
      </w:tabs>
      <w:autoSpaceDE/>
      <w:autoSpaceDN/>
      <w:spacing w:before="60" w:after="60"/>
      <w:ind w:left="1440" w:hanging="360"/>
      <w:jc w:val="both"/>
    </w:pPr>
  </w:style>
  <w:style w:type="paragraph" w:styleId="PlainText">
    <w:name w:val="Plain Text"/>
    <w:basedOn w:val="Normal"/>
    <w:link w:val="ObyajntextChar"/>
    <w:uiPriority w:val="99"/>
    <w:pPr>
      <w:keepNext/>
      <w:autoSpaceDE/>
      <w:autoSpaceDN/>
      <w:spacing w:before="60" w:after="60"/>
      <w:jc w:val="both"/>
    </w:pPr>
    <w:rPr>
      <w:rFonts w:ascii="Courier New" w:hAnsi="Courier New" w:cs="Courier New"/>
      <w:sz w:val="20"/>
      <w:szCs w:val="20"/>
    </w:rPr>
  </w:style>
  <w:style w:type="character" w:customStyle="1" w:styleId="ObyajntextChar">
    <w:name w:val="Obyčajný text Char"/>
    <w:basedOn w:val="DefaultParagraphFont"/>
    <w:link w:val="PlainText"/>
    <w:uiPriority w:val="99"/>
    <w:semiHidden/>
    <w:locked/>
    <w:rPr>
      <w:rFonts w:ascii="Courier New" w:hAnsi="Courier New" w:cs="Courier New"/>
      <w:rtl w:val="0"/>
      <w:cs w:val="0"/>
    </w:rPr>
  </w:style>
  <w:style w:type="character" w:customStyle="1" w:styleId="highlight">
    <w:name w:val="highlight"/>
    <w:basedOn w:val="DefaultParagraphFont"/>
    <w:rPr>
      <w:rFonts w:cs="Times New Roman"/>
      <w:rtl w:val="0"/>
      <w:cs w:val="0"/>
    </w:rPr>
  </w:style>
  <w:style w:type="character" w:styleId="Emphasis">
    <w:name w:val="Emphasis"/>
    <w:basedOn w:val="DefaultParagraphFont"/>
    <w:uiPriority w:val="20"/>
    <w:qFormat/>
    <w:rsid w:val="00E201CA"/>
    <w:rPr>
      <w:rFonts w:cs="Times New Roman"/>
      <w:i/>
      <w:rtl w:val="0"/>
      <w:cs w:val="0"/>
    </w:rPr>
  </w:style>
  <w:style w:type="character" w:customStyle="1" w:styleId="apple-style-span">
    <w:name w:val="apple-style-span"/>
    <w:basedOn w:val="DefaultParagraphFont"/>
    <w:rsid w:val="00E201CA"/>
    <w:rPr>
      <w:rFonts w:cs="Times New Roman"/>
      <w:rtl w:val="0"/>
      <w:cs w:val="0"/>
    </w:rPr>
  </w:style>
  <w:style w:type="paragraph" w:styleId="NormalWeb">
    <w:name w:val="Normal (Web)"/>
    <w:basedOn w:val="Normal"/>
    <w:uiPriority w:val="99"/>
    <w:rsid w:val="00E201CA"/>
    <w:pPr>
      <w:autoSpaceDE/>
      <w:autoSpaceDN/>
      <w:spacing w:before="100" w:beforeAutospacing="1" w:after="100" w:afterAutospacing="1"/>
      <w:jc w:val="left"/>
    </w:pPr>
  </w:style>
  <w:style w:type="character" w:styleId="Hyperlink">
    <w:name w:val="Hyperlink"/>
    <w:basedOn w:val="DefaultParagraphFont"/>
    <w:uiPriority w:val="99"/>
    <w:rsid w:val="00837C24"/>
    <w:rPr>
      <w:rFonts w:cs="Times New Roman"/>
      <w:color w:val="0000FF"/>
      <w:u w:val="single"/>
      <w:rtl w:val="0"/>
      <w:cs w:val="0"/>
    </w:rPr>
  </w:style>
  <w:style w:type="character" w:customStyle="1" w:styleId="apple-converted-space">
    <w:name w:val="apple-converted-space"/>
    <w:basedOn w:val="DefaultParagraphFont"/>
    <w:rsid w:val="00FD4301"/>
    <w:rPr>
      <w:rFonts w:cs="Times New Roman"/>
      <w:rtl w:val="0"/>
      <w:cs w:val="0"/>
    </w:rPr>
  </w:style>
  <w:style w:type="paragraph" w:styleId="BalloonText">
    <w:name w:val="Balloon Text"/>
    <w:basedOn w:val="Normal"/>
    <w:link w:val="TextbublinyChar"/>
    <w:uiPriority w:val="99"/>
    <w:rsid w:val="0015379D"/>
    <w:pPr>
      <w:jc w:val="left"/>
    </w:pPr>
    <w:rPr>
      <w:rFonts w:ascii="Tahoma" w:hAnsi="Tahoma" w:cs="Tahoma"/>
      <w:sz w:val="16"/>
      <w:szCs w:val="16"/>
    </w:rPr>
  </w:style>
  <w:style w:type="character" w:customStyle="1" w:styleId="TextbublinyChar">
    <w:name w:val="Text bubliny Char"/>
    <w:basedOn w:val="DefaultParagraphFont"/>
    <w:link w:val="BalloonText"/>
    <w:uiPriority w:val="99"/>
    <w:locked/>
    <w:rsid w:val="0015379D"/>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1119</Words>
  <Characters>6384</Characters>
  <Application>Microsoft Office Word</Application>
  <DocSecurity>0</DocSecurity>
  <Lines>0</Lines>
  <Paragraphs>0</Paragraphs>
  <ScaleCrop>false</ScaleCrop>
  <Company>ÚV SR</Company>
  <LinksUpToDate>false</LinksUpToDate>
  <CharactersWithSpaces>7489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Zákon o ochrane spotrebiteľa</dc:title>
  <dc:creator>Pavol Ňuňuk</dc:creator>
  <cp:lastModifiedBy>DZIAKOVA Dominika</cp:lastModifiedBy>
  <cp:revision>2</cp:revision>
  <cp:lastPrinted>2014-11-26T10:44:00Z</cp:lastPrinted>
  <dcterms:created xsi:type="dcterms:W3CDTF">2014-12-10T12:58:00Z</dcterms:created>
  <dcterms:modified xsi:type="dcterms:W3CDTF">2014-12-10T12:58:00Z</dcterms:modified>
</cp:coreProperties>
</file>