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97461" w:rsidRPr="00C358FE" w:rsidP="00B34ECF">
      <w:pPr>
        <w:pStyle w:val="BodyText"/>
        <w:bidi w:val="0"/>
        <w:jc w:val="center"/>
        <w:rPr>
          <w:rFonts w:ascii="Times New Roman" w:hAnsi="Times New Roman" w:cs="Times New Roman"/>
          <w:b/>
          <w:bCs/>
          <w:sz w:val="28"/>
          <w:szCs w:val="28"/>
        </w:rPr>
      </w:pPr>
      <w:r w:rsidRPr="00C358FE" w:rsidR="00C358FE">
        <w:rPr>
          <w:rFonts w:ascii="Times New Roman" w:hAnsi="Times New Roman" w:cs="Times New Roman"/>
          <w:b/>
          <w:bCs/>
          <w:sz w:val="28"/>
          <w:szCs w:val="28"/>
        </w:rPr>
        <w:t>TABUĽKA</w:t>
      </w:r>
      <w:r w:rsidRPr="00C358FE">
        <w:rPr>
          <w:rFonts w:ascii="Times New Roman" w:hAnsi="Times New Roman" w:cs="Times New Roman"/>
          <w:b/>
          <w:bCs/>
          <w:sz w:val="28"/>
          <w:szCs w:val="28"/>
        </w:rPr>
        <w:t xml:space="preserve"> ZHODY</w:t>
      </w:r>
    </w:p>
    <w:p w:rsidR="00A97461" w:rsidRPr="00C358FE" w:rsidP="00A97461">
      <w:pPr>
        <w:pStyle w:val="BodyText"/>
        <w:bidi w:val="0"/>
        <w:jc w:val="center"/>
        <w:rPr>
          <w:rFonts w:ascii="Times New Roman" w:hAnsi="Times New Roman" w:cs="Times New Roman"/>
          <w:b/>
          <w:bCs/>
          <w:sz w:val="20"/>
          <w:szCs w:val="20"/>
        </w:rPr>
      </w:pPr>
      <w:r w:rsidRPr="00C358FE">
        <w:rPr>
          <w:rFonts w:ascii="Times New Roman" w:hAnsi="Times New Roman" w:cs="Times New Roman"/>
          <w:b/>
          <w:bCs/>
          <w:sz w:val="20"/>
          <w:szCs w:val="20"/>
        </w:rPr>
        <w:t>návrhu zákona s právom Európskej únie</w:t>
      </w:r>
    </w:p>
    <w:p w:rsidR="00A97461" w:rsidRPr="00C358FE" w:rsidP="00287AC2">
      <w:pPr>
        <w:bidi w:val="0"/>
        <w:jc w:val="both"/>
        <w:rPr>
          <w:rFonts w:ascii="Times New Roman" w:hAnsi="Times New Roman"/>
        </w:rPr>
      </w:pPr>
    </w:p>
    <w:tbl>
      <w:tblPr>
        <w:tblStyle w:val="TableNormal"/>
        <w:tblW w:w="137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09"/>
        <w:gridCol w:w="4962"/>
        <w:gridCol w:w="708"/>
        <w:gridCol w:w="567"/>
        <w:gridCol w:w="709"/>
        <w:gridCol w:w="3544"/>
        <w:gridCol w:w="726"/>
        <w:gridCol w:w="1825"/>
      </w:tblGrid>
      <w:tr>
        <w:tblPrEx>
          <w:tblW w:w="137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6379" w:type="dxa"/>
            <w:gridSpan w:val="3"/>
            <w:tcBorders>
              <w:top w:val="single" w:sz="4" w:space="0" w:color="auto"/>
              <w:left w:val="single" w:sz="4" w:space="0" w:color="auto"/>
              <w:bottom w:val="single" w:sz="4" w:space="0" w:color="auto"/>
              <w:right w:val="single" w:sz="4" w:space="0" w:color="auto"/>
            </w:tcBorders>
            <w:textDirection w:val="lrTb"/>
            <w:vAlign w:val="top"/>
          </w:tcPr>
          <w:p w:rsidR="00A97461" w:rsidRPr="00287AC2" w:rsidP="00287AC2">
            <w:pPr>
              <w:pStyle w:val="Heading2"/>
              <w:bidi w:val="0"/>
              <w:jc w:val="both"/>
              <w:rPr>
                <w:rFonts w:ascii="Times New Roman" w:hAnsi="Times New Roman"/>
                <w:b/>
                <w:sz w:val="20"/>
                <w:szCs w:val="20"/>
              </w:rPr>
            </w:pPr>
            <w:r w:rsidRPr="00D032C1" w:rsidR="00D032C1">
              <w:rPr>
                <w:rFonts w:ascii="Times New Roman" w:hAnsi="Times New Roman"/>
                <w:b/>
                <w:sz w:val="20"/>
                <w:szCs w:val="20"/>
              </w:rPr>
              <w:t>Smernica Rady 2000/78/ES z 27. novembra 2000, ktorá ustanovuje všeobecný rámec pre rovnaké zaobchádzanie v zamestnaní a povolaní (Mimoriadne vydanie Ú. v. EÚ, kap. 5/zv. 04)</w:t>
            </w:r>
          </w:p>
        </w:tc>
        <w:tc>
          <w:tcPr>
            <w:tcW w:w="7371" w:type="dxa"/>
            <w:gridSpan w:val="5"/>
            <w:tcBorders>
              <w:top w:val="single" w:sz="4" w:space="0" w:color="auto"/>
              <w:left w:val="single" w:sz="4" w:space="0" w:color="auto"/>
              <w:bottom w:val="single" w:sz="4" w:space="0" w:color="auto"/>
              <w:right w:val="single" w:sz="4" w:space="0" w:color="auto"/>
            </w:tcBorders>
            <w:textDirection w:val="lrTb"/>
            <w:vAlign w:val="top"/>
          </w:tcPr>
          <w:p w:rsidR="00C358FE" w:rsidRPr="00C358FE" w:rsidP="00287AC2">
            <w:pPr>
              <w:pStyle w:val="Title"/>
              <w:bidi w:val="0"/>
              <w:jc w:val="both"/>
              <w:rPr>
                <w:rFonts w:ascii="Times New Roman" w:hAnsi="Times New Roman"/>
                <w:bCs/>
              </w:rPr>
            </w:pPr>
          </w:p>
          <w:p w:rsidR="00A97461" w:rsidRPr="00C358FE" w:rsidP="002B3DE0">
            <w:pPr>
              <w:pStyle w:val="Title"/>
              <w:bidi w:val="0"/>
              <w:rPr>
                <w:rFonts w:ascii="Times New Roman" w:hAnsi="Times New Roman"/>
                <w:sz w:val="20"/>
              </w:rPr>
            </w:pPr>
            <w:r w:rsidRPr="00C358FE" w:rsidR="008223AE">
              <w:rPr>
                <w:rFonts w:ascii="Times New Roman" w:hAnsi="Times New Roman"/>
                <w:bCs/>
                <w:sz w:val="20"/>
              </w:rPr>
              <w:t>Zákon č. ... Civilný sporový poriadok</w:t>
            </w:r>
          </w:p>
          <w:p w:rsidR="00A97461" w:rsidRPr="00C358FE" w:rsidP="00287AC2">
            <w:pPr>
              <w:pStyle w:val="Heading3"/>
              <w:bidi w:val="0"/>
              <w:jc w:val="both"/>
              <w:rPr>
                <w:rFonts w:ascii="Times New Roman" w:hAnsi="Times New Roman"/>
                <w:b/>
                <w:bCs/>
              </w:rPr>
            </w:pPr>
          </w:p>
        </w:tc>
      </w:tr>
      <w:tr>
        <w:tblPrEx>
          <w:tblW w:w="13750" w:type="dxa"/>
          <w:tblInd w:w="-72" w:type="dxa"/>
          <w:tblLayout w:type="fixed"/>
          <w:tblCellMar>
            <w:top w:w="0" w:type="dxa"/>
            <w:left w:w="70" w:type="dxa"/>
            <w:bottom w:w="0" w:type="dxa"/>
            <w:right w:w="70" w:type="dxa"/>
          </w:tblCellMar>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1</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2</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5</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6</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7</w:t>
            </w:r>
          </w:p>
        </w:tc>
        <w:tc>
          <w:tcPr>
            <w:tcW w:w="1825"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22"/>
                <w:szCs w:val="22"/>
              </w:rPr>
              <w:t>8</w:t>
            </w:r>
          </w:p>
        </w:tc>
      </w:tr>
      <w:tr>
        <w:tblPrEx>
          <w:tblW w:w="13750" w:type="dxa"/>
          <w:tblInd w:w="-72" w:type="dxa"/>
          <w:tblLayout w:type="fixed"/>
          <w:tblCellMar>
            <w:top w:w="0" w:type="dxa"/>
            <w:left w:w="70" w:type="dxa"/>
            <w:bottom w:w="0" w:type="dxa"/>
            <w:right w:w="70" w:type="dxa"/>
          </w:tblCellMar>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6009E9" w:rsidRPr="00C358FE" w:rsidP="006009E9">
            <w:pPr>
              <w:bidi w:val="0"/>
              <w:jc w:val="center"/>
              <w:rPr>
                <w:rFonts w:ascii="Times New Roman" w:hAnsi="Times New Roman"/>
                <w:sz w:val="22"/>
                <w:szCs w:val="22"/>
              </w:rPr>
            </w:pPr>
            <w:r w:rsidRPr="006009E9">
              <w:rPr>
                <w:rFonts w:ascii="Times New Roman" w:hAnsi="Times New Roman"/>
                <w:sz w:val="19"/>
                <w:szCs w:val="19"/>
              </w:rPr>
              <w:t>Článok</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Pr="00C358FE">
              <w:rPr>
                <w:rFonts w:ascii="Times New Roman" w:hAnsi="Times New Roman"/>
                <w:sz w:val="19"/>
                <w:szCs w:val="22"/>
              </w:rPr>
              <w:t>Text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19"/>
                <w:szCs w:val="22"/>
              </w:rPr>
            </w:pPr>
            <w:r w:rsidRPr="00C358FE">
              <w:rPr>
                <w:rFonts w:ascii="Times New Roman" w:hAnsi="Times New Roman"/>
                <w:sz w:val="19"/>
                <w:szCs w:val="22"/>
              </w:rPr>
              <w:t>Spôsob transpozície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7461" w:rsidRPr="006009E9" w:rsidP="009A65B7">
            <w:pPr>
              <w:bidi w:val="0"/>
              <w:rPr>
                <w:rFonts w:ascii="Times New Roman" w:hAnsi="Times New Roman"/>
                <w:sz w:val="19"/>
                <w:szCs w:val="19"/>
              </w:rPr>
            </w:pPr>
            <w:r w:rsidRPr="006009E9">
              <w:rPr>
                <w:rFonts w:ascii="Times New Roman" w:hAnsi="Times New Roman"/>
                <w:sz w:val="19"/>
                <w:szCs w:val="19"/>
              </w:rPr>
              <w:t>Číslo</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RPr="006009E9" w:rsidP="00C358FE">
            <w:pPr>
              <w:bidi w:val="0"/>
              <w:rPr>
                <w:rFonts w:ascii="Times New Roman" w:hAnsi="Times New Roman"/>
                <w:sz w:val="19"/>
                <w:szCs w:val="19"/>
              </w:rPr>
            </w:pPr>
            <w:r w:rsidRPr="006009E9">
              <w:rPr>
                <w:rFonts w:ascii="Times New Roman" w:hAnsi="Times New Roman"/>
                <w:sz w:val="19"/>
                <w:szCs w:val="19"/>
              </w:rPr>
              <w:t xml:space="preserve">Článok </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97461" w:rsidRPr="006009E9" w:rsidP="009A65B7">
            <w:pPr>
              <w:bidi w:val="0"/>
              <w:jc w:val="center"/>
              <w:rPr>
                <w:rFonts w:ascii="Times New Roman" w:hAnsi="Times New Roman"/>
                <w:sz w:val="19"/>
                <w:szCs w:val="19"/>
              </w:rPr>
            </w:pPr>
            <w:r w:rsidRPr="006009E9">
              <w:rPr>
                <w:rFonts w:ascii="Times New Roman" w:hAnsi="Times New Roman"/>
                <w:sz w:val="19"/>
                <w:szCs w:val="19"/>
              </w:rPr>
              <w:t>Text</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A97461" w:rsidRPr="006009E9" w:rsidP="009A65B7">
            <w:pPr>
              <w:bidi w:val="0"/>
              <w:jc w:val="center"/>
              <w:rPr>
                <w:rFonts w:ascii="Times New Roman" w:hAnsi="Times New Roman"/>
                <w:sz w:val="19"/>
                <w:szCs w:val="19"/>
              </w:rPr>
            </w:pPr>
            <w:r w:rsidRPr="006009E9">
              <w:rPr>
                <w:rFonts w:ascii="Times New Roman" w:hAnsi="Times New Roman"/>
                <w:sz w:val="19"/>
                <w:szCs w:val="19"/>
              </w:rPr>
              <w:t>Zhoda</w:t>
            </w:r>
          </w:p>
        </w:tc>
        <w:tc>
          <w:tcPr>
            <w:tcW w:w="1825" w:type="dxa"/>
            <w:tcBorders>
              <w:top w:val="single" w:sz="4" w:space="0" w:color="auto"/>
              <w:left w:val="single" w:sz="4" w:space="0" w:color="auto"/>
              <w:bottom w:val="single" w:sz="4" w:space="0" w:color="auto"/>
              <w:right w:val="single" w:sz="4" w:space="0" w:color="auto"/>
            </w:tcBorders>
            <w:textDirection w:val="lrTb"/>
            <w:vAlign w:val="top"/>
          </w:tcPr>
          <w:p w:rsidR="00A97461" w:rsidRPr="006009E9" w:rsidP="009A65B7">
            <w:pPr>
              <w:bidi w:val="0"/>
              <w:jc w:val="center"/>
              <w:rPr>
                <w:rFonts w:ascii="Times New Roman" w:hAnsi="Times New Roman"/>
                <w:sz w:val="19"/>
                <w:szCs w:val="19"/>
              </w:rPr>
            </w:pPr>
            <w:r w:rsidRPr="006009E9">
              <w:rPr>
                <w:rFonts w:ascii="Times New Roman" w:hAnsi="Times New Roman"/>
                <w:sz w:val="19"/>
                <w:szCs w:val="19"/>
              </w:rPr>
              <w:t>Poznámky</w:t>
            </w:r>
          </w:p>
        </w:tc>
      </w:tr>
      <w:tr>
        <w:tblPrEx>
          <w:tblW w:w="13750" w:type="dxa"/>
          <w:tblInd w:w="-72" w:type="dxa"/>
          <w:tblLayout w:type="fixed"/>
          <w:tblCellMar>
            <w:top w:w="0" w:type="dxa"/>
            <w:left w:w="70" w:type="dxa"/>
            <w:bottom w:w="0" w:type="dxa"/>
            <w:right w:w="70" w:type="dxa"/>
          </w:tblCellMar>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P="009A65B7">
            <w:pPr>
              <w:bidi w:val="0"/>
              <w:jc w:val="center"/>
              <w:rPr>
                <w:rFonts w:ascii="Times New Roman" w:hAnsi="Times New Roman"/>
                <w:sz w:val="22"/>
                <w:szCs w:val="22"/>
              </w:rPr>
            </w:pPr>
            <w:r w:rsidR="006009E9">
              <w:rPr>
                <w:rFonts w:ascii="Times New Roman" w:hAnsi="Times New Roman"/>
                <w:sz w:val="22"/>
                <w:szCs w:val="22"/>
              </w:rPr>
              <w:t>C</w:t>
            </w:r>
            <w:r w:rsidRPr="00C358FE">
              <w:rPr>
                <w:rFonts w:ascii="Times New Roman" w:hAnsi="Times New Roman"/>
                <w:sz w:val="22"/>
                <w:szCs w:val="22"/>
              </w:rPr>
              <w:t>:</w:t>
            </w:r>
            <w:r w:rsidR="00D032C1">
              <w:rPr>
                <w:rFonts w:ascii="Times New Roman" w:hAnsi="Times New Roman"/>
                <w:sz w:val="22"/>
                <w:szCs w:val="22"/>
              </w:rPr>
              <w:t>9</w:t>
            </w:r>
          </w:p>
          <w:p w:rsidR="002B3DE0" w:rsidP="009A65B7">
            <w:pPr>
              <w:bidi w:val="0"/>
              <w:jc w:val="center"/>
              <w:rPr>
                <w:rFonts w:ascii="Times New Roman" w:hAnsi="Times New Roman"/>
                <w:sz w:val="22"/>
                <w:szCs w:val="22"/>
              </w:rPr>
            </w:pPr>
          </w:p>
          <w:p w:rsidR="002B3DE0" w:rsidP="00D032C1">
            <w:pPr>
              <w:bidi w:val="0"/>
              <w:rPr>
                <w:rFonts w:ascii="Times New Roman" w:hAnsi="Times New Roman"/>
                <w:sz w:val="22"/>
                <w:szCs w:val="22"/>
              </w:rPr>
            </w:pPr>
          </w:p>
          <w:p w:rsidR="002B3DE0" w:rsidP="009A65B7">
            <w:pPr>
              <w:bidi w:val="0"/>
              <w:jc w:val="center"/>
              <w:rPr>
                <w:rFonts w:ascii="Times New Roman" w:hAnsi="Times New Roman"/>
                <w:sz w:val="22"/>
                <w:szCs w:val="22"/>
              </w:rPr>
            </w:pPr>
            <w:r>
              <w:rPr>
                <w:rFonts w:ascii="Times New Roman" w:hAnsi="Times New Roman"/>
                <w:sz w:val="22"/>
                <w:szCs w:val="22"/>
              </w:rPr>
              <w:t>O:1</w:t>
            </w:r>
          </w:p>
          <w:p w:rsidR="006009E9" w:rsidP="009A65B7">
            <w:pPr>
              <w:bidi w:val="0"/>
              <w:jc w:val="center"/>
              <w:rPr>
                <w:rFonts w:ascii="Times New Roman" w:hAnsi="Times New Roman"/>
                <w:sz w:val="22"/>
                <w:szCs w:val="22"/>
              </w:rPr>
            </w:pPr>
          </w:p>
          <w:p w:rsidR="006009E9" w:rsidP="009A65B7">
            <w:pPr>
              <w:bidi w:val="0"/>
              <w:jc w:val="center"/>
              <w:rPr>
                <w:rFonts w:ascii="Times New Roman" w:hAnsi="Times New Roman"/>
                <w:sz w:val="22"/>
                <w:szCs w:val="22"/>
              </w:rPr>
            </w:pPr>
          </w:p>
          <w:p w:rsidR="006009E9" w:rsidP="009A65B7">
            <w:pPr>
              <w:bidi w:val="0"/>
              <w:jc w:val="center"/>
              <w:rPr>
                <w:rFonts w:ascii="Times New Roman" w:hAnsi="Times New Roman"/>
                <w:sz w:val="22"/>
                <w:szCs w:val="22"/>
              </w:rPr>
            </w:pPr>
          </w:p>
          <w:p w:rsidR="006009E9" w:rsidP="009A65B7">
            <w:pPr>
              <w:bidi w:val="0"/>
              <w:jc w:val="center"/>
              <w:rPr>
                <w:rFonts w:ascii="Times New Roman" w:hAnsi="Times New Roman"/>
                <w:sz w:val="22"/>
                <w:szCs w:val="22"/>
              </w:rPr>
            </w:pPr>
          </w:p>
          <w:p w:rsidR="006009E9" w:rsidP="009A65B7">
            <w:pPr>
              <w:bidi w:val="0"/>
              <w:jc w:val="center"/>
              <w:rPr>
                <w:rFonts w:ascii="Times New Roman" w:hAnsi="Times New Roman"/>
                <w:sz w:val="22"/>
                <w:szCs w:val="22"/>
              </w:rPr>
            </w:pPr>
          </w:p>
          <w:p w:rsidR="006009E9" w:rsidP="009A65B7">
            <w:pPr>
              <w:bidi w:val="0"/>
              <w:jc w:val="center"/>
              <w:rPr>
                <w:rFonts w:ascii="Times New Roman" w:hAnsi="Times New Roman"/>
                <w:sz w:val="22"/>
                <w:szCs w:val="22"/>
              </w:rPr>
            </w:pPr>
          </w:p>
          <w:p w:rsidR="006009E9" w:rsidP="009A65B7">
            <w:pPr>
              <w:bidi w:val="0"/>
              <w:jc w:val="center"/>
              <w:rPr>
                <w:rFonts w:ascii="Times New Roman" w:hAnsi="Times New Roman"/>
                <w:sz w:val="22"/>
                <w:szCs w:val="22"/>
              </w:rPr>
            </w:pPr>
          </w:p>
          <w:p w:rsidR="006009E9" w:rsidP="009A65B7">
            <w:pPr>
              <w:bidi w:val="0"/>
              <w:jc w:val="center"/>
              <w:rPr>
                <w:rFonts w:ascii="Times New Roman" w:hAnsi="Times New Roman"/>
                <w:sz w:val="22"/>
                <w:szCs w:val="22"/>
              </w:rPr>
            </w:pPr>
            <w:r>
              <w:rPr>
                <w:rFonts w:ascii="Times New Roman" w:hAnsi="Times New Roman"/>
                <w:sz w:val="22"/>
                <w:szCs w:val="22"/>
              </w:rPr>
              <w:t>O:2</w:t>
            </w:r>
          </w:p>
          <w:p w:rsidR="006009E9" w:rsidP="009A65B7">
            <w:pPr>
              <w:bidi w:val="0"/>
              <w:jc w:val="center"/>
              <w:rPr>
                <w:rFonts w:ascii="Times New Roman" w:hAnsi="Times New Roman"/>
                <w:sz w:val="22"/>
                <w:szCs w:val="22"/>
              </w:rPr>
            </w:pPr>
          </w:p>
          <w:p w:rsidR="006009E9" w:rsidP="009A65B7">
            <w:pPr>
              <w:bidi w:val="0"/>
              <w:jc w:val="center"/>
              <w:rPr>
                <w:rFonts w:ascii="Times New Roman" w:hAnsi="Times New Roman"/>
                <w:sz w:val="22"/>
                <w:szCs w:val="22"/>
              </w:rPr>
            </w:pPr>
          </w:p>
          <w:p w:rsidR="006009E9" w:rsidP="009A65B7">
            <w:pPr>
              <w:bidi w:val="0"/>
              <w:jc w:val="center"/>
              <w:rPr>
                <w:rFonts w:ascii="Times New Roman" w:hAnsi="Times New Roman"/>
                <w:sz w:val="22"/>
                <w:szCs w:val="22"/>
              </w:rPr>
            </w:pPr>
          </w:p>
          <w:p w:rsidR="006009E9" w:rsidP="009A65B7">
            <w:pPr>
              <w:bidi w:val="0"/>
              <w:jc w:val="center"/>
              <w:rPr>
                <w:rFonts w:ascii="Times New Roman" w:hAnsi="Times New Roman"/>
                <w:sz w:val="22"/>
                <w:szCs w:val="22"/>
              </w:rPr>
            </w:pPr>
          </w:p>
          <w:p w:rsidR="00D032C1" w:rsidP="009A65B7">
            <w:pPr>
              <w:bidi w:val="0"/>
              <w:jc w:val="center"/>
              <w:rPr>
                <w:rFonts w:ascii="Times New Roman" w:hAnsi="Times New Roman"/>
                <w:sz w:val="22"/>
                <w:szCs w:val="22"/>
              </w:rPr>
            </w:pPr>
          </w:p>
          <w:p w:rsidR="00D032C1" w:rsidP="009A65B7">
            <w:pPr>
              <w:bidi w:val="0"/>
              <w:jc w:val="center"/>
              <w:rPr>
                <w:rFonts w:ascii="Times New Roman" w:hAnsi="Times New Roman"/>
                <w:sz w:val="22"/>
                <w:szCs w:val="22"/>
              </w:rPr>
            </w:pPr>
          </w:p>
          <w:p w:rsidR="00D032C1" w:rsidP="009A65B7">
            <w:pPr>
              <w:bidi w:val="0"/>
              <w:jc w:val="center"/>
              <w:rPr>
                <w:rFonts w:ascii="Times New Roman" w:hAnsi="Times New Roman"/>
                <w:sz w:val="22"/>
                <w:szCs w:val="22"/>
              </w:rPr>
            </w:pPr>
          </w:p>
          <w:p w:rsidR="00D032C1" w:rsidRPr="00C358FE" w:rsidP="009A65B7">
            <w:pPr>
              <w:bidi w:val="0"/>
              <w:jc w:val="center"/>
              <w:rPr>
                <w:rFonts w:ascii="Times New Roman" w:hAnsi="Times New Roman"/>
                <w:sz w:val="22"/>
                <w:szCs w:val="22"/>
              </w:rPr>
            </w:pPr>
            <w:r>
              <w:rPr>
                <w:rFonts w:ascii="Times New Roman" w:hAnsi="Times New Roman"/>
                <w:sz w:val="22"/>
                <w:szCs w:val="22"/>
              </w:rPr>
              <w:t>O:3</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D032C1" w:rsidRPr="00D032C1" w:rsidP="00D032C1">
            <w:pPr>
              <w:pStyle w:val="NormalWeb"/>
              <w:tabs>
                <w:tab w:val="left" w:pos="4254"/>
              </w:tabs>
              <w:bidi w:val="0"/>
              <w:spacing w:before="0" w:beforeAutospacing="0" w:after="0" w:afterAutospacing="0" w:line="240" w:lineRule="atLeast"/>
              <w:ind w:left="225"/>
              <w:jc w:val="both"/>
              <w:textAlignment w:val="baseline"/>
              <w:rPr>
                <w:rFonts w:ascii="Times New Roman" w:hAnsi="Times New Roman"/>
                <w:color w:val="444444"/>
                <w:sz w:val="20"/>
                <w:szCs w:val="20"/>
                <w:bdr w:val="nil"/>
                <w:shd w:val="clear" w:color="auto" w:fill="FFFFFF"/>
              </w:rPr>
            </w:pPr>
            <w:r w:rsidRPr="00D032C1">
              <w:rPr>
                <w:rFonts w:ascii="Times New Roman" w:hAnsi="Times New Roman"/>
                <w:color w:val="444444"/>
                <w:sz w:val="20"/>
                <w:szCs w:val="20"/>
                <w:bdr w:val="nil"/>
                <w:shd w:val="clear" w:color="auto" w:fill="FFFFFF"/>
              </w:rPr>
              <w:t>Článok 9</w:t>
            </w:r>
          </w:p>
          <w:p w:rsidR="00D032C1" w:rsidRPr="00D032C1" w:rsidP="00D032C1">
            <w:pPr>
              <w:pStyle w:val="NormalWeb"/>
              <w:tabs>
                <w:tab w:val="left" w:pos="4254"/>
              </w:tabs>
              <w:bidi w:val="0"/>
              <w:spacing w:before="0" w:beforeAutospacing="0" w:after="0" w:afterAutospacing="0" w:line="240" w:lineRule="atLeast"/>
              <w:ind w:left="225"/>
              <w:jc w:val="both"/>
              <w:textAlignment w:val="baseline"/>
              <w:rPr>
                <w:rFonts w:ascii="Times New Roman" w:hAnsi="Times New Roman"/>
                <w:color w:val="444444"/>
                <w:sz w:val="20"/>
                <w:szCs w:val="20"/>
                <w:bdr w:val="nil"/>
                <w:shd w:val="clear" w:color="auto" w:fill="FFFFFF"/>
              </w:rPr>
            </w:pPr>
            <w:r w:rsidRPr="00D032C1">
              <w:rPr>
                <w:rFonts w:ascii="Times New Roman" w:hAnsi="Times New Roman"/>
                <w:color w:val="444444"/>
                <w:sz w:val="20"/>
                <w:szCs w:val="20"/>
                <w:bdr w:val="nil"/>
                <w:shd w:val="clear" w:color="auto" w:fill="FFFFFF"/>
              </w:rPr>
              <w:t>Ochrana práv</w:t>
            </w:r>
          </w:p>
          <w:p w:rsidR="00D032C1" w:rsidRPr="00D032C1" w:rsidP="00D032C1">
            <w:pPr>
              <w:pStyle w:val="NormalWeb"/>
              <w:tabs>
                <w:tab w:val="left" w:pos="4254"/>
              </w:tabs>
              <w:bidi w:val="0"/>
              <w:spacing w:before="0" w:beforeAutospacing="0" w:after="0" w:afterAutospacing="0" w:line="240" w:lineRule="atLeast"/>
              <w:jc w:val="both"/>
              <w:textAlignment w:val="baseline"/>
              <w:rPr>
                <w:rFonts w:ascii="Times New Roman" w:hAnsi="Times New Roman"/>
                <w:color w:val="444444"/>
                <w:sz w:val="20"/>
                <w:szCs w:val="20"/>
                <w:bdr w:val="nil"/>
                <w:shd w:val="clear" w:color="auto" w:fill="FFFFFF"/>
              </w:rPr>
            </w:pPr>
          </w:p>
          <w:p w:rsidR="00D032C1" w:rsidRPr="00D032C1" w:rsidP="00D032C1">
            <w:pPr>
              <w:pStyle w:val="NormalWeb"/>
              <w:tabs>
                <w:tab w:val="left" w:pos="4254"/>
              </w:tabs>
              <w:bidi w:val="0"/>
              <w:spacing w:before="0" w:beforeAutospacing="0" w:after="0" w:afterAutospacing="0" w:line="240" w:lineRule="atLeast"/>
              <w:ind w:left="225"/>
              <w:jc w:val="both"/>
              <w:textAlignment w:val="baseline"/>
              <w:rPr>
                <w:rFonts w:ascii="Times New Roman" w:hAnsi="Times New Roman"/>
                <w:color w:val="444444"/>
                <w:sz w:val="20"/>
                <w:szCs w:val="20"/>
                <w:bdr w:val="nil"/>
                <w:shd w:val="clear" w:color="auto" w:fill="FFFFFF"/>
              </w:rPr>
            </w:pPr>
            <w:r w:rsidRPr="00D032C1">
              <w:rPr>
                <w:rFonts w:ascii="Times New Roman" w:hAnsi="Times New Roman"/>
                <w:color w:val="444444"/>
                <w:sz w:val="20"/>
                <w:szCs w:val="20"/>
                <w:bdr w:val="nil"/>
                <w:shd w:val="clear" w:color="auto" w:fill="FFFFFF"/>
              </w:rPr>
              <w:t>1. Členské štáty zabezpečia, aby súdne a/alebo správne konania vymáhania povinností podľa tejto smernice, keď to považujú za vhodné aj vrátane zmierovacieho konania, boli dostupné pre všetky osoby, ktoré sa cítia poškodené z dôvodu opomenutia uplatnenia zásady rovnakého zaobchádzania, a to aj keď sa už skončil vzťah, v ktorom sa napadnutá diskriminácia vyskytla.</w:t>
            </w:r>
          </w:p>
          <w:p w:rsidR="00D032C1" w:rsidRPr="00D032C1" w:rsidP="00D032C1">
            <w:pPr>
              <w:pStyle w:val="NormalWeb"/>
              <w:tabs>
                <w:tab w:val="left" w:pos="4254"/>
              </w:tabs>
              <w:bidi w:val="0"/>
              <w:spacing w:before="0" w:beforeAutospacing="0" w:after="0" w:afterAutospacing="0" w:line="240" w:lineRule="atLeast"/>
              <w:ind w:left="225"/>
              <w:jc w:val="both"/>
              <w:textAlignment w:val="baseline"/>
              <w:rPr>
                <w:rFonts w:ascii="Times New Roman" w:hAnsi="Times New Roman"/>
                <w:color w:val="444444"/>
                <w:sz w:val="20"/>
                <w:szCs w:val="20"/>
                <w:bdr w:val="nil"/>
                <w:shd w:val="clear" w:color="auto" w:fill="FFFFFF"/>
              </w:rPr>
            </w:pPr>
          </w:p>
          <w:p w:rsidR="00D032C1" w:rsidRPr="00D032C1" w:rsidP="00D032C1">
            <w:pPr>
              <w:pStyle w:val="NormalWeb"/>
              <w:tabs>
                <w:tab w:val="left" w:pos="4254"/>
              </w:tabs>
              <w:bidi w:val="0"/>
              <w:spacing w:before="0" w:beforeAutospacing="0" w:after="0" w:afterAutospacing="0" w:line="240" w:lineRule="atLeast"/>
              <w:ind w:left="225"/>
              <w:jc w:val="both"/>
              <w:textAlignment w:val="baseline"/>
              <w:rPr>
                <w:rFonts w:ascii="Times New Roman" w:hAnsi="Times New Roman"/>
                <w:color w:val="444444"/>
                <w:sz w:val="20"/>
                <w:szCs w:val="20"/>
                <w:bdr w:val="nil"/>
                <w:shd w:val="clear" w:color="auto" w:fill="FFFFFF"/>
              </w:rPr>
            </w:pPr>
            <w:r w:rsidRPr="00D032C1">
              <w:rPr>
                <w:rFonts w:ascii="Times New Roman" w:hAnsi="Times New Roman"/>
                <w:color w:val="444444"/>
                <w:sz w:val="20"/>
                <w:szCs w:val="20"/>
                <w:bdr w:val="nil"/>
                <w:shd w:val="clear" w:color="auto" w:fill="FFFFFF"/>
              </w:rPr>
              <w:t>2. Členské štáty zabezpečia, aby sa združenia, organizácie alebo iné právnické osoby, ktoré podľa kritérií stanovených vnútroštátnymi predpismi majú oprávnený záujem na dodržovaní ustanovení tejto smernice, mohli so súhlasom poškodenej osoby angažovať buď v jej mene, alebo na jej podporu v každom súdnom alebo správnom konaní určenom na vynútenie záväzkov podľa tejto smernice.</w:t>
            </w:r>
          </w:p>
          <w:p w:rsidR="00D032C1" w:rsidRPr="00D032C1" w:rsidP="00D032C1">
            <w:pPr>
              <w:pStyle w:val="NormalWeb"/>
              <w:tabs>
                <w:tab w:val="left" w:pos="4254"/>
              </w:tabs>
              <w:bidi w:val="0"/>
              <w:spacing w:before="0" w:beforeAutospacing="0" w:after="0" w:afterAutospacing="0" w:line="240" w:lineRule="atLeast"/>
              <w:ind w:left="225"/>
              <w:jc w:val="both"/>
              <w:textAlignment w:val="baseline"/>
              <w:rPr>
                <w:rFonts w:ascii="Times New Roman" w:hAnsi="Times New Roman"/>
                <w:color w:val="444444"/>
                <w:sz w:val="20"/>
                <w:szCs w:val="20"/>
                <w:bdr w:val="nil"/>
                <w:shd w:val="clear" w:color="auto" w:fill="FFFFFF"/>
              </w:rPr>
            </w:pPr>
          </w:p>
          <w:p w:rsidR="00D032C1" w:rsidRPr="00D032C1" w:rsidP="00D032C1">
            <w:pPr>
              <w:pStyle w:val="NormalWeb"/>
              <w:tabs>
                <w:tab w:val="left" w:pos="4254"/>
              </w:tabs>
              <w:bidi w:val="0"/>
              <w:spacing w:before="0" w:beforeAutospacing="0" w:after="0" w:afterAutospacing="0" w:line="240" w:lineRule="atLeast"/>
              <w:ind w:left="225"/>
              <w:jc w:val="both"/>
              <w:textAlignment w:val="baseline"/>
              <w:rPr>
                <w:rFonts w:ascii="Times New Roman" w:hAnsi="Times New Roman"/>
                <w:color w:val="444444"/>
                <w:sz w:val="20"/>
                <w:szCs w:val="20"/>
                <w:bdr w:val="nil"/>
                <w:shd w:val="clear" w:color="auto" w:fill="FFFFFF"/>
              </w:rPr>
            </w:pPr>
            <w:r w:rsidRPr="00D032C1">
              <w:rPr>
                <w:rFonts w:ascii="Times New Roman" w:hAnsi="Times New Roman"/>
                <w:color w:val="444444"/>
                <w:sz w:val="20"/>
                <w:szCs w:val="20"/>
                <w:bdr w:val="nil"/>
                <w:shd w:val="clear" w:color="auto" w:fill="FFFFFF"/>
              </w:rPr>
              <w:t>3. Odseky 1 a 2 nemajú žiadny vplyv na vnútroštátne pravidlá vzťahujúce sa na lehoty podaní, ktoré sa týkajú zásady rovnakého zaobchádzania.</w:t>
            </w:r>
          </w:p>
          <w:p w:rsidR="00A97461" w:rsidRPr="00C358FE" w:rsidP="00D032C1">
            <w:pPr>
              <w:pStyle w:val="NormalWeb"/>
              <w:tabs>
                <w:tab w:val="left" w:pos="4254"/>
              </w:tabs>
              <w:bidi w:val="0"/>
              <w:spacing w:before="0" w:beforeAutospacing="0" w:after="0" w:afterAutospacing="0" w:line="240" w:lineRule="atLeast"/>
              <w:ind w:left="225"/>
              <w:jc w:val="both"/>
              <w:textAlignment w:val="baseline"/>
              <w:rPr>
                <w:rFonts w:ascii="Times New Roman" w:hAnsi="Times New Roman"/>
                <w:sz w:val="19"/>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6009E9">
            <w:pPr>
              <w:bidi w:val="0"/>
              <w:jc w:val="center"/>
              <w:rPr>
                <w:rFonts w:ascii="Times New Roman" w:hAnsi="Times New Roman"/>
                <w:sz w:val="22"/>
                <w:szCs w:val="22"/>
              </w:rPr>
            </w:pPr>
            <w:r w:rsidR="006009E9">
              <w:rPr>
                <w:rFonts w:ascii="Times New Roman" w:hAnsi="Times New Roman"/>
                <w:sz w:val="22"/>
                <w:szCs w:val="22"/>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7461" w:rsidP="006009E9">
            <w:pPr>
              <w:bidi w:val="0"/>
              <w:jc w:val="center"/>
              <w:rPr>
                <w:rFonts w:ascii="Times New Roman" w:hAnsi="Times New Roman"/>
              </w:rPr>
            </w:pPr>
            <w:r w:rsidRPr="006009E9" w:rsidR="006009E9">
              <w:rPr>
                <w:rFonts w:ascii="Times New Roman" w:hAnsi="Times New Roman"/>
              </w:rPr>
              <w:t>§:127</w:t>
            </w: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r>
              <w:rPr>
                <w:rFonts w:ascii="Times New Roman" w:hAnsi="Times New Roman"/>
              </w:rPr>
              <w:t>§:300</w:t>
            </w: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r>
              <w:rPr>
                <w:rFonts w:ascii="Times New Roman" w:hAnsi="Times New Roman"/>
              </w:rPr>
              <w:t>§:301</w:t>
            </w: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D032C1">
            <w:pPr>
              <w:bidi w:val="0"/>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r>
              <w:rPr>
                <w:rFonts w:ascii="Times New Roman" w:hAnsi="Times New Roman"/>
              </w:rPr>
              <w:t>§ 302</w:t>
            </w: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r>
              <w:rPr>
                <w:rFonts w:ascii="Times New Roman" w:hAnsi="Times New Roman"/>
              </w:rPr>
              <w:t>§:303</w:t>
            </w: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r>
              <w:rPr>
                <w:rFonts w:ascii="Times New Roman" w:hAnsi="Times New Roman"/>
              </w:rPr>
              <w:t>§:304</w:t>
            </w: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r>
              <w:rPr>
                <w:rFonts w:ascii="Times New Roman" w:hAnsi="Times New Roman"/>
              </w:rPr>
              <w:t>§:305</w:t>
            </w: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rPr>
                <w:rFonts w:ascii="Times New Roman" w:hAnsi="Times New Roman"/>
              </w:rPr>
            </w:pPr>
          </w:p>
          <w:p w:rsidR="006009E9" w:rsidP="006009E9">
            <w:pPr>
              <w:bidi w:val="0"/>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r>
              <w:rPr>
                <w:rFonts w:ascii="Times New Roman" w:hAnsi="Times New Roman"/>
              </w:rPr>
              <w:t>§:306</w:t>
            </w:r>
          </w:p>
          <w:p w:rsidR="006009E9" w:rsidP="006009E9">
            <w:pPr>
              <w:bidi w:val="0"/>
              <w:jc w:val="center"/>
              <w:rPr>
                <w:rFonts w:ascii="Times New Roman" w:hAnsi="Times New Roman"/>
              </w:rPr>
            </w:pPr>
            <w:r>
              <w:rPr>
                <w:rFonts w:ascii="Times New Roman" w:hAnsi="Times New Roman"/>
              </w:rPr>
              <w:t>O:1</w:t>
            </w: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r>
              <w:rPr>
                <w:rFonts w:ascii="Times New Roman" w:hAnsi="Times New Roman"/>
              </w:rPr>
              <w:t>O:2</w:t>
            </w: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r>
              <w:rPr>
                <w:rFonts w:ascii="Times New Roman" w:hAnsi="Times New Roman"/>
              </w:rPr>
              <w:t>§:307</w:t>
            </w: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r>
              <w:rPr>
                <w:rFonts w:ascii="Times New Roman" w:hAnsi="Times New Roman"/>
              </w:rPr>
              <w:t>§:308</w:t>
            </w:r>
          </w:p>
          <w:p w:rsidR="006009E9" w:rsidP="006009E9">
            <w:pPr>
              <w:bidi w:val="0"/>
              <w:jc w:val="center"/>
              <w:rPr>
                <w:rFonts w:ascii="Times New Roman" w:hAnsi="Times New Roman"/>
              </w:rPr>
            </w:pPr>
            <w:r>
              <w:rPr>
                <w:rFonts w:ascii="Times New Roman" w:hAnsi="Times New Roman"/>
              </w:rPr>
              <w:t>O:1</w:t>
            </w: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2B3DE0" w:rsidRPr="006009E9" w:rsidP="006009E9">
            <w:pPr>
              <w:bidi w:val="0"/>
              <w:jc w:val="center"/>
              <w:rPr>
                <w:rFonts w:ascii="Times New Roman" w:hAnsi="Times New Roman"/>
              </w:rPr>
            </w:pPr>
            <w:r w:rsidR="006009E9">
              <w:rPr>
                <w:rFonts w:ascii="Times New Roman" w:hAnsi="Times New Roman"/>
              </w:rPr>
              <w:t>O:2</w:t>
            </w:r>
          </w:p>
          <w:p w:rsidR="002B3DE0" w:rsidRPr="00C358FE" w:rsidP="009A65B7">
            <w:pPr>
              <w:bidi w:val="0"/>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2B3DE0" w:rsidRPr="006009E9" w:rsidP="006009E9">
            <w:pPr>
              <w:pStyle w:val="ListParagraph"/>
              <w:tabs>
                <w:tab w:val="left" w:pos="993"/>
              </w:tabs>
              <w:bidi w:val="0"/>
              <w:ind w:left="0"/>
              <w:rPr>
                <w:rFonts w:ascii="Times New Roman" w:hAnsi="Times New Roman"/>
                <w:caps/>
              </w:rPr>
            </w:pPr>
            <w:r w:rsidRPr="002B3DE0">
              <w:rPr>
                <w:rFonts w:ascii="Times New Roman" w:hAnsi="Times New Roman"/>
                <w:caps/>
              </w:rPr>
              <w:t>§ 127</w:t>
            </w:r>
          </w:p>
          <w:p w:rsidR="002B3DE0" w:rsidRPr="002B3DE0" w:rsidP="002B3DE0">
            <w:pPr>
              <w:pStyle w:val="ListParagraph"/>
              <w:tabs>
                <w:tab w:val="left" w:pos="993"/>
              </w:tabs>
              <w:bidi w:val="0"/>
              <w:ind w:left="0"/>
              <w:jc w:val="both"/>
              <w:rPr>
                <w:rFonts w:ascii="Times New Roman" w:hAnsi="Times New Roman"/>
              </w:rPr>
            </w:pPr>
            <w:r w:rsidRPr="002B3DE0">
              <w:rPr>
                <w:rFonts w:ascii="Times New Roman" w:hAnsi="Times New Roman"/>
              </w:rPr>
              <w:t>Žaloba je procesný úkon, ktorým sa uplatňuje právo na súdnu ochranu ohrozeného alebo porušeného práva.</w:t>
            </w:r>
          </w:p>
          <w:p w:rsidR="002B3DE0" w:rsidRPr="002B3DE0" w:rsidP="002B3DE0">
            <w:pPr>
              <w:tabs>
                <w:tab w:val="left" w:pos="993"/>
              </w:tabs>
              <w:bidi w:val="0"/>
              <w:jc w:val="center"/>
              <w:rPr>
                <w:rFonts w:ascii="Times New Roman" w:eastAsia="MS Mincho" w:hAnsi="Times New Roman"/>
                <w:lang w:eastAsia="en-US"/>
              </w:rPr>
            </w:pPr>
          </w:p>
          <w:p w:rsidR="002B3DE0" w:rsidRPr="002B3DE0" w:rsidP="006009E9">
            <w:pPr>
              <w:tabs>
                <w:tab w:val="left" w:pos="993"/>
              </w:tabs>
              <w:bidi w:val="0"/>
              <w:rPr>
                <w:rFonts w:ascii="Times New Roman" w:eastAsia="MS Mincho" w:hAnsi="Times New Roman" w:hint="default"/>
                <w:lang w:eastAsia="en-US"/>
              </w:rPr>
            </w:pPr>
            <w:r w:rsidRPr="002B3DE0">
              <w:rPr>
                <w:rFonts w:ascii="Times New Roman" w:eastAsia="MS Mincho" w:hAnsi="Times New Roman" w:hint="default"/>
                <w:lang w:eastAsia="en-US"/>
              </w:rPr>
              <w:t>§</w:t>
            </w:r>
            <w:r w:rsidRPr="002B3DE0">
              <w:rPr>
                <w:rFonts w:ascii="Times New Roman" w:eastAsia="MS Mincho" w:hAnsi="Times New Roman" w:hint="default"/>
                <w:lang w:eastAsia="en-US"/>
              </w:rPr>
              <w:t xml:space="preserve"> 300</w:t>
            </w:r>
          </w:p>
          <w:p w:rsidR="00A97461" w:rsidRPr="002B3DE0" w:rsidP="002B3DE0">
            <w:pPr>
              <w:bidi w:val="0"/>
              <w:jc w:val="both"/>
              <w:rPr>
                <w:rFonts w:ascii="Times New Roman" w:eastAsia="MS Mincho" w:hAnsi="Times New Roman"/>
              </w:rPr>
            </w:pPr>
            <w:r w:rsidRPr="002B3DE0" w:rsidR="002B3DE0">
              <w:rPr>
                <w:rFonts w:ascii="Times New Roman" w:eastAsia="MS Mincho" w:hAnsi="Times New Roman" w:hint="default"/>
              </w:rPr>
              <w:t>Antidiskriminač</w:t>
            </w:r>
            <w:r w:rsidRPr="002B3DE0" w:rsidR="002B3DE0">
              <w:rPr>
                <w:rFonts w:ascii="Times New Roman" w:eastAsia="MS Mincho" w:hAnsi="Times New Roman" w:hint="default"/>
              </w:rPr>
              <w:t>ný</w:t>
            </w:r>
            <w:r w:rsidRPr="002B3DE0" w:rsidR="002B3DE0">
              <w:rPr>
                <w:rFonts w:ascii="Times New Roman" w:eastAsia="MS Mincho" w:hAnsi="Times New Roman" w:hint="default"/>
              </w:rPr>
              <w:t xml:space="preserve"> spor je spor, ktorý</w:t>
            </w:r>
            <w:r w:rsidRPr="002B3DE0" w:rsidR="002B3DE0">
              <w:rPr>
                <w:rFonts w:ascii="Times New Roman" w:eastAsia="MS Mincho" w:hAnsi="Times New Roman" w:hint="default"/>
              </w:rPr>
              <w:t xml:space="preserve"> sa tý</w:t>
            </w:r>
            <w:r w:rsidRPr="002B3DE0" w:rsidR="002B3DE0">
              <w:rPr>
                <w:rFonts w:ascii="Times New Roman" w:eastAsia="MS Mincho" w:hAnsi="Times New Roman" w:hint="default"/>
              </w:rPr>
              <w:t>ka poruš</w:t>
            </w:r>
            <w:r w:rsidRPr="002B3DE0" w:rsidR="002B3DE0">
              <w:rPr>
                <w:rFonts w:ascii="Times New Roman" w:eastAsia="MS Mincho" w:hAnsi="Times New Roman" w:hint="default"/>
              </w:rPr>
              <w:t>enia zá</w:t>
            </w:r>
            <w:r w:rsidRPr="002B3DE0" w:rsidR="002B3DE0">
              <w:rPr>
                <w:rFonts w:ascii="Times New Roman" w:eastAsia="MS Mincho" w:hAnsi="Times New Roman" w:hint="default"/>
              </w:rPr>
              <w:t>sady rovnaké</w:t>
            </w:r>
            <w:r w:rsidRPr="002B3DE0" w:rsidR="002B3DE0">
              <w:rPr>
                <w:rFonts w:ascii="Times New Roman" w:eastAsia="MS Mincho" w:hAnsi="Times New Roman" w:hint="default"/>
              </w:rPr>
              <w:t>ho zaobchá</w:t>
            </w:r>
            <w:r w:rsidRPr="002B3DE0" w:rsidR="002B3DE0">
              <w:rPr>
                <w:rFonts w:ascii="Times New Roman" w:eastAsia="MS Mincho" w:hAnsi="Times New Roman" w:hint="default"/>
              </w:rPr>
              <w:t>dzania podľ</w:t>
            </w:r>
            <w:r w:rsidRPr="002B3DE0" w:rsidR="002B3DE0">
              <w:rPr>
                <w:rFonts w:ascii="Times New Roman" w:eastAsia="MS Mincho" w:hAnsi="Times New Roman" w:hint="default"/>
              </w:rPr>
              <w:t>a predpisov o rovnakom zaobchá</w:t>
            </w:r>
            <w:r w:rsidRPr="002B3DE0" w:rsidR="002B3DE0">
              <w:rPr>
                <w:rFonts w:ascii="Times New Roman" w:eastAsia="MS Mincho" w:hAnsi="Times New Roman" w:hint="default"/>
              </w:rPr>
              <w:t>dzaní</w:t>
            </w:r>
            <w:r w:rsidRPr="002B3DE0" w:rsidR="002B3DE0">
              <w:rPr>
                <w:rFonts w:ascii="Times New Roman" w:eastAsia="MS Mincho" w:hAnsi="Times New Roman" w:hint="default"/>
              </w:rPr>
              <w:t xml:space="preserve"> a o ochrane pred diskriminá</w:t>
            </w:r>
            <w:r w:rsidRPr="002B3DE0" w:rsidR="002B3DE0">
              <w:rPr>
                <w:rFonts w:ascii="Times New Roman" w:eastAsia="MS Mincho" w:hAnsi="Times New Roman" w:hint="default"/>
              </w:rPr>
              <w:t>ciou.</w:t>
            </w:r>
          </w:p>
          <w:p w:rsidR="002B3DE0" w:rsidRPr="002B3DE0" w:rsidP="002B3DE0">
            <w:pPr>
              <w:bidi w:val="0"/>
              <w:jc w:val="both"/>
              <w:rPr>
                <w:rFonts w:ascii="Times New Roman" w:eastAsia="MS Mincho" w:hAnsi="Times New Roman"/>
              </w:rPr>
            </w:pPr>
          </w:p>
          <w:p w:rsidR="002B3DE0" w:rsidRPr="006009E9" w:rsidP="006009E9">
            <w:pPr>
              <w:tabs>
                <w:tab w:val="left" w:pos="993"/>
              </w:tabs>
              <w:bidi w:val="0"/>
              <w:rPr>
                <w:rFonts w:ascii="Times New Roman" w:eastAsia="MS Mincho" w:hAnsi="Times New Roman"/>
              </w:rPr>
            </w:pPr>
            <w:r w:rsidRPr="002B3DE0">
              <w:rPr>
                <w:rFonts w:ascii="Times New Roman" w:eastAsia="MS Mincho" w:hAnsi="Times New Roman" w:hint="default"/>
              </w:rPr>
              <w:t>§</w:t>
            </w:r>
            <w:r w:rsidRPr="002B3DE0">
              <w:rPr>
                <w:rFonts w:ascii="Times New Roman" w:eastAsia="MS Mincho" w:hAnsi="Times New Roman" w:hint="default"/>
              </w:rPr>
              <w:t xml:space="preserve"> 301</w:t>
            </w:r>
          </w:p>
          <w:p w:rsidR="002B3DE0" w:rsidRPr="002B3DE0" w:rsidP="002B3DE0">
            <w:pPr>
              <w:tabs>
                <w:tab w:val="left" w:pos="993"/>
              </w:tabs>
              <w:bidi w:val="0"/>
              <w:jc w:val="both"/>
              <w:rPr>
                <w:rFonts w:ascii="Times New Roman" w:eastAsia="MS Mincho" w:hAnsi="Times New Roman" w:hint="default"/>
                <w:lang w:eastAsia="en-US"/>
              </w:rPr>
            </w:pPr>
            <w:r w:rsidRPr="002B3DE0">
              <w:rPr>
                <w:rFonts w:ascii="Times New Roman" w:eastAsia="MS Mincho" w:hAnsi="Times New Roman" w:hint="default"/>
                <w:lang w:eastAsia="en-US"/>
              </w:rPr>
              <w:t>Strana sa môž</w:t>
            </w:r>
            <w:r w:rsidRPr="002B3DE0">
              <w:rPr>
                <w:rFonts w:ascii="Times New Roman" w:eastAsia="MS Mincho" w:hAnsi="Times New Roman" w:hint="default"/>
                <w:lang w:eastAsia="en-US"/>
              </w:rPr>
              <w:t>e dať</w:t>
            </w:r>
            <w:r w:rsidRPr="002B3DE0">
              <w:rPr>
                <w:rFonts w:ascii="Times New Roman" w:eastAsia="MS Mincho" w:hAnsi="Times New Roman" w:hint="default"/>
                <w:lang w:eastAsia="en-US"/>
              </w:rPr>
              <w:t xml:space="preserve"> v </w:t>
            </w:r>
            <w:r w:rsidRPr="002B3DE0">
              <w:rPr>
                <w:rFonts w:ascii="Times New Roman" w:eastAsia="MS Mincho" w:hAnsi="Times New Roman" w:hint="default"/>
                <w:lang w:eastAsia="en-US"/>
              </w:rPr>
              <w:t>antidiskriminač</w:t>
            </w:r>
            <w:r w:rsidRPr="002B3DE0">
              <w:rPr>
                <w:rFonts w:ascii="Times New Roman" w:eastAsia="MS Mincho" w:hAnsi="Times New Roman" w:hint="default"/>
                <w:lang w:eastAsia="en-US"/>
              </w:rPr>
              <w:t>nom spore zastupovať</w:t>
            </w:r>
            <w:r w:rsidRPr="002B3DE0">
              <w:rPr>
                <w:rFonts w:ascii="Times New Roman" w:eastAsia="MS Mincho" w:hAnsi="Times New Roman" w:hint="default"/>
                <w:lang w:eastAsia="en-US"/>
              </w:rPr>
              <w:t xml:space="preserve"> osobou oprá</w:t>
            </w:r>
            <w:r w:rsidRPr="002B3DE0">
              <w:rPr>
                <w:rFonts w:ascii="Times New Roman" w:eastAsia="MS Mincho" w:hAnsi="Times New Roman" w:hint="default"/>
                <w:lang w:eastAsia="en-US"/>
              </w:rPr>
              <w:t>vnenou n</w:t>
            </w:r>
            <w:r w:rsidRPr="002B3DE0">
              <w:rPr>
                <w:rFonts w:ascii="Times New Roman" w:eastAsia="MS Mincho" w:hAnsi="Times New Roman" w:hint="default"/>
                <w:lang w:eastAsia="en-US"/>
              </w:rPr>
              <w:t>a zastupovanie podľ</w:t>
            </w:r>
            <w:r w:rsidRPr="002B3DE0">
              <w:rPr>
                <w:rFonts w:ascii="Times New Roman" w:eastAsia="MS Mincho" w:hAnsi="Times New Roman" w:hint="default"/>
                <w:lang w:eastAsia="en-US"/>
              </w:rPr>
              <w:t>a predpisov o rovnakom zaobchá</w:t>
            </w:r>
            <w:r w:rsidRPr="002B3DE0">
              <w:rPr>
                <w:rFonts w:ascii="Times New Roman" w:eastAsia="MS Mincho" w:hAnsi="Times New Roman" w:hint="default"/>
                <w:lang w:eastAsia="en-US"/>
              </w:rPr>
              <w:t>dzaní</w:t>
            </w:r>
            <w:r w:rsidRPr="002B3DE0">
              <w:rPr>
                <w:rFonts w:ascii="Times New Roman" w:eastAsia="MS Mincho" w:hAnsi="Times New Roman" w:hint="default"/>
                <w:lang w:eastAsia="en-US"/>
              </w:rPr>
              <w:t xml:space="preserve"> a o ochrane pred diskriminá</w:t>
            </w:r>
            <w:r w:rsidRPr="002B3DE0">
              <w:rPr>
                <w:rFonts w:ascii="Times New Roman" w:eastAsia="MS Mincho" w:hAnsi="Times New Roman" w:hint="default"/>
                <w:lang w:eastAsia="en-US"/>
              </w:rPr>
              <w:t>ciou. Ustanovenia prvej č</w:t>
            </w:r>
            <w:r w:rsidRPr="002B3DE0">
              <w:rPr>
                <w:rFonts w:ascii="Times New Roman" w:eastAsia="MS Mincho" w:hAnsi="Times New Roman" w:hint="default"/>
                <w:lang w:eastAsia="en-US"/>
              </w:rPr>
              <w:t>asti, piatej hlavy, piateho dielu tohto zá</w:t>
            </w:r>
            <w:r w:rsidRPr="002B3DE0">
              <w:rPr>
                <w:rFonts w:ascii="Times New Roman" w:eastAsia="MS Mincho" w:hAnsi="Times New Roman" w:hint="default"/>
                <w:lang w:eastAsia="en-US"/>
              </w:rPr>
              <w:t>kona tý</w:t>
            </w:r>
            <w:r w:rsidRPr="002B3DE0">
              <w:rPr>
                <w:rFonts w:ascii="Times New Roman" w:eastAsia="MS Mincho" w:hAnsi="Times New Roman" w:hint="default"/>
                <w:lang w:eastAsia="en-US"/>
              </w:rPr>
              <w:t>m nie sú</w:t>
            </w:r>
            <w:r w:rsidRPr="002B3DE0">
              <w:rPr>
                <w:rFonts w:ascii="Times New Roman" w:eastAsia="MS Mincho" w:hAnsi="Times New Roman" w:hint="default"/>
                <w:lang w:eastAsia="en-US"/>
              </w:rPr>
              <w:t xml:space="preserve"> dotknuté.</w:t>
            </w:r>
          </w:p>
          <w:p w:rsidR="002B3DE0" w:rsidRPr="002B3DE0" w:rsidP="002B3DE0">
            <w:pPr>
              <w:bidi w:val="0"/>
              <w:jc w:val="both"/>
              <w:rPr>
                <w:rFonts w:ascii="Times New Roman" w:hAnsi="Times New Roman"/>
              </w:rPr>
            </w:pPr>
          </w:p>
          <w:p w:rsidR="002B3DE0" w:rsidRPr="002B3DE0" w:rsidP="002B3DE0">
            <w:pPr>
              <w:bidi w:val="0"/>
              <w:jc w:val="both"/>
              <w:rPr>
                <w:rFonts w:ascii="Times New Roman" w:hAnsi="Times New Roman"/>
              </w:rPr>
            </w:pPr>
            <w:r w:rsidRPr="002B3DE0">
              <w:rPr>
                <w:rFonts w:ascii="Times New Roman" w:hAnsi="Times New Roman"/>
              </w:rPr>
              <w:t>§ 302</w:t>
            </w:r>
          </w:p>
          <w:p w:rsidR="002B3DE0" w:rsidRPr="002B3DE0" w:rsidP="002B3DE0">
            <w:pPr>
              <w:bidi w:val="0"/>
              <w:jc w:val="both"/>
              <w:rPr>
                <w:rFonts w:ascii="Times New Roman" w:hAnsi="Times New Roman"/>
              </w:rPr>
            </w:pPr>
            <w:r w:rsidRPr="002B3DE0">
              <w:rPr>
                <w:rFonts w:ascii="Times New Roman" w:hAnsi="Times New Roman"/>
              </w:rPr>
              <w:t>Súd pri prvom úkone vo vzťahu k žalobcovi vhodným spôsobom žalobcu poučí o</w:t>
            </w:r>
          </w:p>
          <w:p w:rsidR="002B3DE0" w:rsidRPr="002B3DE0" w:rsidP="002B3DE0">
            <w:pPr>
              <w:bidi w:val="0"/>
              <w:jc w:val="both"/>
              <w:rPr>
                <w:rFonts w:ascii="Times New Roman" w:hAnsi="Times New Roman"/>
              </w:rPr>
            </w:pPr>
            <w:r w:rsidRPr="002B3DE0">
              <w:rPr>
                <w:rFonts w:ascii="Times New Roman" w:hAnsi="Times New Roman"/>
              </w:rPr>
              <w:t>a)</w:t>
              <w:tab/>
              <w:t>možnosti zastúpenia,</w:t>
            </w:r>
          </w:p>
          <w:p w:rsidR="002B3DE0" w:rsidRPr="002B3DE0" w:rsidP="002B3DE0">
            <w:pPr>
              <w:bidi w:val="0"/>
              <w:jc w:val="both"/>
              <w:rPr>
                <w:rFonts w:ascii="Times New Roman" w:hAnsi="Times New Roman"/>
              </w:rPr>
            </w:pPr>
            <w:r w:rsidRPr="002B3DE0">
              <w:rPr>
                <w:rFonts w:ascii="Times New Roman" w:hAnsi="Times New Roman"/>
              </w:rPr>
              <w:t>b)</w:t>
              <w:tab/>
              <w:t>jeho procesných právach a povinnostiach nielen v rozsahu všeobecnej poučovacej povinnosti, ale poučí ho aj o dôkazoch, ktoré je potrebné predložiť, o možnosti podať návrh na neodkladné opatrenie alebo zabezpečovacie opatrenie a o iných možnostiach potrebných na účelné uplatnenie alebo bránenie jeho práv.</w:t>
            </w:r>
          </w:p>
          <w:p w:rsidR="002B3DE0" w:rsidRPr="002B3DE0" w:rsidP="002B3DE0">
            <w:pPr>
              <w:bidi w:val="0"/>
              <w:jc w:val="both"/>
              <w:rPr>
                <w:rFonts w:ascii="Times New Roman" w:hAnsi="Times New Roman"/>
              </w:rPr>
            </w:pPr>
          </w:p>
          <w:p w:rsidR="002B3DE0" w:rsidRPr="002B3DE0" w:rsidP="002B3DE0">
            <w:pPr>
              <w:bidi w:val="0"/>
              <w:jc w:val="both"/>
              <w:rPr>
                <w:rFonts w:ascii="Times New Roman" w:hAnsi="Times New Roman"/>
              </w:rPr>
            </w:pPr>
            <w:r w:rsidRPr="002B3DE0">
              <w:rPr>
                <w:rFonts w:ascii="Times New Roman" w:hAnsi="Times New Roman"/>
              </w:rPr>
              <w:t>§ 303</w:t>
            </w:r>
          </w:p>
          <w:p w:rsidR="002B3DE0" w:rsidRPr="002B3DE0" w:rsidP="002B3DE0">
            <w:pPr>
              <w:bidi w:val="0"/>
              <w:jc w:val="both"/>
              <w:rPr>
                <w:rFonts w:ascii="Times New Roman" w:hAnsi="Times New Roman"/>
              </w:rPr>
            </w:pPr>
            <w:r w:rsidRPr="002B3DE0">
              <w:rPr>
                <w:rFonts w:ascii="Times New Roman" w:hAnsi="Times New Roman"/>
              </w:rPr>
              <w:t>Nárok uplatnený vzájomnou žalobou, ktorý nie je antidiskriminačným sporom, súd vylúči na samostatné konanie.</w:t>
            </w:r>
          </w:p>
          <w:p w:rsidR="002B3DE0" w:rsidRPr="002B3DE0" w:rsidP="002B3DE0">
            <w:pPr>
              <w:bidi w:val="0"/>
              <w:jc w:val="both"/>
              <w:rPr>
                <w:rFonts w:ascii="Times New Roman" w:hAnsi="Times New Roman"/>
              </w:rPr>
            </w:pPr>
          </w:p>
          <w:p w:rsidR="002B3DE0" w:rsidRPr="002B3DE0" w:rsidP="002B3DE0">
            <w:pPr>
              <w:bidi w:val="0"/>
              <w:jc w:val="both"/>
              <w:rPr>
                <w:rFonts w:ascii="Times New Roman" w:hAnsi="Times New Roman"/>
              </w:rPr>
            </w:pPr>
            <w:r w:rsidRPr="002B3DE0">
              <w:rPr>
                <w:rFonts w:ascii="Times New Roman" w:hAnsi="Times New Roman"/>
              </w:rPr>
              <w:t>§ 304</w:t>
            </w:r>
          </w:p>
          <w:p w:rsidR="002B3DE0" w:rsidRPr="002B3DE0" w:rsidP="002B3DE0">
            <w:pPr>
              <w:bidi w:val="0"/>
              <w:jc w:val="both"/>
              <w:rPr>
                <w:rFonts w:ascii="Times New Roman" w:hAnsi="Times New Roman"/>
              </w:rPr>
            </w:pPr>
            <w:r w:rsidRPr="002B3DE0">
              <w:rPr>
                <w:rFonts w:ascii="Times New Roman" w:hAnsi="Times New Roman"/>
              </w:rPr>
              <w:t>Súd môže vykonať aj tie dôkazy, ktoré žalobca nenavrhol, ak je to nevyhnutné pre rozhodnutie vo veci. Súd aj bez návrhu obstará alebo zabezpečí takýto dôkaz.</w:t>
            </w:r>
          </w:p>
          <w:p w:rsidR="002B3DE0" w:rsidRPr="002B3DE0" w:rsidP="002B3DE0">
            <w:pPr>
              <w:bidi w:val="0"/>
              <w:jc w:val="both"/>
              <w:rPr>
                <w:rFonts w:ascii="Times New Roman" w:hAnsi="Times New Roman"/>
              </w:rPr>
            </w:pPr>
          </w:p>
          <w:p w:rsidR="002B3DE0" w:rsidRPr="002B3DE0" w:rsidP="002B3DE0">
            <w:pPr>
              <w:bidi w:val="0"/>
              <w:jc w:val="both"/>
              <w:rPr>
                <w:rFonts w:ascii="Times New Roman" w:hAnsi="Times New Roman"/>
              </w:rPr>
            </w:pPr>
            <w:r w:rsidRPr="002B3DE0">
              <w:rPr>
                <w:rFonts w:ascii="Times New Roman" w:hAnsi="Times New Roman"/>
              </w:rPr>
              <w:t>§ 305</w:t>
            </w:r>
          </w:p>
          <w:p w:rsidR="002B3DE0" w:rsidRPr="002B3DE0" w:rsidP="002B3DE0">
            <w:pPr>
              <w:bidi w:val="0"/>
              <w:jc w:val="both"/>
              <w:rPr>
                <w:rFonts w:ascii="Times New Roman" w:hAnsi="Times New Roman"/>
              </w:rPr>
            </w:pPr>
            <w:r w:rsidRPr="002B3DE0">
              <w:rPr>
                <w:rFonts w:ascii="Times New Roman" w:hAnsi="Times New Roman"/>
              </w:rPr>
              <w:t>Žalobca môže predložiť alebo označiť všetky skutočnosti a dôkazy na preukázanie svojich tvrdení najneskôr do vyhlásenia rozhodnutia vo veci samej. Ustanovenia o sudcovskej koncentrácii konania a zákonnej koncentrácii konania sa nepoužijú.</w:t>
            </w:r>
          </w:p>
          <w:p w:rsidR="002B3DE0" w:rsidRPr="002B3DE0" w:rsidP="002B3DE0">
            <w:pPr>
              <w:bidi w:val="0"/>
              <w:jc w:val="both"/>
              <w:rPr>
                <w:rFonts w:ascii="Times New Roman" w:hAnsi="Times New Roman"/>
              </w:rPr>
            </w:pPr>
          </w:p>
          <w:p w:rsidR="002B3DE0" w:rsidRPr="002B3DE0" w:rsidP="002B3DE0">
            <w:pPr>
              <w:bidi w:val="0"/>
              <w:jc w:val="both"/>
              <w:rPr>
                <w:rFonts w:ascii="Times New Roman" w:hAnsi="Times New Roman"/>
              </w:rPr>
            </w:pPr>
            <w:r w:rsidRPr="002B3DE0">
              <w:rPr>
                <w:rFonts w:ascii="Times New Roman" w:hAnsi="Times New Roman"/>
              </w:rPr>
              <w:t>§ 306</w:t>
            </w:r>
          </w:p>
          <w:p w:rsidR="002B3DE0" w:rsidRPr="002B3DE0" w:rsidP="002B3DE0">
            <w:pPr>
              <w:bidi w:val="0"/>
              <w:jc w:val="both"/>
              <w:rPr>
                <w:rFonts w:ascii="Times New Roman" w:hAnsi="Times New Roman"/>
              </w:rPr>
            </w:pPr>
            <w:r w:rsidRPr="002B3DE0">
              <w:rPr>
                <w:rFonts w:ascii="Times New Roman" w:hAnsi="Times New Roman"/>
              </w:rPr>
              <w:t>(1)</w:t>
              <w:tab/>
              <w:t>Ustanovenia o rozsudku pre zmeškanie sa nepoužijú, ak by mal byť tento rozsudok vydaný v neprospech žalobcu.</w:t>
            </w:r>
          </w:p>
          <w:p w:rsidR="002B3DE0" w:rsidRPr="002B3DE0" w:rsidP="002B3DE0">
            <w:pPr>
              <w:bidi w:val="0"/>
              <w:jc w:val="both"/>
              <w:rPr>
                <w:rFonts w:ascii="Times New Roman" w:hAnsi="Times New Roman"/>
              </w:rPr>
            </w:pPr>
          </w:p>
          <w:p w:rsidR="002B3DE0" w:rsidRPr="002B3DE0" w:rsidP="002B3DE0">
            <w:pPr>
              <w:bidi w:val="0"/>
              <w:jc w:val="both"/>
              <w:rPr>
                <w:rFonts w:ascii="Times New Roman" w:hAnsi="Times New Roman"/>
              </w:rPr>
            </w:pPr>
            <w:r w:rsidRPr="002B3DE0">
              <w:rPr>
                <w:rFonts w:ascii="Times New Roman" w:hAnsi="Times New Roman"/>
              </w:rPr>
              <w:t>(2)</w:t>
              <w:tab/>
              <w:t>Ustanovenia o rozsudku pre vzdanie sa nároku sa nepoužijú.</w:t>
            </w:r>
          </w:p>
          <w:p w:rsidR="002B3DE0" w:rsidRPr="002B3DE0" w:rsidP="002B3DE0">
            <w:pPr>
              <w:bidi w:val="0"/>
              <w:jc w:val="both"/>
              <w:rPr>
                <w:rFonts w:ascii="Times New Roman" w:hAnsi="Times New Roman"/>
              </w:rPr>
            </w:pPr>
          </w:p>
          <w:p w:rsidR="002B3DE0" w:rsidRPr="002B3DE0" w:rsidP="002B3DE0">
            <w:pPr>
              <w:bidi w:val="0"/>
              <w:jc w:val="both"/>
              <w:rPr>
                <w:rFonts w:ascii="Times New Roman" w:hAnsi="Times New Roman"/>
              </w:rPr>
            </w:pPr>
            <w:r w:rsidRPr="002B3DE0">
              <w:rPr>
                <w:rFonts w:ascii="Times New Roman" w:hAnsi="Times New Roman"/>
              </w:rPr>
              <w:t>§ 307</w:t>
            </w:r>
          </w:p>
          <w:p w:rsidR="002B3DE0" w:rsidRPr="002B3DE0" w:rsidP="002B3DE0">
            <w:pPr>
              <w:bidi w:val="0"/>
              <w:jc w:val="both"/>
              <w:rPr>
                <w:rFonts w:ascii="Times New Roman" w:hAnsi="Times New Roman"/>
              </w:rPr>
            </w:pPr>
            <w:r w:rsidRPr="002B3DE0">
              <w:rPr>
                <w:rFonts w:ascii="Times New Roman" w:hAnsi="Times New Roman"/>
              </w:rPr>
              <w:t>Súd na prejednanie sporu nariadi pojednávanie. Pojednávanie nie je potrebné nariadiť, ak s tým žalobca súhlasí.</w:t>
            </w:r>
          </w:p>
          <w:p w:rsidR="002B3DE0" w:rsidRPr="002B3DE0" w:rsidP="002B3DE0">
            <w:pPr>
              <w:bidi w:val="0"/>
              <w:jc w:val="both"/>
              <w:rPr>
                <w:rFonts w:ascii="Times New Roman" w:hAnsi="Times New Roman"/>
              </w:rPr>
            </w:pPr>
          </w:p>
          <w:p w:rsidR="002B3DE0" w:rsidRPr="002B3DE0" w:rsidP="002B3DE0">
            <w:pPr>
              <w:bidi w:val="0"/>
              <w:jc w:val="both"/>
              <w:rPr>
                <w:rFonts w:ascii="Times New Roman" w:hAnsi="Times New Roman"/>
              </w:rPr>
            </w:pPr>
            <w:r w:rsidRPr="002B3DE0">
              <w:rPr>
                <w:rFonts w:ascii="Times New Roman" w:hAnsi="Times New Roman"/>
              </w:rPr>
              <w:t>§ 308</w:t>
            </w:r>
          </w:p>
          <w:p w:rsidR="002B3DE0" w:rsidRPr="002B3DE0" w:rsidP="002B3DE0">
            <w:pPr>
              <w:bidi w:val="0"/>
              <w:jc w:val="both"/>
              <w:rPr>
                <w:rFonts w:ascii="Times New Roman" w:hAnsi="Times New Roman"/>
              </w:rPr>
            </w:pPr>
            <w:r w:rsidRPr="002B3DE0">
              <w:rPr>
                <w:rFonts w:ascii="Times New Roman" w:hAnsi="Times New Roman"/>
              </w:rPr>
              <w:t>(1)</w:t>
              <w:tab/>
              <w:t xml:space="preserve"> Na konanie podľa tohto dielu sa primerane použijú všeobecné ustanovenia o konaní, ak nie je uvedené inak. </w:t>
            </w:r>
          </w:p>
          <w:p w:rsidR="002B3DE0" w:rsidRPr="002B3DE0" w:rsidP="002B3DE0">
            <w:pPr>
              <w:bidi w:val="0"/>
              <w:jc w:val="both"/>
              <w:rPr>
                <w:rFonts w:ascii="Times New Roman" w:hAnsi="Times New Roman"/>
              </w:rPr>
            </w:pPr>
          </w:p>
          <w:p w:rsidR="002B3DE0" w:rsidRPr="00C358FE" w:rsidP="002B3DE0">
            <w:pPr>
              <w:bidi w:val="0"/>
              <w:jc w:val="both"/>
              <w:rPr>
                <w:rFonts w:ascii="Times New Roman" w:hAnsi="Times New Roman"/>
                <w:sz w:val="22"/>
                <w:szCs w:val="22"/>
              </w:rPr>
            </w:pPr>
            <w:r w:rsidRPr="002B3DE0">
              <w:rPr>
                <w:rFonts w:ascii="Times New Roman" w:hAnsi="Times New Roman"/>
              </w:rPr>
              <w:t>(2)</w:t>
              <w:tab/>
              <w:t xml:space="preserve"> Ustanovenia tohto zákona sa použijú, ak predpisy o rovnakom zaobchádzaní a o ochrane pred diskrimináciou neustanovujú inak.</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jc w:val="center"/>
              <w:rPr>
                <w:rFonts w:ascii="Times New Roman" w:hAnsi="Times New Roman"/>
                <w:sz w:val="22"/>
                <w:szCs w:val="22"/>
              </w:rPr>
            </w:pPr>
            <w:r w:rsidR="006009E9">
              <w:rPr>
                <w:rFonts w:ascii="Times New Roman" w:hAnsi="Times New Roman"/>
                <w:sz w:val="22"/>
                <w:szCs w:val="22"/>
              </w:rPr>
              <w:t>Ú</w:t>
            </w:r>
          </w:p>
        </w:tc>
        <w:tc>
          <w:tcPr>
            <w:tcW w:w="1825" w:type="dxa"/>
            <w:tcBorders>
              <w:top w:val="single" w:sz="4" w:space="0" w:color="auto"/>
              <w:left w:val="single" w:sz="4" w:space="0" w:color="auto"/>
              <w:bottom w:val="single" w:sz="4" w:space="0" w:color="auto"/>
              <w:right w:val="single" w:sz="4" w:space="0" w:color="auto"/>
            </w:tcBorders>
            <w:textDirection w:val="lrTb"/>
            <w:vAlign w:val="top"/>
          </w:tcPr>
          <w:p w:rsidR="00A97461" w:rsidRPr="00C358FE" w:rsidP="009A65B7">
            <w:pPr>
              <w:bidi w:val="0"/>
              <w:rPr>
                <w:rFonts w:ascii="Times New Roman" w:hAnsi="Times New Roman"/>
                <w:sz w:val="22"/>
                <w:szCs w:val="22"/>
              </w:rPr>
            </w:pPr>
          </w:p>
        </w:tc>
      </w:tr>
      <w:tr>
        <w:tblPrEx>
          <w:tblW w:w="13750" w:type="dxa"/>
          <w:tblInd w:w="-72" w:type="dxa"/>
          <w:tblLayout w:type="fixed"/>
          <w:tblCellMar>
            <w:top w:w="0" w:type="dxa"/>
            <w:left w:w="70" w:type="dxa"/>
            <w:bottom w:w="0" w:type="dxa"/>
            <w:right w:w="70" w:type="dxa"/>
          </w:tblCellMar>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641166" w:rsidP="00641166">
            <w:pPr>
              <w:bidi w:val="0"/>
              <w:jc w:val="center"/>
              <w:rPr>
                <w:rFonts w:ascii="Times New Roman" w:hAnsi="Times New Roman"/>
                <w:sz w:val="22"/>
                <w:szCs w:val="22"/>
              </w:rPr>
            </w:pPr>
            <w:r w:rsidR="006009E9">
              <w:rPr>
                <w:rFonts w:ascii="Times New Roman" w:hAnsi="Times New Roman"/>
                <w:sz w:val="22"/>
                <w:szCs w:val="22"/>
              </w:rPr>
              <w:t>C:</w:t>
            </w:r>
            <w:r w:rsidR="00D032C1">
              <w:rPr>
                <w:rFonts w:ascii="Times New Roman" w:hAnsi="Times New Roman"/>
                <w:sz w:val="22"/>
                <w:szCs w:val="22"/>
              </w:rPr>
              <w:t>10</w:t>
            </w:r>
            <w:r>
              <w:rPr>
                <w:rFonts w:ascii="Times New Roman" w:hAnsi="Times New Roman"/>
                <w:sz w:val="22"/>
                <w:szCs w:val="22"/>
              </w:rPr>
              <w:t xml:space="preserve"> </w:t>
            </w: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r>
              <w:rPr>
                <w:rFonts w:ascii="Times New Roman" w:hAnsi="Times New Roman"/>
                <w:sz w:val="22"/>
                <w:szCs w:val="22"/>
              </w:rPr>
              <w:t>O:1</w:t>
            </w: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r>
              <w:rPr>
                <w:rFonts w:ascii="Times New Roman" w:hAnsi="Times New Roman"/>
                <w:sz w:val="22"/>
                <w:szCs w:val="22"/>
              </w:rPr>
              <w:t>O:2</w:t>
            </w: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r>
              <w:rPr>
                <w:rFonts w:ascii="Times New Roman" w:hAnsi="Times New Roman"/>
                <w:sz w:val="22"/>
                <w:szCs w:val="22"/>
              </w:rPr>
              <w:t>O:3</w:t>
            </w:r>
          </w:p>
          <w:p w:rsidR="00641166" w:rsidP="00641166">
            <w:pPr>
              <w:bidi w:val="0"/>
              <w:jc w:val="center"/>
              <w:rPr>
                <w:rFonts w:ascii="Times New Roman" w:hAnsi="Times New Roman"/>
                <w:sz w:val="22"/>
                <w:szCs w:val="22"/>
              </w:rPr>
            </w:pPr>
          </w:p>
          <w:p w:rsidR="00641166" w:rsidP="00641166">
            <w:pPr>
              <w:bidi w:val="0"/>
              <w:jc w:val="center"/>
              <w:rPr>
                <w:rFonts w:ascii="Times New Roman" w:hAnsi="Times New Roman"/>
                <w:sz w:val="22"/>
                <w:szCs w:val="22"/>
              </w:rPr>
            </w:pPr>
            <w:r>
              <w:rPr>
                <w:rFonts w:ascii="Times New Roman" w:hAnsi="Times New Roman"/>
                <w:sz w:val="22"/>
                <w:szCs w:val="22"/>
              </w:rPr>
              <w:t>O:4</w:t>
            </w:r>
          </w:p>
          <w:p w:rsidR="00641166" w:rsidP="00641166">
            <w:pPr>
              <w:bidi w:val="0"/>
              <w:jc w:val="center"/>
              <w:rPr>
                <w:rFonts w:ascii="Times New Roman" w:hAnsi="Times New Roman"/>
                <w:sz w:val="22"/>
                <w:szCs w:val="22"/>
              </w:rPr>
            </w:pPr>
          </w:p>
          <w:p w:rsidR="006009E9" w:rsidRPr="00C358FE" w:rsidP="00641166">
            <w:pPr>
              <w:bidi w:val="0"/>
              <w:jc w:val="center"/>
              <w:rPr>
                <w:rFonts w:ascii="Times New Roman" w:hAnsi="Times New Roman"/>
                <w:sz w:val="22"/>
                <w:szCs w:val="22"/>
              </w:rPr>
            </w:pPr>
            <w:r w:rsidR="00641166">
              <w:rPr>
                <w:rFonts w:ascii="Times New Roman" w:hAnsi="Times New Roman"/>
                <w:sz w:val="22"/>
                <w:szCs w:val="22"/>
              </w:rPr>
              <w:t>O:5</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D032C1" w:rsidRPr="00D032C1" w:rsidP="00D032C1">
            <w:pPr>
              <w:pStyle w:val="NormalWeb"/>
              <w:tabs>
                <w:tab w:val="left" w:pos="4254"/>
              </w:tabs>
              <w:bidi w:val="0"/>
              <w:spacing w:before="0" w:beforeAutospacing="0" w:after="0" w:afterAutospacing="0" w:line="240" w:lineRule="atLeast"/>
              <w:ind w:left="227"/>
              <w:jc w:val="both"/>
              <w:textAlignment w:val="baseline"/>
              <w:rPr>
                <w:rFonts w:ascii="Times New Roman" w:hAnsi="Times New Roman"/>
                <w:color w:val="444444"/>
                <w:sz w:val="20"/>
                <w:szCs w:val="20"/>
                <w:bdr w:val="nil"/>
                <w:shd w:val="clear" w:color="auto" w:fill="FFFFFF"/>
              </w:rPr>
            </w:pPr>
            <w:r w:rsidRPr="00D032C1">
              <w:rPr>
                <w:rFonts w:ascii="Times New Roman" w:hAnsi="Times New Roman"/>
                <w:color w:val="444444"/>
                <w:sz w:val="20"/>
                <w:szCs w:val="20"/>
                <w:bdr w:val="nil"/>
                <w:shd w:val="clear" w:color="auto" w:fill="FFFFFF"/>
              </w:rPr>
              <w:t>Článok 10</w:t>
            </w:r>
          </w:p>
          <w:p w:rsidR="00D032C1" w:rsidRPr="00D032C1" w:rsidP="00D032C1">
            <w:pPr>
              <w:pStyle w:val="NormalWeb"/>
              <w:tabs>
                <w:tab w:val="left" w:pos="4254"/>
              </w:tabs>
              <w:bidi w:val="0"/>
              <w:spacing w:before="0" w:beforeAutospacing="0" w:after="0" w:afterAutospacing="0" w:line="240" w:lineRule="atLeast"/>
              <w:ind w:left="227"/>
              <w:jc w:val="both"/>
              <w:textAlignment w:val="baseline"/>
              <w:rPr>
                <w:rFonts w:ascii="Times New Roman" w:hAnsi="Times New Roman"/>
                <w:color w:val="444444"/>
                <w:sz w:val="20"/>
                <w:szCs w:val="20"/>
                <w:bdr w:val="nil"/>
                <w:shd w:val="clear" w:color="auto" w:fill="FFFFFF"/>
              </w:rPr>
            </w:pPr>
          </w:p>
          <w:p w:rsidR="00D032C1" w:rsidRPr="00D032C1" w:rsidP="00D032C1">
            <w:pPr>
              <w:pStyle w:val="NormalWeb"/>
              <w:tabs>
                <w:tab w:val="left" w:pos="4254"/>
              </w:tabs>
              <w:bidi w:val="0"/>
              <w:spacing w:before="0" w:beforeAutospacing="0" w:after="0" w:afterAutospacing="0" w:line="240" w:lineRule="atLeast"/>
              <w:ind w:left="227"/>
              <w:jc w:val="both"/>
              <w:textAlignment w:val="baseline"/>
              <w:rPr>
                <w:rFonts w:ascii="Times New Roman" w:hAnsi="Times New Roman"/>
                <w:color w:val="444444"/>
                <w:sz w:val="20"/>
                <w:szCs w:val="20"/>
                <w:bdr w:val="nil"/>
                <w:shd w:val="clear" w:color="auto" w:fill="FFFFFF"/>
              </w:rPr>
            </w:pPr>
            <w:r w:rsidRPr="00D032C1">
              <w:rPr>
                <w:rFonts w:ascii="Times New Roman" w:hAnsi="Times New Roman"/>
                <w:color w:val="444444"/>
                <w:sz w:val="20"/>
                <w:szCs w:val="20"/>
                <w:bdr w:val="nil"/>
                <w:shd w:val="clear" w:color="auto" w:fill="FFFFFF"/>
              </w:rPr>
              <w:t>Dôkazné bremeno</w:t>
            </w:r>
          </w:p>
          <w:p w:rsidR="00D032C1" w:rsidRPr="00D032C1" w:rsidP="00D032C1">
            <w:pPr>
              <w:pStyle w:val="NormalWeb"/>
              <w:tabs>
                <w:tab w:val="left" w:pos="4254"/>
              </w:tabs>
              <w:bidi w:val="0"/>
              <w:spacing w:before="0" w:beforeAutospacing="0" w:after="0" w:afterAutospacing="0" w:line="240" w:lineRule="atLeast"/>
              <w:ind w:left="227"/>
              <w:jc w:val="both"/>
              <w:textAlignment w:val="baseline"/>
              <w:rPr>
                <w:rFonts w:ascii="Times New Roman" w:hAnsi="Times New Roman"/>
                <w:color w:val="444444"/>
                <w:sz w:val="20"/>
                <w:szCs w:val="20"/>
                <w:bdr w:val="nil"/>
                <w:shd w:val="clear" w:color="auto" w:fill="FFFFFF"/>
              </w:rPr>
            </w:pPr>
          </w:p>
          <w:p w:rsidR="00D032C1" w:rsidRPr="00D032C1" w:rsidP="00D032C1">
            <w:pPr>
              <w:pStyle w:val="NormalWeb"/>
              <w:tabs>
                <w:tab w:val="left" w:pos="4254"/>
              </w:tabs>
              <w:bidi w:val="0"/>
              <w:spacing w:before="0" w:beforeAutospacing="0" w:after="0" w:afterAutospacing="0" w:line="240" w:lineRule="atLeast"/>
              <w:ind w:left="227"/>
              <w:jc w:val="both"/>
              <w:textAlignment w:val="baseline"/>
              <w:rPr>
                <w:rFonts w:ascii="Times New Roman" w:hAnsi="Times New Roman"/>
                <w:color w:val="444444"/>
                <w:sz w:val="20"/>
                <w:szCs w:val="20"/>
                <w:bdr w:val="nil"/>
                <w:shd w:val="clear" w:color="auto" w:fill="FFFFFF"/>
              </w:rPr>
            </w:pPr>
            <w:r w:rsidRPr="00D032C1">
              <w:rPr>
                <w:rFonts w:ascii="Times New Roman" w:hAnsi="Times New Roman"/>
                <w:color w:val="444444"/>
                <w:sz w:val="20"/>
                <w:szCs w:val="20"/>
                <w:bdr w:val="nil"/>
                <w:shd w:val="clear" w:color="auto" w:fill="FFFFFF"/>
              </w:rPr>
              <w:t>1. Členské štáty prijmú také potrebné opatrenia, aby v súlade s ich vnútroštátnymi súdnymi systémami bolo na žalovanom, aby preukázal, že neporušil zásadu rovnakého zaobchádzania, keď osoby, ktoré sa cítia poškodené z dôvodu neuplatnenia zásady rovnakého zaobchádzania, predložia súdu alebo inému príslušnému orgánu skutočnosti, z ktorých možno dôvodne usudzovať, že k priamej alebo nepriamej diskriminácii došlo.</w:t>
            </w:r>
          </w:p>
          <w:p w:rsidR="00D032C1" w:rsidRPr="00D032C1" w:rsidP="00D032C1">
            <w:pPr>
              <w:pStyle w:val="NormalWeb"/>
              <w:tabs>
                <w:tab w:val="left" w:pos="4254"/>
              </w:tabs>
              <w:bidi w:val="0"/>
              <w:spacing w:before="0" w:beforeAutospacing="0" w:after="0" w:afterAutospacing="0" w:line="240" w:lineRule="atLeast"/>
              <w:ind w:left="227"/>
              <w:jc w:val="both"/>
              <w:textAlignment w:val="baseline"/>
              <w:rPr>
                <w:rFonts w:ascii="Times New Roman" w:hAnsi="Times New Roman"/>
                <w:color w:val="444444"/>
                <w:sz w:val="20"/>
                <w:szCs w:val="20"/>
                <w:bdr w:val="nil"/>
                <w:shd w:val="clear" w:color="auto" w:fill="FFFFFF"/>
              </w:rPr>
            </w:pPr>
          </w:p>
          <w:p w:rsidR="00D032C1" w:rsidRPr="00D032C1" w:rsidP="00D032C1">
            <w:pPr>
              <w:pStyle w:val="NormalWeb"/>
              <w:tabs>
                <w:tab w:val="left" w:pos="4254"/>
              </w:tabs>
              <w:bidi w:val="0"/>
              <w:spacing w:before="0" w:beforeAutospacing="0" w:after="0" w:afterAutospacing="0" w:line="240" w:lineRule="atLeast"/>
              <w:ind w:left="227"/>
              <w:jc w:val="both"/>
              <w:textAlignment w:val="baseline"/>
              <w:rPr>
                <w:rFonts w:ascii="Times New Roman" w:hAnsi="Times New Roman"/>
                <w:color w:val="444444"/>
                <w:sz w:val="20"/>
                <w:szCs w:val="20"/>
                <w:bdr w:val="nil"/>
                <w:shd w:val="clear" w:color="auto" w:fill="FFFFFF"/>
              </w:rPr>
            </w:pPr>
            <w:r w:rsidRPr="00D032C1">
              <w:rPr>
                <w:rFonts w:ascii="Times New Roman" w:hAnsi="Times New Roman"/>
                <w:color w:val="444444"/>
                <w:sz w:val="20"/>
                <w:szCs w:val="20"/>
                <w:bdr w:val="nil"/>
                <w:shd w:val="clear" w:color="auto" w:fill="FFFFFF"/>
              </w:rPr>
              <w:t>2. Odsek 1 nebude brániť členským štátom, aby zaviedli pravidlá dokazovania, ktoré sú pre žalobcov výhodnejšie.</w:t>
            </w:r>
          </w:p>
          <w:p w:rsidR="00D032C1" w:rsidRPr="00D032C1" w:rsidP="00D032C1">
            <w:pPr>
              <w:pStyle w:val="NormalWeb"/>
              <w:tabs>
                <w:tab w:val="left" w:pos="4254"/>
              </w:tabs>
              <w:bidi w:val="0"/>
              <w:spacing w:before="0" w:beforeAutospacing="0" w:after="0" w:afterAutospacing="0" w:line="240" w:lineRule="atLeast"/>
              <w:ind w:left="227"/>
              <w:jc w:val="both"/>
              <w:textAlignment w:val="baseline"/>
              <w:rPr>
                <w:rFonts w:ascii="Times New Roman" w:hAnsi="Times New Roman"/>
                <w:color w:val="444444"/>
                <w:sz w:val="20"/>
                <w:szCs w:val="20"/>
                <w:bdr w:val="nil"/>
                <w:shd w:val="clear" w:color="auto" w:fill="FFFFFF"/>
              </w:rPr>
            </w:pPr>
          </w:p>
          <w:p w:rsidR="00D032C1" w:rsidRPr="00D032C1" w:rsidP="00D032C1">
            <w:pPr>
              <w:pStyle w:val="NormalWeb"/>
              <w:tabs>
                <w:tab w:val="left" w:pos="4254"/>
              </w:tabs>
              <w:bidi w:val="0"/>
              <w:spacing w:before="0" w:beforeAutospacing="0" w:after="0" w:afterAutospacing="0" w:line="240" w:lineRule="atLeast"/>
              <w:ind w:left="227"/>
              <w:jc w:val="both"/>
              <w:textAlignment w:val="baseline"/>
              <w:rPr>
                <w:rFonts w:ascii="Times New Roman" w:hAnsi="Times New Roman"/>
                <w:color w:val="444444"/>
                <w:sz w:val="20"/>
                <w:szCs w:val="20"/>
                <w:bdr w:val="nil"/>
                <w:shd w:val="clear" w:color="auto" w:fill="FFFFFF"/>
              </w:rPr>
            </w:pPr>
            <w:r w:rsidRPr="00D032C1">
              <w:rPr>
                <w:rFonts w:ascii="Times New Roman" w:hAnsi="Times New Roman"/>
                <w:color w:val="444444"/>
                <w:sz w:val="20"/>
                <w:szCs w:val="20"/>
                <w:bdr w:val="nil"/>
                <w:shd w:val="clear" w:color="auto" w:fill="FFFFFF"/>
              </w:rPr>
              <w:t>3. Odsek 1 sa nevzťahuje na trestné konania.</w:t>
            </w:r>
          </w:p>
          <w:p w:rsidR="00D032C1" w:rsidRPr="00D032C1" w:rsidP="00D032C1">
            <w:pPr>
              <w:pStyle w:val="NormalWeb"/>
              <w:tabs>
                <w:tab w:val="left" w:pos="4254"/>
              </w:tabs>
              <w:bidi w:val="0"/>
              <w:spacing w:before="0" w:beforeAutospacing="0" w:after="0" w:afterAutospacing="0" w:line="240" w:lineRule="atLeast"/>
              <w:ind w:left="227"/>
              <w:jc w:val="both"/>
              <w:textAlignment w:val="baseline"/>
              <w:rPr>
                <w:rFonts w:ascii="Times New Roman" w:hAnsi="Times New Roman"/>
                <w:color w:val="444444"/>
                <w:sz w:val="20"/>
                <w:szCs w:val="20"/>
                <w:bdr w:val="nil"/>
                <w:shd w:val="clear" w:color="auto" w:fill="FFFFFF"/>
              </w:rPr>
            </w:pPr>
          </w:p>
          <w:p w:rsidR="00D032C1" w:rsidRPr="00D032C1" w:rsidP="00D032C1">
            <w:pPr>
              <w:pStyle w:val="NormalWeb"/>
              <w:tabs>
                <w:tab w:val="left" w:pos="4254"/>
              </w:tabs>
              <w:bidi w:val="0"/>
              <w:spacing w:before="0" w:beforeAutospacing="0" w:after="0" w:afterAutospacing="0" w:line="240" w:lineRule="atLeast"/>
              <w:ind w:left="227"/>
              <w:jc w:val="both"/>
              <w:textAlignment w:val="baseline"/>
              <w:rPr>
                <w:rFonts w:ascii="Times New Roman" w:hAnsi="Times New Roman"/>
                <w:color w:val="444444"/>
                <w:sz w:val="20"/>
                <w:szCs w:val="20"/>
                <w:bdr w:val="nil"/>
                <w:shd w:val="clear" w:color="auto" w:fill="FFFFFF"/>
              </w:rPr>
            </w:pPr>
            <w:r w:rsidRPr="00D032C1">
              <w:rPr>
                <w:rFonts w:ascii="Times New Roman" w:hAnsi="Times New Roman"/>
                <w:color w:val="444444"/>
                <w:sz w:val="20"/>
                <w:szCs w:val="20"/>
                <w:bdr w:val="nil"/>
                <w:shd w:val="clear" w:color="auto" w:fill="FFFFFF"/>
              </w:rPr>
              <w:t>4. Odseky 1, 2 a 3 platia aj na všetky právne konania, ktoré sa začali podľa článku 9 ods. 2.</w:t>
            </w:r>
          </w:p>
          <w:p w:rsidR="00D032C1" w:rsidRPr="00D032C1" w:rsidP="00D032C1">
            <w:pPr>
              <w:pStyle w:val="NormalWeb"/>
              <w:tabs>
                <w:tab w:val="left" w:pos="4254"/>
              </w:tabs>
              <w:bidi w:val="0"/>
              <w:spacing w:before="0" w:beforeAutospacing="0" w:after="0" w:afterAutospacing="0" w:line="240" w:lineRule="atLeast"/>
              <w:ind w:left="227"/>
              <w:jc w:val="both"/>
              <w:textAlignment w:val="baseline"/>
              <w:rPr>
                <w:rFonts w:ascii="Times New Roman" w:hAnsi="Times New Roman"/>
                <w:color w:val="444444"/>
                <w:sz w:val="20"/>
                <w:szCs w:val="20"/>
                <w:bdr w:val="nil"/>
                <w:shd w:val="clear" w:color="auto" w:fill="FFFFFF"/>
              </w:rPr>
            </w:pPr>
          </w:p>
          <w:p w:rsidR="006009E9" w:rsidRPr="002B3DE0" w:rsidP="00D032C1">
            <w:pPr>
              <w:pStyle w:val="NormalWeb"/>
              <w:tabs>
                <w:tab w:val="left" w:pos="4254"/>
              </w:tabs>
              <w:bidi w:val="0"/>
              <w:spacing w:before="0" w:beforeAutospacing="0" w:after="0" w:afterAutospacing="0" w:line="240" w:lineRule="atLeast"/>
              <w:ind w:left="227"/>
              <w:jc w:val="both"/>
              <w:textAlignment w:val="baseline"/>
              <w:rPr>
                <w:rFonts w:ascii="Times New Roman" w:hAnsi="Times New Roman"/>
                <w:color w:val="444444"/>
                <w:sz w:val="20"/>
                <w:szCs w:val="20"/>
                <w:bdr w:val="nil"/>
                <w:shd w:val="clear" w:color="auto" w:fill="FFFFFF"/>
              </w:rPr>
            </w:pPr>
            <w:r w:rsidRPr="00D032C1" w:rsidR="00D032C1">
              <w:rPr>
                <w:rFonts w:ascii="Times New Roman" w:hAnsi="Times New Roman"/>
                <w:color w:val="444444"/>
                <w:sz w:val="20"/>
                <w:szCs w:val="20"/>
                <w:bdr w:val="nil"/>
                <w:shd w:val="clear" w:color="auto" w:fill="FFFFFF"/>
              </w:rPr>
              <w:t>5. Členské štáty nemusia uplatňovať odsek 1 v konaniach, keď je povinnosťou súdu alebo príslušného orgánu, aby vyšetril skutkovú podstatu prípadu.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009E9" w:rsidRPr="00C358FE" w:rsidP="006009E9">
            <w:pPr>
              <w:bidi w:val="0"/>
              <w:jc w:val="center"/>
              <w:rPr>
                <w:rFonts w:ascii="Times New Roman" w:hAnsi="Times New Roman"/>
                <w:sz w:val="22"/>
                <w:szCs w:val="22"/>
              </w:rPr>
            </w:pPr>
            <w:r>
              <w:rPr>
                <w:rFonts w:ascii="Times New Roman" w:hAnsi="Times New Roman"/>
                <w:sz w:val="22"/>
                <w:szCs w:val="22"/>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009E9" w:rsidRPr="00C358FE" w:rsidP="009A65B7">
            <w:pPr>
              <w:bidi w:val="0"/>
              <w:jc w:val="center"/>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009E9" w:rsidP="006009E9">
            <w:pPr>
              <w:bidi w:val="0"/>
              <w:jc w:val="center"/>
              <w:rPr>
                <w:rFonts w:ascii="Times New Roman" w:hAnsi="Times New Roman"/>
              </w:rPr>
            </w:pPr>
            <w:r>
              <w:rPr>
                <w:rFonts w:ascii="Times New Roman" w:hAnsi="Times New Roman"/>
              </w:rPr>
              <w:t>§:304</w:t>
            </w: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009E9">
            <w:pPr>
              <w:bidi w:val="0"/>
              <w:jc w:val="center"/>
              <w:rPr>
                <w:rFonts w:ascii="Times New Roman" w:hAnsi="Times New Roman"/>
              </w:rPr>
            </w:pPr>
          </w:p>
          <w:p w:rsidR="006009E9" w:rsidP="00641166">
            <w:pPr>
              <w:bidi w:val="0"/>
              <w:rPr>
                <w:rFonts w:ascii="Times New Roman" w:hAnsi="Times New Roman"/>
              </w:rPr>
            </w:pPr>
          </w:p>
          <w:p w:rsidR="00641166" w:rsidP="00641166">
            <w:pPr>
              <w:bidi w:val="0"/>
              <w:rPr>
                <w:rFonts w:ascii="Times New Roman" w:hAnsi="Times New Roman"/>
              </w:rPr>
            </w:pPr>
          </w:p>
          <w:p w:rsidR="006009E9" w:rsidP="006009E9">
            <w:pPr>
              <w:bidi w:val="0"/>
              <w:jc w:val="center"/>
              <w:rPr>
                <w:rFonts w:ascii="Times New Roman" w:hAnsi="Times New Roman"/>
              </w:rPr>
            </w:pPr>
            <w:r>
              <w:rPr>
                <w:rFonts w:ascii="Times New Roman" w:hAnsi="Times New Roman"/>
              </w:rPr>
              <w:t>§:308</w:t>
            </w:r>
          </w:p>
          <w:p w:rsidR="006009E9" w:rsidP="006009E9">
            <w:pPr>
              <w:bidi w:val="0"/>
              <w:jc w:val="center"/>
              <w:rPr>
                <w:rFonts w:ascii="Times New Roman" w:hAnsi="Times New Roman"/>
              </w:rPr>
            </w:pPr>
            <w:r>
              <w:rPr>
                <w:rFonts w:ascii="Times New Roman" w:hAnsi="Times New Roman"/>
              </w:rPr>
              <w:t>O:1</w:t>
            </w:r>
          </w:p>
          <w:p w:rsidR="006009E9" w:rsidP="006009E9">
            <w:pPr>
              <w:bidi w:val="0"/>
              <w:jc w:val="center"/>
              <w:rPr>
                <w:rFonts w:ascii="Times New Roman" w:hAnsi="Times New Roman"/>
              </w:rPr>
            </w:pPr>
          </w:p>
          <w:p w:rsidR="006009E9" w:rsidP="006009E9">
            <w:pPr>
              <w:bidi w:val="0"/>
              <w:rPr>
                <w:rFonts w:ascii="Times New Roman" w:hAnsi="Times New Roman"/>
              </w:rPr>
            </w:pPr>
          </w:p>
          <w:p w:rsidR="006009E9" w:rsidP="006009E9">
            <w:pPr>
              <w:bidi w:val="0"/>
              <w:jc w:val="center"/>
              <w:rPr>
                <w:rFonts w:ascii="Times New Roman" w:hAnsi="Times New Roman"/>
              </w:rPr>
            </w:pPr>
            <w:r>
              <w:rPr>
                <w:rFonts w:ascii="Times New Roman" w:hAnsi="Times New Roman"/>
              </w:rPr>
              <w:t>O:2</w:t>
            </w:r>
          </w:p>
          <w:p w:rsidR="006009E9" w:rsidP="006009E9">
            <w:pPr>
              <w:bidi w:val="0"/>
              <w:jc w:val="center"/>
              <w:rPr>
                <w:rFonts w:ascii="Times New Roman" w:hAnsi="Times New Roman"/>
              </w:rPr>
            </w:pPr>
          </w:p>
          <w:p w:rsidR="006009E9" w:rsidRPr="006009E9" w:rsidP="006009E9">
            <w:pPr>
              <w:bidi w:val="0"/>
              <w:rPr>
                <w:rFonts w:ascii="Times New Roman" w:hAnsi="Times New Roman"/>
              </w:rPr>
            </w:pPr>
          </w:p>
          <w:p w:rsidR="006009E9" w:rsidRPr="006009E9" w:rsidP="006009E9">
            <w:pPr>
              <w:bidi w:val="0"/>
              <w:jc w:val="center"/>
              <w:rPr>
                <w:rFonts w:ascii="Times New Roman" w:hAnsi="Times New Roman"/>
              </w:rPr>
            </w:pPr>
          </w:p>
          <w:p w:rsidR="006009E9" w:rsidP="009A65B7">
            <w:pPr>
              <w:bidi w:val="0"/>
              <w:rPr>
                <w:rFonts w:ascii="Times New Roman" w:hAnsi="Times New Roman"/>
                <w:sz w:val="22"/>
                <w:szCs w:val="22"/>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6009E9" w:rsidRPr="002B3DE0" w:rsidP="006009E9">
            <w:pPr>
              <w:bidi w:val="0"/>
              <w:jc w:val="both"/>
              <w:rPr>
                <w:rFonts w:ascii="Times New Roman" w:hAnsi="Times New Roman"/>
              </w:rPr>
            </w:pPr>
            <w:r w:rsidRPr="002B3DE0">
              <w:rPr>
                <w:rFonts w:ascii="Times New Roman" w:hAnsi="Times New Roman"/>
              </w:rPr>
              <w:t>§ 304</w:t>
            </w:r>
          </w:p>
          <w:p w:rsidR="006009E9" w:rsidRPr="002B3DE0" w:rsidP="006009E9">
            <w:pPr>
              <w:bidi w:val="0"/>
              <w:jc w:val="both"/>
              <w:rPr>
                <w:rFonts w:ascii="Times New Roman" w:hAnsi="Times New Roman"/>
              </w:rPr>
            </w:pPr>
            <w:r w:rsidRPr="002B3DE0">
              <w:rPr>
                <w:rFonts w:ascii="Times New Roman" w:hAnsi="Times New Roman"/>
              </w:rPr>
              <w:t>Súd môže vykonať aj tie dôkazy, ktoré žalobca nenavrhol, ak je to nevyhnutné pre rozhodnutie vo veci. Súd aj bez návrhu obstará alebo zabezpečí takýto dôkaz.</w:t>
            </w:r>
          </w:p>
          <w:p w:rsidR="006009E9" w:rsidP="006009E9">
            <w:pPr>
              <w:bidi w:val="0"/>
              <w:jc w:val="both"/>
              <w:rPr>
                <w:rFonts w:ascii="Times New Roman" w:hAnsi="Times New Roman"/>
              </w:rPr>
            </w:pPr>
          </w:p>
          <w:p w:rsidR="00641166" w:rsidP="006009E9">
            <w:pPr>
              <w:bidi w:val="0"/>
              <w:jc w:val="both"/>
              <w:rPr>
                <w:rFonts w:ascii="Times New Roman" w:hAnsi="Times New Roman"/>
              </w:rPr>
            </w:pPr>
            <w:r>
              <w:rPr>
                <w:rFonts w:ascii="Times New Roman" w:hAnsi="Times New Roman"/>
              </w:rPr>
              <w:t>§ 308</w:t>
            </w:r>
          </w:p>
          <w:p w:rsidR="006009E9" w:rsidRPr="002B3DE0" w:rsidP="006009E9">
            <w:pPr>
              <w:bidi w:val="0"/>
              <w:jc w:val="both"/>
              <w:rPr>
                <w:rFonts w:ascii="Times New Roman" w:hAnsi="Times New Roman"/>
              </w:rPr>
            </w:pPr>
            <w:r>
              <w:rPr>
                <w:rFonts w:ascii="Times New Roman" w:hAnsi="Times New Roman"/>
              </w:rPr>
              <w:t xml:space="preserve">(1) </w:t>
            </w:r>
            <w:r w:rsidRPr="002B3DE0">
              <w:rPr>
                <w:rFonts w:ascii="Times New Roman" w:hAnsi="Times New Roman"/>
              </w:rPr>
              <w:t xml:space="preserve">Na konanie podľa tohto dielu sa primerane použijú všeobecné ustanovenia o konaní, ak nie je uvedené inak. </w:t>
            </w:r>
          </w:p>
          <w:p w:rsidR="006009E9" w:rsidRPr="002B3DE0" w:rsidP="006009E9">
            <w:pPr>
              <w:bidi w:val="0"/>
              <w:jc w:val="both"/>
              <w:rPr>
                <w:rFonts w:ascii="Times New Roman" w:hAnsi="Times New Roman"/>
              </w:rPr>
            </w:pPr>
          </w:p>
          <w:p w:rsidR="006009E9" w:rsidRPr="002B3DE0" w:rsidP="006009E9">
            <w:pPr>
              <w:pStyle w:val="ListParagraph"/>
              <w:tabs>
                <w:tab w:val="left" w:pos="993"/>
              </w:tabs>
              <w:bidi w:val="0"/>
              <w:ind w:left="0"/>
              <w:rPr>
                <w:rFonts w:ascii="Times New Roman" w:hAnsi="Times New Roman"/>
                <w:caps/>
              </w:rPr>
            </w:pPr>
            <w:r>
              <w:rPr>
                <w:rFonts w:ascii="Times New Roman" w:hAnsi="Times New Roman"/>
              </w:rPr>
              <w:t>(2)</w:t>
            </w:r>
            <w:r w:rsidRPr="002B3DE0">
              <w:rPr>
                <w:rFonts w:ascii="Times New Roman" w:hAnsi="Times New Roman"/>
              </w:rPr>
              <w:t xml:space="preserve"> Ustanovenia tohto zákona sa použijú, ak predpisy o rovnakom zaobchádzaní a o ochrane pred diskrimináciou neustanovujú inak.</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6009E9" w:rsidRPr="00C358FE" w:rsidP="009A65B7">
            <w:pPr>
              <w:bidi w:val="0"/>
              <w:jc w:val="center"/>
              <w:rPr>
                <w:rFonts w:ascii="Times New Roman" w:hAnsi="Times New Roman"/>
                <w:sz w:val="22"/>
                <w:szCs w:val="22"/>
              </w:rPr>
            </w:pPr>
            <w:r>
              <w:rPr>
                <w:rFonts w:ascii="Times New Roman" w:hAnsi="Times New Roman"/>
                <w:sz w:val="22"/>
                <w:szCs w:val="22"/>
              </w:rPr>
              <w:t>Ú</w:t>
            </w:r>
          </w:p>
        </w:tc>
        <w:tc>
          <w:tcPr>
            <w:tcW w:w="1825" w:type="dxa"/>
            <w:tcBorders>
              <w:top w:val="single" w:sz="4" w:space="0" w:color="auto"/>
              <w:left w:val="single" w:sz="4" w:space="0" w:color="auto"/>
              <w:bottom w:val="single" w:sz="4" w:space="0" w:color="auto"/>
              <w:right w:val="single" w:sz="4" w:space="0" w:color="auto"/>
            </w:tcBorders>
            <w:textDirection w:val="lrTb"/>
            <w:vAlign w:val="top"/>
          </w:tcPr>
          <w:p w:rsidR="006009E9" w:rsidRPr="006009E9" w:rsidP="006009E9">
            <w:pPr>
              <w:bidi w:val="0"/>
              <w:rPr>
                <w:rFonts w:ascii="Times New Roman" w:hAnsi="Times New Roman"/>
              </w:rPr>
            </w:pPr>
            <w:r w:rsidRPr="006009E9">
              <w:rPr>
                <w:rFonts w:ascii="Times New Roman" w:hAnsi="Times New Roman"/>
              </w:rPr>
              <w:t>Ustanovenia tejto smernice sú súčasne transponované aj v Antidiskriminačnom zákone</w:t>
            </w:r>
          </w:p>
        </w:tc>
      </w:tr>
      <w:tr>
        <w:tblPrEx>
          <w:tblW w:w="13750" w:type="dxa"/>
          <w:tblInd w:w="-72" w:type="dxa"/>
          <w:tblLayout w:type="fixed"/>
          <w:tblCellMar>
            <w:top w:w="0" w:type="dxa"/>
            <w:left w:w="70" w:type="dxa"/>
            <w:bottom w:w="0" w:type="dxa"/>
            <w:right w:w="70" w:type="dxa"/>
          </w:tblCellMar>
        </w:tblPrEx>
        <w:tc>
          <w:tcPr>
            <w:tcW w:w="709" w:type="dxa"/>
            <w:tcBorders>
              <w:top w:val="single" w:sz="4" w:space="0" w:color="auto"/>
              <w:left w:val="single" w:sz="4" w:space="0" w:color="auto"/>
              <w:bottom w:val="single" w:sz="4" w:space="0" w:color="auto"/>
              <w:right w:val="single" w:sz="4" w:space="0" w:color="auto"/>
            </w:tcBorders>
            <w:textDirection w:val="lrTb"/>
            <w:vAlign w:val="top"/>
          </w:tcPr>
          <w:p w:rsidR="00051D2B" w:rsidP="00641166">
            <w:pPr>
              <w:bidi w:val="0"/>
              <w:jc w:val="center"/>
              <w:rPr>
                <w:rFonts w:ascii="Times New Roman" w:hAnsi="Times New Roman"/>
                <w:sz w:val="22"/>
                <w:szCs w:val="22"/>
              </w:rPr>
            </w:pPr>
            <w:r>
              <w:rPr>
                <w:rFonts w:ascii="Times New Roman" w:hAnsi="Times New Roman"/>
                <w:sz w:val="22"/>
                <w:szCs w:val="22"/>
              </w:rPr>
              <w:t>C:18</w:t>
            </w:r>
          </w:p>
          <w:p w:rsidR="00051D2B" w:rsidP="00641166">
            <w:pPr>
              <w:bidi w:val="0"/>
              <w:jc w:val="center"/>
              <w:rPr>
                <w:rFonts w:ascii="Times New Roman" w:hAnsi="Times New Roman"/>
                <w:sz w:val="22"/>
                <w:szCs w:val="22"/>
              </w:rPr>
            </w:pPr>
            <w:r>
              <w:rPr>
                <w:rFonts w:ascii="Times New Roman" w:hAnsi="Times New Roman"/>
                <w:sz w:val="22"/>
                <w:szCs w:val="22"/>
              </w:rPr>
              <w:t>V:8</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051D2B" w:rsidP="00051D2B">
            <w:pPr>
              <w:pStyle w:val="NormalWeb"/>
              <w:bidi w:val="0"/>
              <w:spacing w:before="150" w:beforeAutospacing="0" w:after="150" w:afterAutospacing="0" w:line="240" w:lineRule="atLeast"/>
              <w:ind w:left="225" w:right="525"/>
              <w:textAlignment w:val="baseline"/>
              <w:rPr>
                <w:rFonts w:ascii="inherit" w:hAnsi="inherit" w:cs="Tahoma"/>
                <w:color w:val="444444"/>
                <w:sz w:val="20"/>
                <w:szCs w:val="20"/>
                <w:bdr w:val="nil"/>
                <w:shd w:val="clear" w:color="auto" w:fill="FFFFFF"/>
              </w:rPr>
            </w:pPr>
            <w:r>
              <w:rPr>
                <w:rFonts w:ascii="inherit" w:hAnsi="inherit" w:cs="Tahoma"/>
                <w:color w:val="444444"/>
                <w:sz w:val="20"/>
                <w:szCs w:val="20"/>
                <w:bdr w:val="nil"/>
                <w:shd w:val="clear" w:color="auto" w:fill="FFFFFF"/>
              </w:rPr>
              <w:t>Článok 18</w:t>
            </w:r>
          </w:p>
          <w:p w:rsidR="00051D2B" w:rsidP="00051D2B">
            <w:pPr>
              <w:pStyle w:val="NormalWeb"/>
              <w:bidi w:val="0"/>
              <w:spacing w:before="150" w:beforeAutospacing="0" w:after="150" w:afterAutospacing="0" w:line="240" w:lineRule="atLeast"/>
              <w:ind w:left="225" w:right="525"/>
              <w:textAlignment w:val="baseline"/>
              <w:rPr>
                <w:rFonts w:ascii="inherit" w:hAnsi="inherit" w:cs="Tahoma"/>
                <w:color w:val="444444"/>
                <w:sz w:val="20"/>
                <w:szCs w:val="20"/>
                <w:bdr w:val="nil"/>
                <w:shd w:val="clear" w:color="auto" w:fill="FFFFFF"/>
              </w:rPr>
            </w:pPr>
            <w:r>
              <w:rPr>
                <w:rFonts w:ascii="inherit" w:hAnsi="inherit" w:cs="Tahoma"/>
                <w:color w:val="444444"/>
                <w:sz w:val="20"/>
                <w:szCs w:val="20"/>
                <w:bdr w:val="nil"/>
                <w:shd w:val="clear" w:color="auto" w:fill="FFFFFF"/>
              </w:rPr>
              <w:t>Vykonávanie</w:t>
            </w:r>
          </w:p>
          <w:p w:rsidR="00051D2B" w:rsidRPr="00051D2B" w:rsidP="00051D2B">
            <w:pPr>
              <w:pStyle w:val="NormalWeb"/>
              <w:bidi w:val="0"/>
              <w:spacing w:before="150" w:beforeAutospacing="0" w:after="150" w:afterAutospacing="0" w:line="240" w:lineRule="atLeast"/>
              <w:ind w:left="225" w:right="525"/>
              <w:textAlignment w:val="baseline"/>
              <w:rPr>
                <w:rFonts w:ascii="inherit" w:hAnsi="inherit" w:cs="Tahoma"/>
                <w:color w:val="444444"/>
                <w:sz w:val="20"/>
                <w:szCs w:val="20"/>
                <w:bdr w:val="nil"/>
                <w:shd w:val="clear" w:color="auto" w:fill="FFFFFF"/>
              </w:rPr>
            </w:pPr>
            <w:r>
              <w:rPr>
                <w:rFonts w:ascii="inherit" w:hAnsi="inherit" w:cs="Tahoma"/>
                <w:color w:val="444444"/>
                <w:sz w:val="20"/>
                <w:szCs w:val="20"/>
                <w:bdr w:val="nil"/>
                <w:shd w:val="clear" w:color="auto" w:fill="FFFFFF"/>
              </w:rPr>
              <w:t xml:space="preserve">Takéto opatrenia prijaté členskými štátmi musia obsahovať odkaz na túto smernicu alebo sa k nim doloží takýto odkaz pri príležitosti ich úradného uverejnenia.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51D2B" w:rsidP="006009E9">
            <w:pPr>
              <w:bidi w:val="0"/>
              <w:jc w:val="center"/>
              <w:rPr>
                <w:rFonts w:ascii="Times New Roman" w:hAnsi="Times New Roman"/>
                <w:sz w:val="22"/>
                <w:szCs w:val="22"/>
              </w:rPr>
            </w:pPr>
            <w:r>
              <w:rPr>
                <w:rFonts w:ascii="Times New Roman" w:hAnsi="Times New Roman"/>
                <w:sz w:val="22"/>
                <w:szCs w:val="22"/>
              </w:rPr>
              <w:t>N</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51D2B" w:rsidRPr="00C358FE" w:rsidP="009A65B7">
            <w:pPr>
              <w:bidi w:val="0"/>
              <w:jc w:val="center"/>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51D2B" w:rsidP="006009E9">
            <w:pPr>
              <w:bidi w:val="0"/>
              <w:jc w:val="center"/>
              <w:rPr>
                <w:rFonts w:ascii="Times New Roman" w:hAnsi="Times New Roman"/>
              </w:rPr>
            </w:pPr>
            <w:r>
              <w:rPr>
                <w:rFonts w:ascii="Times New Roman" w:hAnsi="Times New Roman"/>
              </w:rPr>
              <w:t>§ 465</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051D2B" w:rsidRPr="002B3DE0" w:rsidP="006009E9">
            <w:pPr>
              <w:bidi w:val="0"/>
              <w:jc w:val="both"/>
              <w:rPr>
                <w:rFonts w:ascii="Times New Roman" w:hAnsi="Times New Roman"/>
              </w:rPr>
            </w:pPr>
            <w:r w:rsidRPr="00EC4A04">
              <w:rPr>
                <w:rFonts w:ascii="Times New Roman" w:hAnsi="Times New Roman"/>
              </w:rPr>
              <w:t>Týmto zákonom sa preberajú právne záväzné akty Európskej únie uvedené v prílohe</w:t>
            </w:r>
          </w:p>
        </w:tc>
        <w:tc>
          <w:tcPr>
            <w:tcW w:w="726" w:type="dxa"/>
            <w:tcBorders>
              <w:top w:val="single" w:sz="4" w:space="0" w:color="auto"/>
              <w:left w:val="single" w:sz="4" w:space="0" w:color="auto"/>
              <w:bottom w:val="single" w:sz="4" w:space="0" w:color="auto"/>
              <w:right w:val="single" w:sz="4" w:space="0" w:color="auto"/>
            </w:tcBorders>
            <w:textDirection w:val="lrTb"/>
            <w:vAlign w:val="top"/>
          </w:tcPr>
          <w:p w:rsidR="00051D2B" w:rsidP="009A65B7">
            <w:pPr>
              <w:bidi w:val="0"/>
              <w:jc w:val="center"/>
              <w:rPr>
                <w:rFonts w:ascii="Times New Roman" w:hAnsi="Times New Roman"/>
                <w:sz w:val="22"/>
                <w:szCs w:val="22"/>
              </w:rPr>
            </w:pPr>
            <w:r>
              <w:rPr>
                <w:rFonts w:ascii="Times New Roman" w:hAnsi="Times New Roman"/>
              </w:rPr>
              <w:t>Ú</w:t>
            </w:r>
          </w:p>
        </w:tc>
        <w:tc>
          <w:tcPr>
            <w:tcW w:w="1825" w:type="dxa"/>
            <w:tcBorders>
              <w:top w:val="single" w:sz="4" w:space="0" w:color="auto"/>
              <w:left w:val="single" w:sz="4" w:space="0" w:color="auto"/>
              <w:bottom w:val="single" w:sz="4" w:space="0" w:color="auto"/>
              <w:right w:val="single" w:sz="4" w:space="0" w:color="auto"/>
            </w:tcBorders>
            <w:textDirection w:val="lrTb"/>
            <w:vAlign w:val="top"/>
          </w:tcPr>
          <w:p w:rsidR="00051D2B" w:rsidRPr="006009E9" w:rsidP="006009E9">
            <w:pPr>
              <w:bidi w:val="0"/>
              <w:rPr>
                <w:rFonts w:ascii="Times New Roman" w:hAnsi="Times New Roman"/>
              </w:rPr>
            </w:pPr>
          </w:p>
        </w:tc>
      </w:tr>
    </w:tbl>
    <w:p w:rsidR="00CB3BB3" w:rsidRPr="00C358FE">
      <w:pPr>
        <w:bidi w:val="0"/>
        <w:rPr>
          <w:rFonts w:ascii="Times New Roman" w:hAnsi="Times New Roman"/>
        </w:rPr>
      </w:pPr>
    </w:p>
    <w:sectPr>
      <w:pgSz w:w="15840" w:h="12240" w:orient="landscape"/>
      <w:pgMar w:top="1418" w:right="1418" w:bottom="1418" w:left="1418"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Bookman Old Style">
    <w:panose1 w:val="02050604050505020204"/>
    <w:charset w:val="EE"/>
    <w:family w:val="roman"/>
    <w:pitch w:val="variable"/>
    <w:sig w:usb0="00000000" w:usb1="00000000" w:usb2="00000000" w:usb3="00000000" w:csb0="0000009F" w:csb1="00000000"/>
  </w:font>
  <w:font w:name="inherit">
    <w:altName w:val="Times New Roman"/>
    <w:panose1 w:val="00000000000000000000"/>
    <w:charset w:val="00"/>
    <w:family w:val="roman"/>
    <w:pitch w:val="default"/>
    <w:sig w:usb0="00000000" w:usb1="00000000" w:usb2="00000000" w:usb3="00000000" w:csb0="00000001" w:csb1="00000000"/>
  </w:font>
  <w:font w:name="Cambria">
    <w:altName w:val="Palatino Linotype"/>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E98"/>
    <w:multiLevelType w:val="hybridMultilevel"/>
    <w:tmpl w:val="11D21F1A"/>
    <w:lvl w:ilvl="0">
      <w:start w:val="1"/>
      <w:numFmt w:val="decimal"/>
      <w:lvlText w:val="(%1)"/>
      <w:lvlJc w:val="left"/>
      <w:pPr>
        <w:ind w:left="732" w:hanging="37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EB4743"/>
    <w:multiLevelType w:val="hybridMultilevel"/>
    <w:tmpl w:val="11D21F1A"/>
    <w:lvl w:ilvl="0">
      <w:start w:val="1"/>
      <w:numFmt w:val="decimal"/>
      <w:lvlText w:val="(%1)"/>
      <w:lvlJc w:val="left"/>
      <w:pPr>
        <w:ind w:left="732" w:hanging="37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D71BA1"/>
    <w:multiLevelType w:val="hybridMultilevel"/>
    <w:tmpl w:val="33665F0C"/>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0D715D8E"/>
    <w:multiLevelType w:val="multilevel"/>
    <w:tmpl w:val="54B4CF42"/>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36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4">
    <w:nsid w:val="14F66471"/>
    <w:multiLevelType w:val="hybridMultilevel"/>
    <w:tmpl w:val="995E4B8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AF55091"/>
    <w:multiLevelType w:val="hybridMultilevel"/>
    <w:tmpl w:val="11D21F1A"/>
    <w:lvl w:ilvl="0">
      <w:start w:val="1"/>
      <w:numFmt w:val="decimal"/>
      <w:lvlText w:val="(%1)"/>
      <w:lvlJc w:val="left"/>
      <w:pPr>
        <w:ind w:left="732" w:hanging="37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22C2704"/>
    <w:multiLevelType w:val="hybridMultilevel"/>
    <w:tmpl w:val="8ACADB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4B27CBD"/>
    <w:multiLevelType w:val="hybridMultilevel"/>
    <w:tmpl w:val="AC1EA568"/>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8">
    <w:nsid w:val="27577AE7"/>
    <w:multiLevelType w:val="hybridMultilevel"/>
    <w:tmpl w:val="26666E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8D357DD"/>
    <w:multiLevelType w:val="hybridMultilevel"/>
    <w:tmpl w:val="075838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F8947A3"/>
    <w:multiLevelType w:val="hybridMultilevel"/>
    <w:tmpl w:val="9E9443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4723655"/>
    <w:multiLevelType w:val="hybridMultilevel"/>
    <w:tmpl w:val="11D21F1A"/>
    <w:lvl w:ilvl="0">
      <w:start w:val="1"/>
      <w:numFmt w:val="decimal"/>
      <w:lvlText w:val="(%1)"/>
      <w:lvlJc w:val="left"/>
      <w:pPr>
        <w:ind w:left="732" w:hanging="37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6825F21"/>
    <w:multiLevelType w:val="hybridMultilevel"/>
    <w:tmpl w:val="66809F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7404BD8"/>
    <w:multiLevelType w:val="hybridMultilevel"/>
    <w:tmpl w:val="DB443C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B08749D"/>
    <w:multiLevelType w:val="hybridMultilevel"/>
    <w:tmpl w:val="B93E03E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ED20DC"/>
    <w:multiLevelType w:val="hybridMultilevel"/>
    <w:tmpl w:val="EA7AFA26"/>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6">
    <w:nsid w:val="3E9A5659"/>
    <w:multiLevelType w:val="hybridMultilevel"/>
    <w:tmpl w:val="4F6443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8326AD3"/>
    <w:multiLevelType w:val="hybridMultilevel"/>
    <w:tmpl w:val="995E4B8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5D2B161D"/>
    <w:multiLevelType w:val="hybridMultilevel"/>
    <w:tmpl w:val="9AB0CC50"/>
    <w:lvl w:ilvl="0">
      <w:start w:val="1"/>
      <w:numFmt w:val="decimal"/>
      <w:lvlText w:val="(%1)"/>
      <w:lvlJc w:val="left"/>
      <w:pPr>
        <w:ind w:left="732" w:hanging="37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0913F31"/>
    <w:multiLevelType w:val="hybridMultilevel"/>
    <w:tmpl w:val="5E86B4B2"/>
    <w:lvl w:ilvl="0">
      <w:start w:val="1"/>
      <w:numFmt w:val="decimal"/>
      <w:lvlText w:val="(%1)"/>
      <w:lvlJc w:val="left"/>
      <w:pPr>
        <w:ind w:left="792" w:hanging="432"/>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5"/>
  </w:num>
  <w:num w:numId="2">
    <w:abstractNumId w:val="8"/>
  </w:num>
  <w:num w:numId="3">
    <w:abstractNumId w:val="19"/>
  </w:num>
  <w:num w:numId="4">
    <w:abstractNumId w:val="7"/>
  </w:num>
  <w:num w:numId="5">
    <w:abstractNumId w:val="16"/>
  </w:num>
  <w:num w:numId="6">
    <w:abstractNumId w:val="0"/>
  </w:num>
  <w:num w:numId="7">
    <w:abstractNumId w:val="5"/>
  </w:num>
  <w:num w:numId="8">
    <w:abstractNumId w:val="14"/>
  </w:num>
  <w:num w:numId="9">
    <w:abstractNumId w:val="11"/>
  </w:num>
  <w:num w:numId="10">
    <w:abstractNumId w:val="17"/>
  </w:num>
  <w:num w:numId="11">
    <w:abstractNumId w:val="13"/>
  </w:num>
  <w:num w:numId="12">
    <w:abstractNumId w:val="18"/>
  </w:num>
  <w:num w:numId="13">
    <w:abstractNumId w:val="1"/>
  </w:num>
  <w:num w:numId="14">
    <w:abstractNumId w:val="4"/>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2"/>
  </w:num>
  <w:num w:numId="19">
    <w:abstractNumId w:val="1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oNotTrackMoves/>
  <w:defaultTabStop w:val="709"/>
  <w:hyphenationZone w:val="425"/>
  <w:characterSpacingControl w:val="doNotCompress"/>
  <w:compat>
    <w:doNotUseIndentAsNumberingTabStop/>
    <w:allowSpaceOfSameStyleInTable/>
    <w:splitPgBreakAndParaMark/>
    <w:useAnsiKerningPairs/>
  </w:compat>
  <w:rsids>
    <w:rsidRoot w:val="00A97461"/>
    <w:rsid w:val="00051D2B"/>
    <w:rsid w:val="00153D45"/>
    <w:rsid w:val="001933F6"/>
    <w:rsid w:val="001F5AEE"/>
    <w:rsid w:val="00217D7D"/>
    <w:rsid w:val="0025711E"/>
    <w:rsid w:val="002661A4"/>
    <w:rsid w:val="00287AC2"/>
    <w:rsid w:val="002B3DE0"/>
    <w:rsid w:val="002C167D"/>
    <w:rsid w:val="002D7FDF"/>
    <w:rsid w:val="002E7E50"/>
    <w:rsid w:val="003027F5"/>
    <w:rsid w:val="003065B8"/>
    <w:rsid w:val="003767A2"/>
    <w:rsid w:val="00384DCB"/>
    <w:rsid w:val="003D4320"/>
    <w:rsid w:val="003F2039"/>
    <w:rsid w:val="004140A0"/>
    <w:rsid w:val="0045467E"/>
    <w:rsid w:val="004C1A6A"/>
    <w:rsid w:val="004E0D36"/>
    <w:rsid w:val="004E78A1"/>
    <w:rsid w:val="004F374A"/>
    <w:rsid w:val="005A4065"/>
    <w:rsid w:val="005F1606"/>
    <w:rsid w:val="006009E9"/>
    <w:rsid w:val="00602963"/>
    <w:rsid w:val="006062CB"/>
    <w:rsid w:val="00641166"/>
    <w:rsid w:val="00697BC9"/>
    <w:rsid w:val="00703A91"/>
    <w:rsid w:val="007160CD"/>
    <w:rsid w:val="007405E2"/>
    <w:rsid w:val="00764FAF"/>
    <w:rsid w:val="007841C0"/>
    <w:rsid w:val="00791443"/>
    <w:rsid w:val="007C0F7B"/>
    <w:rsid w:val="007C79B3"/>
    <w:rsid w:val="007D4294"/>
    <w:rsid w:val="007E7A8D"/>
    <w:rsid w:val="00813BC3"/>
    <w:rsid w:val="008223AE"/>
    <w:rsid w:val="00833BE0"/>
    <w:rsid w:val="00895736"/>
    <w:rsid w:val="008A2612"/>
    <w:rsid w:val="00950BEA"/>
    <w:rsid w:val="0098389A"/>
    <w:rsid w:val="009A65B7"/>
    <w:rsid w:val="009B2EBA"/>
    <w:rsid w:val="009D2B1F"/>
    <w:rsid w:val="009D5A30"/>
    <w:rsid w:val="00A35358"/>
    <w:rsid w:val="00A45812"/>
    <w:rsid w:val="00A526FB"/>
    <w:rsid w:val="00A6273A"/>
    <w:rsid w:val="00A97461"/>
    <w:rsid w:val="00AC42F2"/>
    <w:rsid w:val="00AC6DD8"/>
    <w:rsid w:val="00AE5E13"/>
    <w:rsid w:val="00B17BF1"/>
    <w:rsid w:val="00B2709F"/>
    <w:rsid w:val="00B34ECF"/>
    <w:rsid w:val="00B4516A"/>
    <w:rsid w:val="00C358FE"/>
    <w:rsid w:val="00C361B2"/>
    <w:rsid w:val="00C37816"/>
    <w:rsid w:val="00C55DDB"/>
    <w:rsid w:val="00CA0ED1"/>
    <w:rsid w:val="00CB0494"/>
    <w:rsid w:val="00CB3BB3"/>
    <w:rsid w:val="00CB5630"/>
    <w:rsid w:val="00CE2080"/>
    <w:rsid w:val="00CF232C"/>
    <w:rsid w:val="00D032C1"/>
    <w:rsid w:val="00D478E1"/>
    <w:rsid w:val="00D55EE8"/>
    <w:rsid w:val="00DD0E98"/>
    <w:rsid w:val="00E03266"/>
    <w:rsid w:val="00E40516"/>
    <w:rsid w:val="00E64BF6"/>
    <w:rsid w:val="00EC025C"/>
    <w:rsid w:val="00EC4A04"/>
    <w:rsid w:val="00EE2D7B"/>
    <w:rsid w:val="00EE5DB5"/>
    <w:rsid w:val="00F00111"/>
    <w:rsid w:val="00F01706"/>
    <w:rsid w:val="00F040AD"/>
    <w:rsid w:val="00F17B4D"/>
    <w:rsid w:val="00F47B4B"/>
    <w:rsid w:val="00F53054"/>
    <w:rsid w:val="00F550F9"/>
    <w:rsid w:val="00F64241"/>
    <w:rsid w:val="00FC2831"/>
    <w:rsid w:val="00FD1771"/>
    <w:rsid w:val="00FF17C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461"/>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link w:val="Nadpis1Char"/>
    <w:uiPriority w:val="9"/>
    <w:qFormat/>
    <w:rsid w:val="00A97461"/>
    <w:pPr>
      <w:keepNext/>
      <w:jc w:val="both"/>
      <w:outlineLvl w:val="0"/>
    </w:pPr>
    <w:rPr>
      <w:rFonts w:ascii="Bookman Old Style" w:hAnsi="Bookman Old Style" w:cs="Bookman Old Style"/>
      <w:b/>
      <w:bCs/>
      <w:sz w:val="22"/>
      <w:szCs w:val="22"/>
    </w:rPr>
  </w:style>
  <w:style w:type="paragraph" w:styleId="Heading2">
    <w:name w:val="heading 2"/>
    <w:basedOn w:val="Normal"/>
    <w:next w:val="Normal"/>
    <w:link w:val="Nadpis2Char"/>
    <w:uiPriority w:val="9"/>
    <w:qFormat/>
    <w:rsid w:val="00A97461"/>
    <w:pPr>
      <w:keepNext/>
      <w:jc w:val="center"/>
      <w:outlineLvl w:val="1"/>
    </w:pPr>
    <w:rPr>
      <w:sz w:val="24"/>
      <w:szCs w:val="24"/>
    </w:rPr>
  </w:style>
  <w:style w:type="paragraph" w:styleId="Heading3">
    <w:name w:val="heading 3"/>
    <w:basedOn w:val="Normal"/>
    <w:next w:val="Normal"/>
    <w:link w:val="Nadpis3Char"/>
    <w:uiPriority w:val="9"/>
    <w:qFormat/>
    <w:rsid w:val="00A97461"/>
    <w:pPr>
      <w:keepNext/>
      <w:jc w:val="center"/>
      <w:outlineLvl w:val="2"/>
    </w:pPr>
    <w:rPr>
      <w:sz w:val="28"/>
      <w:szCs w:val="28"/>
    </w:rPr>
  </w:style>
  <w:style w:type="paragraph" w:styleId="Heading4">
    <w:name w:val="heading 4"/>
    <w:basedOn w:val="Normal"/>
    <w:next w:val="Normal"/>
    <w:link w:val="Nadpis4Char"/>
    <w:uiPriority w:val="9"/>
    <w:qFormat/>
    <w:rsid w:val="00A97461"/>
    <w:pPr>
      <w:keepNext/>
      <w:jc w:val="left"/>
      <w:outlineLvl w:val="3"/>
    </w:pPr>
    <w:rPr>
      <w:rFonts w:ascii="Bookman Old Style" w:hAnsi="Bookman Old Style" w:cs="Bookman Old Style"/>
      <w:b/>
      <w:bCs/>
      <w:sz w:val="22"/>
      <w:szCs w:val="22"/>
      <w:u w:val="single"/>
    </w:rPr>
  </w:style>
  <w:style w:type="paragraph" w:styleId="Heading5">
    <w:name w:val="heading 5"/>
    <w:basedOn w:val="Normal"/>
    <w:next w:val="Normal"/>
    <w:link w:val="Nadpis5Char"/>
    <w:uiPriority w:val="9"/>
    <w:qFormat/>
    <w:rsid w:val="00A97461"/>
    <w:pPr>
      <w:keepNext/>
      <w:jc w:val="both"/>
      <w:outlineLvl w:val="4"/>
    </w:pPr>
    <w:rPr>
      <w:b/>
      <w:bCs/>
      <w:sz w:val="22"/>
      <w:szCs w:val="22"/>
      <w:u w:val="singl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paragraph" w:styleId="BodyText">
    <w:name w:val="Body Text"/>
    <w:basedOn w:val="Normal"/>
    <w:link w:val="ZkladntextChar"/>
    <w:uiPriority w:val="99"/>
    <w:rsid w:val="00A97461"/>
    <w:pPr>
      <w:jc w:val="left"/>
    </w:pPr>
    <w:rPr>
      <w:rFonts w:ascii="Bookman Old Style" w:hAnsi="Bookman Old Style" w:cs="Bookman Old Style"/>
      <w:sz w:val="22"/>
      <w:szCs w:val="22"/>
    </w:rPr>
  </w:style>
  <w:style w:type="character" w:customStyle="1" w:styleId="ZkladntextChar">
    <w:name w:val="Základný text Char"/>
    <w:basedOn w:val="DefaultParagraphFont"/>
    <w:link w:val="BodyText"/>
    <w:uiPriority w:val="99"/>
    <w:semiHidden/>
    <w:locked/>
    <w:rPr>
      <w:rFonts w:cs="Times New Roman"/>
      <w:rtl w:val="0"/>
      <w:cs w:val="0"/>
    </w:rPr>
  </w:style>
  <w:style w:type="paragraph" w:styleId="BodyText2">
    <w:name w:val="Body Text 2"/>
    <w:basedOn w:val="Normal"/>
    <w:link w:val="Zkladntext2Char"/>
    <w:uiPriority w:val="99"/>
    <w:rsid w:val="00A97461"/>
    <w:pPr>
      <w:ind w:left="705" w:hanging="705"/>
      <w:jc w:val="both"/>
    </w:pPr>
    <w:rPr>
      <w:rFonts w:ascii="Bookman Old Style" w:hAnsi="Bookman Old Style" w:cs="Bookman Old Style"/>
      <w:b/>
      <w:bCs/>
      <w:sz w:val="22"/>
      <w:szCs w:val="22"/>
    </w:rPr>
  </w:style>
  <w:style w:type="character" w:customStyle="1" w:styleId="Zkladntext2Char">
    <w:name w:val="Základný text 2 Char"/>
    <w:basedOn w:val="DefaultParagraphFont"/>
    <w:link w:val="BodyText2"/>
    <w:uiPriority w:val="99"/>
    <w:semiHidden/>
    <w:locked/>
    <w:rPr>
      <w:rFonts w:cs="Times New Roman"/>
      <w:rtl w:val="0"/>
      <w:cs w:val="0"/>
    </w:rPr>
  </w:style>
  <w:style w:type="paragraph" w:styleId="Title">
    <w:name w:val="Title"/>
    <w:basedOn w:val="Normal"/>
    <w:link w:val="NzovChar"/>
    <w:uiPriority w:val="10"/>
    <w:qFormat/>
    <w:rsid w:val="00A97461"/>
    <w:pPr>
      <w:autoSpaceDE/>
      <w:autoSpaceDN/>
      <w:jc w:val="center"/>
    </w:pPr>
    <w:rPr>
      <w:b/>
      <w:sz w:val="24"/>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paragraph" w:styleId="CommentText">
    <w:name w:val="annotation text"/>
    <w:basedOn w:val="Normal"/>
    <w:link w:val="TextkomentraChar"/>
    <w:uiPriority w:val="99"/>
    <w:rsid w:val="005F1606"/>
    <w:pPr>
      <w:autoSpaceDE/>
      <w:autoSpaceDN/>
      <w:spacing w:after="200" w:line="276" w:lineRule="auto"/>
      <w:jc w:val="left"/>
    </w:pPr>
    <w:rPr>
      <w:rFonts w:ascii="Calibri" w:eastAsia="MS Mincho" w:hAnsi="Calibri"/>
    </w:rPr>
  </w:style>
  <w:style w:type="character" w:customStyle="1" w:styleId="TextkomentraChar">
    <w:name w:val="Text komentára Char"/>
    <w:basedOn w:val="DefaultParagraphFont"/>
    <w:link w:val="CommentText"/>
    <w:uiPriority w:val="99"/>
    <w:locked/>
    <w:rsid w:val="005F1606"/>
    <w:rPr>
      <w:rFonts w:ascii="Calibri" w:eastAsia="MS Mincho" w:hAnsi="Calibri" w:cs="Times New Roman"/>
      <w:rtl w:val="0"/>
      <w:cs w:val="0"/>
    </w:rPr>
  </w:style>
  <w:style w:type="character" w:styleId="CommentReference">
    <w:name w:val="annotation reference"/>
    <w:basedOn w:val="DefaultParagraphFont"/>
    <w:uiPriority w:val="99"/>
    <w:rsid w:val="005F1606"/>
    <w:rPr>
      <w:rFonts w:cs="Times New Roman"/>
      <w:sz w:val="16"/>
      <w:rtl w:val="0"/>
      <w:cs w:val="0"/>
    </w:rPr>
  </w:style>
  <w:style w:type="paragraph" w:styleId="BalloonText">
    <w:name w:val="Balloon Text"/>
    <w:basedOn w:val="Normal"/>
    <w:link w:val="TextbublinyChar"/>
    <w:uiPriority w:val="99"/>
    <w:rsid w:val="005F1606"/>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5F1606"/>
    <w:rPr>
      <w:rFonts w:ascii="Tahoma" w:hAnsi="Tahoma" w:cs="Times New Roman"/>
      <w:sz w:val="16"/>
      <w:rtl w:val="0"/>
      <w:cs w:val="0"/>
    </w:rPr>
  </w:style>
  <w:style w:type="paragraph" w:customStyle="1" w:styleId="Odsekzoznamu1">
    <w:name w:val="Odsek zoznamu1"/>
    <w:basedOn w:val="Normal"/>
    <w:uiPriority w:val="99"/>
    <w:rsid w:val="00A526FB"/>
    <w:pPr>
      <w:autoSpaceDE/>
      <w:autoSpaceDN/>
      <w:ind w:left="720"/>
      <w:contextualSpacing/>
      <w:jc w:val="left"/>
    </w:pPr>
    <w:rPr>
      <w:rFonts w:ascii="Calibri" w:eastAsia="MS Mincho" w:hAnsi="Calibri"/>
      <w:sz w:val="24"/>
      <w:szCs w:val="24"/>
      <w:lang w:val="en-US" w:eastAsia="en-US"/>
    </w:rPr>
  </w:style>
  <w:style w:type="paragraph" w:styleId="ListParagraph">
    <w:name w:val="List Paragraph"/>
    <w:basedOn w:val="Normal"/>
    <w:uiPriority w:val="99"/>
    <w:qFormat/>
    <w:rsid w:val="00FF17CE"/>
    <w:pPr>
      <w:ind w:left="708"/>
      <w:jc w:val="left"/>
    </w:pPr>
  </w:style>
  <w:style w:type="paragraph" w:styleId="NormalWeb">
    <w:name w:val="Normal (Web)"/>
    <w:basedOn w:val="Normal"/>
    <w:uiPriority w:val="99"/>
    <w:unhideWhenUsed/>
    <w:rsid w:val="002B3DE0"/>
    <w:pPr>
      <w:autoSpaceDE/>
      <w:autoSpaceDN/>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Pages>4</Pages>
  <Words>772</Words>
  <Characters>4404</Characters>
  <Application>Microsoft Office Word</Application>
  <DocSecurity>0</DocSecurity>
  <Lines>0</Lines>
  <Paragraphs>0</Paragraphs>
  <ScaleCrop>false</ScaleCrop>
  <Company>Ipo</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vajcikova</dc:creator>
  <cp:lastModifiedBy>PAGAC Lubomir</cp:lastModifiedBy>
  <cp:revision>6</cp:revision>
  <dcterms:created xsi:type="dcterms:W3CDTF">2014-12-10T13:23:00Z</dcterms:created>
  <dcterms:modified xsi:type="dcterms:W3CDTF">2014-12-10T14:09:00Z</dcterms:modified>
</cp:coreProperties>
</file>