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7461" w:rsidRPr="00C358FE" w:rsidP="00B34ECF"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8FE" w:rsidR="00C358FE">
        <w:rPr>
          <w:rFonts w:ascii="Times New Roman" w:hAnsi="Times New Roman" w:cs="Times New Roman"/>
          <w:b/>
          <w:bCs/>
          <w:sz w:val="28"/>
          <w:szCs w:val="28"/>
        </w:rPr>
        <w:t>TABUĽKA</w:t>
      </w:r>
      <w:r w:rsidRPr="00C358FE">
        <w:rPr>
          <w:rFonts w:ascii="Times New Roman" w:hAnsi="Times New Roman" w:cs="Times New Roman"/>
          <w:b/>
          <w:bCs/>
          <w:sz w:val="28"/>
          <w:szCs w:val="28"/>
        </w:rPr>
        <w:t xml:space="preserve"> ZHODY</w:t>
      </w:r>
    </w:p>
    <w:p w:rsidR="00A97461" w:rsidRPr="00C358FE" w:rsidP="00A97461"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58FE">
        <w:rPr>
          <w:rFonts w:ascii="Times New Roman" w:hAnsi="Times New Roman" w:cs="Times New Roman"/>
          <w:b/>
          <w:bCs/>
          <w:sz w:val="20"/>
          <w:szCs w:val="20"/>
        </w:rPr>
        <w:t>návrhu zákona s právom Európskej únie</w:t>
      </w:r>
    </w:p>
    <w:p w:rsidR="00A97461" w:rsidRPr="00C358FE" w:rsidP="00287AC2">
      <w:pPr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137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4962"/>
        <w:gridCol w:w="708"/>
        <w:gridCol w:w="567"/>
        <w:gridCol w:w="709"/>
        <w:gridCol w:w="3544"/>
        <w:gridCol w:w="726"/>
        <w:gridCol w:w="1825"/>
      </w:tblGrid>
      <w:tr>
        <w:tblPrEx>
          <w:tblW w:w="1375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3DE0" w:rsidRPr="002B3DE0" w:rsidP="002B3DE0">
            <w:pPr>
              <w:pStyle w:val="ListParagraph"/>
              <w:autoSpaceDE/>
              <w:autoSpaceDN/>
              <w:bidi w:val="0"/>
              <w:ind w:left="0"/>
              <w:contextualSpacing/>
              <w:jc w:val="both"/>
              <w:rPr>
                <w:rFonts w:ascii="Times New Roman" w:hAnsi="Times New Roman"/>
                <w:b/>
              </w:rPr>
            </w:pPr>
            <w:r w:rsidRPr="002B3DE0">
              <w:rPr>
                <w:rFonts w:ascii="Times New Roman" w:hAnsi="Times New Roman"/>
                <w:b/>
              </w:rPr>
              <w:t>Smernica Rady 2000/43/ES z 29. júna 2000, ktorou sa zavádza zásada rovnakého zaobchádzania s osobami bez ohľadu na rasový alebo etnický pôvod (Mimoriadne vydanie Ú. v. EÚ, kap. 20/zv. 01).</w:t>
            </w:r>
          </w:p>
          <w:p w:rsidR="00A97461" w:rsidRPr="00287AC2" w:rsidP="00287AC2">
            <w:pPr>
              <w:pStyle w:val="Heading2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8FE" w:rsidRPr="00C358FE" w:rsidP="00287AC2">
            <w:pPr>
              <w:pStyle w:val="Title"/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A97461" w:rsidRPr="00C358FE" w:rsidP="002B3DE0">
            <w:pPr>
              <w:pStyle w:val="Title"/>
              <w:bidi w:val="0"/>
              <w:rPr>
                <w:rFonts w:ascii="Times New Roman" w:hAnsi="Times New Roman"/>
                <w:sz w:val="20"/>
              </w:rPr>
            </w:pPr>
            <w:r w:rsidRPr="00C358FE" w:rsidR="008223AE">
              <w:rPr>
                <w:rFonts w:ascii="Times New Roman" w:hAnsi="Times New Roman"/>
                <w:bCs/>
                <w:sz w:val="20"/>
              </w:rPr>
              <w:t>Zákon č. ... Civilný sporový poriadok</w:t>
            </w:r>
          </w:p>
          <w:p w:rsidR="00A97461" w:rsidRPr="00C358FE" w:rsidP="00287AC2">
            <w:pPr>
              <w:pStyle w:val="Heading3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C358FE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Článok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19"/>
                <w:szCs w:val="22"/>
              </w:rP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358FE">
              <w:rPr>
                <w:rFonts w:ascii="Times New Roman" w:hAnsi="Times New Roman"/>
                <w:sz w:val="19"/>
                <w:szCs w:val="22"/>
              </w:rPr>
              <w:t>Spôsob transpozície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Číslo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C358FE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 xml:space="preserve">Článok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Text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Zhoda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Poznámky</w:t>
            </w: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6009E9">
              <w:rPr>
                <w:rFonts w:ascii="Times New Roman" w:hAnsi="Times New Roman"/>
                <w:sz w:val="22"/>
                <w:szCs w:val="22"/>
              </w:rPr>
              <w:t>C</w:t>
            </w:r>
            <w:r w:rsidRPr="00C358FE">
              <w:rPr>
                <w:rFonts w:ascii="Times New Roman" w:hAnsi="Times New Roman"/>
                <w:sz w:val="22"/>
                <w:szCs w:val="22"/>
              </w:rPr>
              <w:t>:</w:t>
            </w:r>
            <w:r w:rsidR="006009E9">
              <w:rPr>
                <w:rFonts w:ascii="Times New Roman" w:hAnsi="Times New Roman"/>
                <w:sz w:val="22"/>
                <w:szCs w:val="22"/>
              </w:rPr>
              <w:t>7</w:t>
            </w: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O:1</w:t>
            </w:r>
          </w:p>
          <w:p w:rsidR="006009E9" w:rsidP="00C5017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O:2</w:t>
            </w: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3DE0" w:rsidRPr="002B3DE0" w:rsidP="002B3DE0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2B3DE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Článok 7</w:t>
            </w:r>
          </w:p>
          <w:p w:rsidR="002B3DE0" w:rsidRPr="002B3DE0" w:rsidP="002B3DE0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2B3DE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Ochrana práv</w:t>
            </w:r>
          </w:p>
          <w:p w:rsidR="002B3DE0" w:rsidRPr="002B3DE0" w:rsidP="002B3DE0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2B3DE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1. Členské štáty zabezpečia, aby súdne a/alebo správne konania, prípadne vrátane zmierovacích konaní smerujúcich k dodržiavaniu povinností podľa tejto smernice boli k dispozícii všetkým osobám, ktoré sa cítia poškodené nedodržiavaním zásady rovnakého zaobchádzania, dokonca aj vtedy, keď sa vzťahy, v ktorých malo dôjsť k diskriminácii, už skončili.</w:t>
            </w:r>
          </w:p>
          <w:p w:rsidR="002B3DE0" w:rsidRPr="002B3DE0" w:rsidP="002B3DE0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2B3DE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2. Členské štáty zabezpečia, aby združenia, organizácie alebo iné právnické osoby, ktoré majú v súlade s kritériami stanovenými ich vnútroštátnymi právnymi predpismi oprávnený záujem na zabezpečení dodržiavania tejto smernice, mohli v prospech alebo na podporu žalobcu s jeho súhlasom začať akékoľvek súdne a/alebo správne konanie určené na vymáhanie plnenia povinností podľa tejto smernice.</w:t>
            </w:r>
          </w:p>
          <w:p w:rsidR="002B3DE0" w:rsidRPr="002B3DE0" w:rsidP="002B3DE0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2B3DE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3. Odsek 1 a 2 sa nedotýkajú vnútroštátnych právnych predpisov o lehotách na podávanie žalôb v prípade zásady rovnosti zaobchádzania.</w:t>
            </w:r>
          </w:p>
          <w:p w:rsidR="00A97461" w:rsidRPr="00C358FE" w:rsidP="006009E9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sz w:val="19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6009E9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P="006009E9">
            <w:pPr>
              <w:bidi w:val="0"/>
              <w:jc w:val="center"/>
              <w:rPr>
                <w:rFonts w:ascii="Times New Roman" w:hAnsi="Times New Roman"/>
              </w:rPr>
            </w:pPr>
            <w:r w:rsidRPr="006009E9" w:rsidR="006009E9">
              <w:rPr>
                <w:rFonts w:ascii="Times New Roman" w:hAnsi="Times New Roman"/>
              </w:rPr>
              <w:t>§:127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§:300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FC7A56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302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§:303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§:304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§:305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§:306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O:2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§:307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§:308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2B3DE0" w:rsidRP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 w:rsidR="006009E9">
              <w:rPr>
                <w:rFonts w:ascii="Times New Roman" w:hAnsi="Times New Roman"/>
              </w:rPr>
              <w:t>O:2</w:t>
            </w:r>
          </w:p>
          <w:p w:rsidR="002B3DE0" w:rsidRPr="00C358FE" w:rsidP="009A65B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3DE0" w:rsidRPr="006009E9" w:rsidP="006009E9">
            <w:pPr>
              <w:pStyle w:val="ListParagraph"/>
              <w:tabs>
                <w:tab w:val="left" w:pos="993"/>
              </w:tabs>
              <w:bidi w:val="0"/>
              <w:ind w:left="0"/>
              <w:rPr>
                <w:rFonts w:ascii="Times New Roman" w:hAnsi="Times New Roman"/>
                <w:caps/>
              </w:rPr>
            </w:pPr>
            <w:r w:rsidRPr="002B3DE0">
              <w:rPr>
                <w:rFonts w:ascii="Times New Roman" w:hAnsi="Times New Roman"/>
                <w:caps/>
              </w:rPr>
              <w:t>§ 127</w:t>
            </w:r>
          </w:p>
          <w:p w:rsidR="002B3DE0" w:rsidRPr="002B3DE0" w:rsidP="002B3DE0">
            <w:pPr>
              <w:pStyle w:val="ListParagraph"/>
              <w:tabs>
                <w:tab w:val="left" w:pos="993"/>
              </w:tabs>
              <w:bidi w:val="0"/>
              <w:ind w:left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Žaloba je procesný úkon, ktorým sa uplatňuje právo na súdnu ochranu ohrozeného alebo porušeného práva.</w:t>
            </w:r>
          </w:p>
          <w:p w:rsidR="002B3DE0" w:rsidRPr="002B3DE0" w:rsidP="002B3DE0">
            <w:pPr>
              <w:tabs>
                <w:tab w:val="left" w:pos="993"/>
              </w:tabs>
              <w:bidi w:val="0"/>
              <w:jc w:val="center"/>
              <w:rPr>
                <w:rFonts w:ascii="Times New Roman" w:eastAsia="MS Mincho" w:hAnsi="Times New Roman"/>
                <w:lang w:eastAsia="en-US"/>
              </w:rPr>
            </w:pPr>
          </w:p>
          <w:p w:rsidR="002B3DE0" w:rsidRPr="002B3DE0" w:rsidP="006009E9">
            <w:pPr>
              <w:tabs>
                <w:tab w:val="left" w:pos="993"/>
              </w:tabs>
              <w:bidi w:val="0"/>
              <w:rPr>
                <w:rFonts w:ascii="Times New Roman" w:eastAsia="MS Mincho" w:hAnsi="Times New Roman" w:hint="default"/>
                <w:lang w:eastAsia="en-US"/>
              </w:rPr>
            </w:pPr>
            <w:r w:rsidRPr="002B3DE0">
              <w:rPr>
                <w:rFonts w:ascii="Times New Roman" w:eastAsia="MS Mincho" w:hAnsi="Times New Roman" w:hint="default"/>
                <w:lang w:eastAsia="en-US"/>
              </w:rPr>
              <w:t>§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300</w:t>
            </w:r>
          </w:p>
          <w:p w:rsidR="00A97461" w:rsidRPr="002B3DE0" w:rsidP="002B3DE0">
            <w:pPr>
              <w:bidi w:val="0"/>
              <w:jc w:val="both"/>
              <w:rPr>
                <w:rFonts w:ascii="Times New Roman" w:eastAsia="MS Mincho" w:hAnsi="Times New Roman"/>
              </w:rPr>
            </w:pPr>
            <w:r w:rsidRPr="002B3DE0" w:rsidR="002B3DE0">
              <w:rPr>
                <w:rFonts w:ascii="Times New Roman" w:eastAsia="MS Mincho" w:hAnsi="Times New Roman" w:hint="default"/>
              </w:rPr>
              <w:t>Antidiskriminač</w:t>
            </w:r>
            <w:r w:rsidRPr="002B3DE0" w:rsidR="002B3DE0">
              <w:rPr>
                <w:rFonts w:ascii="Times New Roman" w:eastAsia="MS Mincho" w:hAnsi="Times New Roman" w:hint="default"/>
              </w:rPr>
              <w:t>ný</w:t>
            </w:r>
            <w:r w:rsidRPr="002B3DE0" w:rsidR="002B3DE0">
              <w:rPr>
                <w:rFonts w:ascii="Times New Roman" w:eastAsia="MS Mincho" w:hAnsi="Times New Roman" w:hint="default"/>
              </w:rPr>
              <w:t xml:space="preserve"> spor je spor, ktorý</w:t>
            </w:r>
            <w:r w:rsidRPr="002B3DE0" w:rsidR="002B3DE0">
              <w:rPr>
                <w:rFonts w:ascii="Times New Roman" w:eastAsia="MS Mincho" w:hAnsi="Times New Roman" w:hint="default"/>
              </w:rPr>
              <w:t xml:space="preserve"> sa tý</w:t>
            </w:r>
            <w:r w:rsidRPr="002B3DE0" w:rsidR="002B3DE0">
              <w:rPr>
                <w:rFonts w:ascii="Times New Roman" w:eastAsia="MS Mincho" w:hAnsi="Times New Roman" w:hint="default"/>
              </w:rPr>
              <w:t>ka poruš</w:t>
            </w:r>
            <w:r w:rsidRPr="002B3DE0" w:rsidR="002B3DE0">
              <w:rPr>
                <w:rFonts w:ascii="Times New Roman" w:eastAsia="MS Mincho" w:hAnsi="Times New Roman" w:hint="default"/>
              </w:rPr>
              <w:t>enia zá</w:t>
            </w:r>
            <w:r w:rsidRPr="002B3DE0" w:rsidR="002B3DE0">
              <w:rPr>
                <w:rFonts w:ascii="Times New Roman" w:eastAsia="MS Mincho" w:hAnsi="Times New Roman" w:hint="default"/>
              </w:rPr>
              <w:t>sady rovnaké</w:t>
            </w:r>
            <w:r w:rsidRPr="002B3DE0" w:rsidR="002B3DE0">
              <w:rPr>
                <w:rFonts w:ascii="Times New Roman" w:eastAsia="MS Mincho" w:hAnsi="Times New Roman" w:hint="default"/>
              </w:rPr>
              <w:t>ho zaobchá</w:t>
            </w:r>
            <w:r w:rsidRPr="002B3DE0" w:rsidR="002B3DE0">
              <w:rPr>
                <w:rFonts w:ascii="Times New Roman" w:eastAsia="MS Mincho" w:hAnsi="Times New Roman" w:hint="default"/>
              </w:rPr>
              <w:t>dzania podľ</w:t>
            </w:r>
            <w:r w:rsidRPr="002B3DE0" w:rsidR="002B3DE0">
              <w:rPr>
                <w:rFonts w:ascii="Times New Roman" w:eastAsia="MS Mincho" w:hAnsi="Times New Roman" w:hint="default"/>
              </w:rPr>
              <w:t>a predpisov o rovnakom zaobchá</w:t>
            </w:r>
            <w:r w:rsidRPr="002B3DE0" w:rsidR="002B3DE0">
              <w:rPr>
                <w:rFonts w:ascii="Times New Roman" w:eastAsia="MS Mincho" w:hAnsi="Times New Roman" w:hint="default"/>
              </w:rPr>
              <w:t>dzaní</w:t>
            </w:r>
            <w:r w:rsidRPr="002B3DE0" w:rsidR="002B3DE0">
              <w:rPr>
                <w:rFonts w:ascii="Times New Roman" w:eastAsia="MS Mincho" w:hAnsi="Times New Roman" w:hint="default"/>
              </w:rPr>
              <w:t xml:space="preserve"> a o ochrane pred diskriminá</w:t>
            </w:r>
            <w:r w:rsidRPr="002B3DE0" w:rsidR="002B3DE0">
              <w:rPr>
                <w:rFonts w:ascii="Times New Roman" w:eastAsia="MS Mincho" w:hAnsi="Times New Roman" w:hint="default"/>
              </w:rPr>
              <w:t>ciou.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eastAsia="MS Mincho" w:hAnsi="Times New Roman"/>
              </w:rPr>
            </w:pPr>
          </w:p>
          <w:p w:rsidR="002B3DE0" w:rsidRPr="006009E9" w:rsidP="006009E9">
            <w:pPr>
              <w:tabs>
                <w:tab w:val="left" w:pos="993"/>
              </w:tabs>
              <w:bidi w:val="0"/>
              <w:rPr>
                <w:rFonts w:ascii="Times New Roman" w:eastAsia="MS Mincho" w:hAnsi="Times New Roman"/>
              </w:rPr>
            </w:pPr>
            <w:r w:rsidRPr="002B3DE0">
              <w:rPr>
                <w:rFonts w:ascii="Times New Roman" w:eastAsia="MS Mincho" w:hAnsi="Times New Roman" w:hint="default"/>
              </w:rPr>
              <w:t>§</w:t>
            </w:r>
            <w:r w:rsidRPr="002B3DE0">
              <w:rPr>
                <w:rFonts w:ascii="Times New Roman" w:eastAsia="MS Mincho" w:hAnsi="Times New Roman" w:hint="default"/>
              </w:rPr>
              <w:t xml:space="preserve"> 301</w:t>
            </w:r>
          </w:p>
          <w:p w:rsidR="002B3DE0" w:rsidRPr="002B3DE0" w:rsidP="002B3DE0">
            <w:pPr>
              <w:tabs>
                <w:tab w:val="left" w:pos="993"/>
              </w:tabs>
              <w:bidi w:val="0"/>
              <w:jc w:val="both"/>
              <w:rPr>
                <w:rFonts w:ascii="Times New Roman" w:eastAsia="MS Mincho" w:hAnsi="Times New Roman" w:hint="default"/>
                <w:lang w:eastAsia="en-US"/>
              </w:rPr>
            </w:pPr>
            <w:r w:rsidRPr="002B3DE0">
              <w:rPr>
                <w:rFonts w:ascii="Times New Roman" w:eastAsia="MS Mincho" w:hAnsi="Times New Roman" w:hint="default"/>
                <w:lang w:eastAsia="en-US"/>
              </w:rPr>
              <w:t>Strana sa môž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e dať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v 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antidiskriminač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nom spore zastupovať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osobou oprá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vnenou na zastupovanie podľ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a 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predpisov o rovnakom zaobchá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dzaní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a o ochrane pred diskriminá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ciou. Ustanovenia prvej č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asti, piatej hlavy, piateho dielu tohto zá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kona tý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m nie sú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dotknuté.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302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pri prvom úkone vo vzťahu k žalobcovi vhodným spôsobom žalobcu poučí o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a)</w:t>
              <w:tab/>
              <w:t>možnosti zastúpenia,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b)</w:t>
              <w:tab/>
              <w:t>jeho procesných právach a povinnostiach nielen v rozsahu všeobecnej poučovacej povinnosti, ale poučí ho aj o dôkazoch, ktoré je potrebné predložiť, o možnosti podať návrh na neodkladné opatrenie alebo zabezpečovacie opatrenie a o iných možnostiach potrebných na účelné uplatnenie alebo bránenie jeho práv.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303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Nárok uplatnený vzájomnou žalobou, ktorý nie je antidiskriminačným sporom, súd vylúči na samostatné konanie.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304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môže vykonať aj tie dôkazy, ktoré žalobca nenavrhol, ak je to nevyhnutné pre rozhodnutie vo veci. Súd aj bez návrhu obstará alebo zabezpečí takýto dôkaz.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305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Žalobca môže predložiť alebo označiť všetky skutočnosti a dôkazy na preukázanie svojich tvrdení najneskôr do vyhlásenia rozhodnutia vo veci samej. Ustanovenia o sudcovskej koncentrácii konania a zákonnej koncentrácii konania sa nepoužijú.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306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(1)</w:t>
              <w:tab/>
              <w:t>Ustanovenia o rozsudku pre zmeškanie sa nepoužijú, ak by mal byť tento rozsudok vydaný v neprospech žalobcu.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(2)</w:t>
              <w:tab/>
              <w:t>Ustanovenia o rozsudku pre vzdanie sa nároku sa nepoužijú.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307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na prejednanie sporu nariadi pojednávanie. Pojednávanie nie je potrebné nariadiť, ak s tým žalobca súhlasí.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308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(1)</w:t>
              <w:tab/>
              <w:t xml:space="preserve"> Na konanie podľa tohto dielu sa primerane použijú všeobecné ustanovenia o konaní, ak nie je uvedené inak. 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C358FE" w:rsidP="002B3DE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DE0">
              <w:rPr>
                <w:rFonts w:ascii="Times New Roman" w:hAnsi="Times New Roman"/>
              </w:rPr>
              <w:t>(2)</w:t>
              <w:tab/>
              <w:t xml:space="preserve"> Ustanovenia tohto zákona sa použijú, ak predpisy o rovnakom zaobchádzaní a o ochrane pred diskrimináciou neustanovujú inak.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6009E9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C:8</w:t>
            </w: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O:1</w:t>
            </w: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0DF" w:rsidP="002620DF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O:2</w:t>
            </w: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O:3</w:t>
            </w: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O:4</w:t>
            </w:r>
          </w:p>
          <w:p w:rsidR="002620DF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RPr="00C358FE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2620DF">
              <w:rPr>
                <w:rFonts w:ascii="Times New Roman" w:hAnsi="Times New Roman"/>
                <w:sz w:val="22"/>
                <w:szCs w:val="22"/>
              </w:rPr>
              <w:t>O:5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P="006009E9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2B3DE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Článok 8</w:t>
            </w:r>
          </w:p>
          <w:p w:rsidR="006009E9" w:rsidRPr="002B3DE0" w:rsidP="006009E9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2B3DE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Dôkazné bremeno</w:t>
            </w:r>
          </w:p>
          <w:p w:rsidR="006009E9" w:rsidRPr="002B3DE0" w:rsidP="006009E9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2B3DE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1. Členské štáty prijmú v súlade so svojimi právnymi systémami nevyhnutné opatrenia, aby, akonáhle sa osoba cíti poškodená nedodržaním zásady rovnakého zaobchádzania a predloží súdu alebo inému príslušnému orgánu skutočnosti nasvedčujúce tomu, že došlo k priamej alebo nepriamej diskriminácii, prislúchalo odporcovi preukázať, že nedošlo k porušeniu zásady rovnakého zaobchádzania.</w:t>
            </w:r>
          </w:p>
          <w:p w:rsidR="006009E9" w:rsidRPr="002B3DE0" w:rsidP="006009E9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2B3DE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2. Odsek 1 nebráni členským štátom prijať pravidlá o dokazovaní, ktoré sú priaznivejšie pre žalobcov.</w:t>
            </w:r>
          </w:p>
          <w:p w:rsidR="006009E9" w:rsidRPr="002B3DE0" w:rsidP="006009E9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2B3DE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3. Odsek 1 sa neuplatňuje na trestné konanie.</w:t>
            </w:r>
          </w:p>
          <w:p w:rsidR="006009E9" w:rsidRPr="002B3DE0" w:rsidP="006009E9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2B3DE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4. Odsek 1, 2 a 3 sa uplatňuje tiež na všetky konania započaté v súlade s článkom 7 odsek 2.</w:t>
            </w:r>
          </w:p>
          <w:p w:rsidR="006009E9" w:rsidRPr="002B3DE0" w:rsidP="006009E9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2B3DE0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5. Členské štáty nemusia uplatňovať odsek 1 na konania, v ktorých zisťovanie skutočností prislúcha súdu alebo príslušnému orgánu.</w:t>
            </w:r>
          </w:p>
          <w:p w:rsidR="006009E9" w:rsidRPr="002B3DE0" w:rsidP="002B3DE0">
            <w:pPr>
              <w:pStyle w:val="NormalWeb"/>
              <w:tabs>
                <w:tab w:val="left" w:pos="4254"/>
              </w:tabs>
              <w:bidi w:val="0"/>
              <w:spacing w:before="150" w:beforeAutospacing="0" w:after="150" w:afterAutospacing="0" w:line="240" w:lineRule="atLeast"/>
              <w:ind w:left="225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C358FE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§:304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2620DF" w:rsidP="002620DF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§:308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2620DF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O:2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RP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RP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9A65B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2B3DE0" w:rsidP="006009E9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304</w:t>
            </w:r>
          </w:p>
          <w:p w:rsidR="006009E9" w:rsidRPr="002B3DE0" w:rsidP="006009E9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môže vykonať aj tie dôkazy, ktoré žalobca nenavrhol, ak je to nevyhnutné pre rozhodnutie vo veci. Súd aj bez návrhu obstará alebo zabezpečí takýto dôkaz.</w:t>
            </w:r>
          </w:p>
          <w:p w:rsidR="006009E9" w:rsidP="006009E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both"/>
              <w:rPr>
                <w:rFonts w:ascii="Times New Roman" w:hAnsi="Times New Roman"/>
              </w:rPr>
            </w:pPr>
            <w:r w:rsidR="002620DF">
              <w:rPr>
                <w:rFonts w:ascii="Times New Roman" w:hAnsi="Times New Roman"/>
              </w:rPr>
              <w:t>§ 308</w:t>
            </w:r>
          </w:p>
          <w:p w:rsidR="006009E9" w:rsidRPr="002B3DE0" w:rsidP="006009E9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</w:t>
            </w:r>
            <w:r w:rsidRPr="002B3DE0">
              <w:rPr>
                <w:rFonts w:ascii="Times New Roman" w:hAnsi="Times New Roman"/>
              </w:rPr>
              <w:t xml:space="preserve">Na konanie podľa tohto dielu sa primerane použijú všeobecné ustanovenia o konaní, ak nie je uvedené inak. </w:t>
            </w:r>
          </w:p>
          <w:p w:rsidR="006009E9" w:rsidRPr="002B3DE0" w:rsidP="006009E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6009E9" w:rsidRPr="002B3DE0" w:rsidP="006009E9">
            <w:pPr>
              <w:pStyle w:val="ListParagraph"/>
              <w:tabs>
                <w:tab w:val="left" w:pos="993"/>
              </w:tabs>
              <w:bidi w:val="0"/>
              <w:ind w:left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(2)</w:t>
            </w:r>
            <w:r w:rsidRPr="002B3DE0">
              <w:rPr>
                <w:rFonts w:ascii="Times New Roman" w:hAnsi="Times New Roman"/>
              </w:rPr>
              <w:t xml:space="preserve"> Ustanovenia tohto zákona sa použijú, ak predpisy o rovnakom zaobchádzaní a o ochrane pred diskrimináciou neustanovujú inak.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6009E9" w:rsidP="006009E9">
            <w:pPr>
              <w:bidi w:val="0"/>
              <w:rPr>
                <w:rFonts w:ascii="Times New Roman" w:hAnsi="Times New Roman"/>
              </w:rPr>
            </w:pPr>
            <w:r w:rsidRPr="006009E9">
              <w:rPr>
                <w:rFonts w:ascii="Times New Roman" w:hAnsi="Times New Roman"/>
              </w:rPr>
              <w:t>Ustanovenia tejto smernice sú súčasne transponované aj v Antidiskriminačnom zákone</w:t>
            </w: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C:16</w:t>
            </w:r>
          </w:p>
          <w:p w:rsidR="001C40E7" w:rsidP="002620D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V:4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RPr="001C40E7" w:rsidP="001C40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1C40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Článok 16</w:t>
            </w:r>
          </w:p>
          <w:p w:rsidR="001C40E7" w:rsidRPr="001C40E7" w:rsidP="001C40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1C40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Vykonanie</w:t>
            </w:r>
          </w:p>
          <w:p w:rsidR="001C40E7" w:rsidRPr="001C40E7" w:rsidP="001C40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1C40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 xml:space="preserve">Členské štáty uvedú priamo v prijatých ustanoveniach alebo pri ich úradnom uverejnení odkaz na túto smernicu. </w:t>
            </w:r>
          </w:p>
          <w:p w:rsidR="001C40E7" w:rsidRPr="002B3DE0" w:rsidP="001C40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RPr="002B3DE0" w:rsidP="006009E9">
            <w:pPr>
              <w:bidi w:val="0"/>
              <w:jc w:val="both"/>
              <w:rPr>
                <w:rFonts w:ascii="Times New Roman" w:hAnsi="Times New Roman"/>
              </w:rPr>
            </w:pPr>
            <w:r w:rsidRPr="00EC4A04">
              <w:rPr>
                <w:rFonts w:ascii="Times New Roman" w:hAnsi="Times New Roman"/>
              </w:rPr>
              <w:t>Týmto zákonom sa preberajú právne záväzné akty Európskej únie uvedené v prílohe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40E7" w:rsidRPr="006009E9" w:rsidP="006009E9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CB3BB3" w:rsidRPr="00C358FE">
      <w:pPr>
        <w:bidi w:val="0"/>
        <w:rPr>
          <w:rFonts w:ascii="Times New Roman" w:hAnsi="Times New Roman"/>
        </w:rPr>
      </w:pPr>
    </w:p>
    <w:sectPr>
      <w:pgSz w:w="15840" w:h="12240" w:orient="landscape"/>
      <w:pgMar w:top="1418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98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EB4743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D71BA1"/>
    <w:multiLevelType w:val="hybridMultilevel"/>
    <w:tmpl w:val="33665F0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0D715D8E"/>
    <w:multiLevelType w:val="multilevel"/>
    <w:tmpl w:val="54B4CF4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4">
    <w:nsid w:val="14F66471"/>
    <w:multiLevelType w:val="hybridMultilevel"/>
    <w:tmpl w:val="995E4B80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1AF55091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22C2704"/>
    <w:multiLevelType w:val="hybridMultilevel"/>
    <w:tmpl w:val="8ACADB2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4B27CBD"/>
    <w:multiLevelType w:val="hybridMultilevel"/>
    <w:tmpl w:val="AC1EA56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27577AE7"/>
    <w:multiLevelType w:val="hybridMultilevel"/>
    <w:tmpl w:val="26666E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D357DD"/>
    <w:multiLevelType w:val="hybridMultilevel"/>
    <w:tmpl w:val="075838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947A3"/>
    <w:multiLevelType w:val="hybridMultilevel"/>
    <w:tmpl w:val="9E94437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4723655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6825F21"/>
    <w:multiLevelType w:val="hybridMultilevel"/>
    <w:tmpl w:val="66809FB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7404BD8"/>
    <w:multiLevelType w:val="hybridMultilevel"/>
    <w:tmpl w:val="DB443C1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B08749D"/>
    <w:multiLevelType w:val="hybridMultilevel"/>
    <w:tmpl w:val="B93E03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BED20DC"/>
    <w:multiLevelType w:val="hybridMultilevel"/>
    <w:tmpl w:val="EA7AFA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6">
    <w:nsid w:val="3E9A5659"/>
    <w:multiLevelType w:val="hybridMultilevel"/>
    <w:tmpl w:val="4F6443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8326AD3"/>
    <w:multiLevelType w:val="hybridMultilevel"/>
    <w:tmpl w:val="995E4B80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5D2B161D"/>
    <w:multiLevelType w:val="hybridMultilevel"/>
    <w:tmpl w:val="9AB0CC50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13F31"/>
    <w:multiLevelType w:val="hybridMultilevel"/>
    <w:tmpl w:val="5E86B4B2"/>
    <w:lvl w:ilvl="0">
      <w:start w:val="1"/>
      <w:numFmt w:val="decimal"/>
      <w:lvlText w:val="(%1)"/>
      <w:lvlJc w:val="left"/>
      <w:pPr>
        <w:ind w:left="792" w:hanging="43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7"/>
  </w:num>
  <w:num w:numId="5">
    <w:abstractNumId w:val="16"/>
  </w:num>
  <w:num w:numId="6">
    <w:abstractNumId w:val="0"/>
  </w:num>
  <w:num w:numId="7">
    <w:abstractNumId w:val="5"/>
  </w:num>
  <w:num w:numId="8">
    <w:abstractNumId w:val="14"/>
  </w:num>
  <w:num w:numId="9">
    <w:abstractNumId w:val="11"/>
  </w:num>
  <w:num w:numId="10">
    <w:abstractNumId w:val="17"/>
  </w:num>
  <w:num w:numId="11">
    <w:abstractNumId w:val="13"/>
  </w:num>
  <w:num w:numId="12">
    <w:abstractNumId w:val="18"/>
  </w:num>
  <w:num w:numId="13">
    <w:abstractNumId w:val="1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2"/>
  </w:num>
  <w:num w:numId="19">
    <w:abstractNumId w:val="1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97461"/>
    <w:rsid w:val="00153D45"/>
    <w:rsid w:val="001933F6"/>
    <w:rsid w:val="001C40E7"/>
    <w:rsid w:val="001F5AEE"/>
    <w:rsid w:val="00217D7D"/>
    <w:rsid w:val="0025711E"/>
    <w:rsid w:val="002620DF"/>
    <w:rsid w:val="00265965"/>
    <w:rsid w:val="002661A4"/>
    <w:rsid w:val="00287AC2"/>
    <w:rsid w:val="002B3DE0"/>
    <w:rsid w:val="002C167D"/>
    <w:rsid w:val="002D7FDF"/>
    <w:rsid w:val="002E7E50"/>
    <w:rsid w:val="003027F5"/>
    <w:rsid w:val="003065B8"/>
    <w:rsid w:val="003767A2"/>
    <w:rsid w:val="00384DCB"/>
    <w:rsid w:val="003D4320"/>
    <w:rsid w:val="003D45B9"/>
    <w:rsid w:val="003F2039"/>
    <w:rsid w:val="004140A0"/>
    <w:rsid w:val="0045467E"/>
    <w:rsid w:val="004C1A6A"/>
    <w:rsid w:val="004E0D36"/>
    <w:rsid w:val="004E78A1"/>
    <w:rsid w:val="004F374A"/>
    <w:rsid w:val="005A4065"/>
    <w:rsid w:val="005F1606"/>
    <w:rsid w:val="006009E9"/>
    <w:rsid w:val="00602963"/>
    <w:rsid w:val="006062CB"/>
    <w:rsid w:val="00631091"/>
    <w:rsid w:val="00697BC9"/>
    <w:rsid w:val="006D0AB1"/>
    <w:rsid w:val="00703A91"/>
    <w:rsid w:val="007405E2"/>
    <w:rsid w:val="00764FAF"/>
    <w:rsid w:val="007841C0"/>
    <w:rsid w:val="00791443"/>
    <w:rsid w:val="007C79B3"/>
    <w:rsid w:val="007D4294"/>
    <w:rsid w:val="007E7A8D"/>
    <w:rsid w:val="00813BC3"/>
    <w:rsid w:val="008223AE"/>
    <w:rsid w:val="00833BE0"/>
    <w:rsid w:val="00895736"/>
    <w:rsid w:val="008A2612"/>
    <w:rsid w:val="00950BEA"/>
    <w:rsid w:val="0098389A"/>
    <w:rsid w:val="009A65B7"/>
    <w:rsid w:val="009D2B1F"/>
    <w:rsid w:val="009D5A30"/>
    <w:rsid w:val="00A35358"/>
    <w:rsid w:val="00A44203"/>
    <w:rsid w:val="00A45812"/>
    <w:rsid w:val="00A526FB"/>
    <w:rsid w:val="00A97461"/>
    <w:rsid w:val="00AC42F2"/>
    <w:rsid w:val="00AC6DD8"/>
    <w:rsid w:val="00AE5E13"/>
    <w:rsid w:val="00B17BF1"/>
    <w:rsid w:val="00B2709F"/>
    <w:rsid w:val="00B34ECF"/>
    <w:rsid w:val="00B4516A"/>
    <w:rsid w:val="00BB65FA"/>
    <w:rsid w:val="00C358FE"/>
    <w:rsid w:val="00C361B2"/>
    <w:rsid w:val="00C37816"/>
    <w:rsid w:val="00C5017E"/>
    <w:rsid w:val="00C55DDB"/>
    <w:rsid w:val="00CA0ED1"/>
    <w:rsid w:val="00CB0494"/>
    <w:rsid w:val="00CB3BB3"/>
    <w:rsid w:val="00CB5630"/>
    <w:rsid w:val="00CE2080"/>
    <w:rsid w:val="00CF232C"/>
    <w:rsid w:val="00D478E1"/>
    <w:rsid w:val="00D55EE8"/>
    <w:rsid w:val="00DD0E98"/>
    <w:rsid w:val="00E03266"/>
    <w:rsid w:val="00E40516"/>
    <w:rsid w:val="00E64BF6"/>
    <w:rsid w:val="00EC025C"/>
    <w:rsid w:val="00EC4A04"/>
    <w:rsid w:val="00EE2D7B"/>
    <w:rsid w:val="00EE5DB5"/>
    <w:rsid w:val="00F01706"/>
    <w:rsid w:val="00F040AD"/>
    <w:rsid w:val="00F17B4D"/>
    <w:rsid w:val="00F47B4B"/>
    <w:rsid w:val="00F550F9"/>
    <w:rsid w:val="00F64241"/>
    <w:rsid w:val="00FC2831"/>
    <w:rsid w:val="00FC7A56"/>
    <w:rsid w:val="00FD1771"/>
    <w:rsid w:val="00FF17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46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7461"/>
    <w:pPr>
      <w:keepNext/>
      <w:jc w:val="both"/>
      <w:outlineLvl w:val="0"/>
    </w:pPr>
    <w:rPr>
      <w:rFonts w:ascii="Bookman Old Style" w:hAnsi="Bookman Old Style" w:cs="Bookman Old Style"/>
      <w:b/>
      <w:bCs/>
      <w:sz w:val="22"/>
      <w:szCs w:val="22"/>
    </w:rPr>
  </w:style>
  <w:style w:type="paragraph" w:styleId="Heading2">
    <w:name w:val="heading 2"/>
    <w:basedOn w:val="Normal"/>
    <w:next w:val="Normal"/>
    <w:link w:val="Nadpis2Char"/>
    <w:uiPriority w:val="9"/>
    <w:qFormat/>
    <w:rsid w:val="00A97461"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"/>
    <w:qFormat/>
    <w:rsid w:val="00A97461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A97461"/>
    <w:pPr>
      <w:keepNext/>
      <w:jc w:val="left"/>
      <w:outlineLvl w:val="3"/>
    </w:pPr>
    <w:rPr>
      <w:rFonts w:ascii="Bookman Old Style" w:hAnsi="Bookman Old Style" w:cs="Bookman Old Style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link w:val="Nadpis5Char"/>
    <w:uiPriority w:val="9"/>
    <w:qFormat/>
    <w:rsid w:val="00A97461"/>
    <w:pPr>
      <w:keepNext/>
      <w:jc w:val="both"/>
      <w:outlineLvl w:val="4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97461"/>
    <w:pPr>
      <w:jc w:val="left"/>
    </w:pPr>
    <w:rPr>
      <w:rFonts w:ascii="Bookman Old Style" w:hAnsi="Bookman Old Style" w:cs="Bookman Old Style"/>
      <w:sz w:val="22"/>
      <w:szCs w:val="22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97461"/>
    <w:pPr>
      <w:ind w:left="705" w:hanging="705"/>
      <w:jc w:val="both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A97461"/>
    <w:pPr>
      <w:autoSpaceDE/>
      <w:autoSpaceDN/>
      <w:jc w:val="center"/>
    </w:pPr>
    <w:rPr>
      <w:b/>
      <w:sz w:val="24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F1606"/>
    <w:pPr>
      <w:autoSpaceDE/>
      <w:autoSpaceDN/>
      <w:spacing w:after="200" w:line="276" w:lineRule="auto"/>
      <w:jc w:val="left"/>
    </w:pPr>
    <w:rPr>
      <w:rFonts w:ascii="Calibri" w:eastAsia="MS Mincho" w:hAnsi="Calibri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F1606"/>
    <w:rPr>
      <w:rFonts w:ascii="Calibri" w:eastAsia="MS Mincho" w:hAnsi="Calibri"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5F1606"/>
    <w:rPr>
      <w:rFonts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5F160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F1606"/>
    <w:rPr>
      <w:rFonts w:ascii="Tahoma" w:hAnsi="Tahoma" w:cs="Times New Roman"/>
      <w:sz w:val="16"/>
      <w:rtl w:val="0"/>
      <w:cs w:val="0"/>
    </w:rPr>
  </w:style>
  <w:style w:type="paragraph" w:customStyle="1" w:styleId="Odsekzoznamu1">
    <w:name w:val="Odsek zoznamu1"/>
    <w:basedOn w:val="Normal"/>
    <w:uiPriority w:val="99"/>
    <w:rsid w:val="00A526FB"/>
    <w:pPr>
      <w:autoSpaceDE/>
      <w:autoSpaceDN/>
      <w:ind w:left="720"/>
      <w:contextualSpacing/>
      <w:jc w:val="left"/>
    </w:pPr>
    <w:rPr>
      <w:rFonts w:ascii="Calibri" w:eastAsia="MS Mincho" w:hAnsi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FF17CE"/>
    <w:pPr>
      <w:ind w:left="708"/>
      <w:jc w:val="left"/>
    </w:pPr>
  </w:style>
  <w:style w:type="paragraph" w:styleId="NormalWeb">
    <w:name w:val="Normal (Web)"/>
    <w:basedOn w:val="Normal"/>
    <w:uiPriority w:val="99"/>
    <w:unhideWhenUsed/>
    <w:rsid w:val="002B3DE0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4</Pages>
  <Words>755</Words>
  <Characters>4304</Characters>
  <Application>Microsoft Office Word</Application>
  <DocSecurity>0</DocSecurity>
  <Lines>0</Lines>
  <Paragraphs>0</Paragraphs>
  <ScaleCrop>false</ScaleCrop>
  <Company>Ipo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vajcikova</dc:creator>
  <cp:lastModifiedBy>PAGAC Lubomir</cp:lastModifiedBy>
  <cp:revision>8</cp:revision>
  <dcterms:created xsi:type="dcterms:W3CDTF">2014-12-10T12:51:00Z</dcterms:created>
  <dcterms:modified xsi:type="dcterms:W3CDTF">2014-12-10T14:12:00Z</dcterms:modified>
</cp:coreProperties>
</file>